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53B69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b/>
          <w:bCs/>
          <w:sz w:val="28"/>
          <w:szCs w:val="28"/>
        </w:rPr>
        <w:t>方案</w:t>
      </w:r>
    </w:p>
    <w:p w14:paraId="162C9919"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</w:p>
    <w:p w14:paraId="4633EC76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</w:t>
      </w:r>
      <w:r>
        <w:rPr>
          <w:rFonts w:hint="eastAsia" w:ascii="宋体" w:hAnsi="宋体" w:cs="宋体"/>
          <w:sz w:val="24"/>
        </w:rPr>
        <w:t>详细评审</w:t>
      </w:r>
      <w:bookmarkStart w:id="0" w:name="_GoBack"/>
      <w:bookmarkEnd w:id="0"/>
      <w:r>
        <w:rPr>
          <w:rFonts w:hint="eastAsia" w:ascii="宋体" w:hAnsi="宋体" w:cs="宋体"/>
          <w:sz w:val="24"/>
        </w:rPr>
        <w:t>内容和顺序编制方案，但不限于赋分表所列内容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p w14:paraId="244580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11127D62"/>
    <w:rsid w:val="419A1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CC</cp:lastModifiedBy>
  <dcterms:modified xsi:type="dcterms:W3CDTF">2025-08-01T06:23:56Z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3A898D3A207D4A518BD46C898EEAC3EE_11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