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版本号：ZXGJ-ZB14-2025-05020250811001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2025年度自然灾害风险普查基础数据库等运维服务项目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ZXGJ-ZB14-2025-050</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2025年度自然灾害风险普查基础数据库等运维服务项目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ZXGJ-ZB14-2025-050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2025年度自然灾害风险普查基础数据库等运维服务项目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2025年度自然灾害风险普查基础数据库等运维服务项目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1、特定资格要求：供应商应具有国家测绘行政主管部门颁发的《测绘资质证书乙级》及以上资质证书（专业范围包含：摄影测量与遥感、地理信息系统工程）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刘万灵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029-61166071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王超、王涛、白丹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029-81317379-606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改委办公厅颁发的《关于招标代理服务收费有关问题的通知》（发改办价格〔2003〕857号）文件规定标准计算收取。代理服务费不足捌仟元按捌仟元收取。具体收费金额将在成交公告中公布。请将采购代理服务费汇至下列指定账户：开户名称：中昕国际项目管理有限公司；开户行：中国建设银行股份有限公司西安文景路支行；账号：61050178150000000278。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联系人：王超、王涛、白丹</w:t>
      </w:r>
    </w:p>
    <w:p>
      <w:pPr>
        <w:pStyle w:val="null3"/>
      </w:pPr>
      <w:r>
        <w:rPr>
          <w:rFonts w:ascii="仿宋_GB2312" w:hAnsi="仿宋_GB2312" w:cs="仿宋_GB2312" w:eastAsia="仿宋_GB2312"/>
        </w:rPr>
        <w:t>联系电话：029-81317379-606</w:t>
      </w:r>
    </w:p>
    <w:p>
      <w:pPr>
        <w:pStyle w:val="null3"/>
      </w:pPr>
      <w:r>
        <w:rPr>
          <w:rFonts w:ascii="仿宋_GB2312" w:hAnsi="仿宋_GB2312" w:cs="仿宋_GB2312" w:eastAsia="仿宋_GB2312"/>
        </w:rPr>
        <w:t>地址：西安市未央区西安经济技术开发区凤城十二路首创禧悦里25幢A座16层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2025年开展自然灾害风险普查基础数据库等运维服务项目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2025年度自然灾害风险普查基础数据库等运维服务项目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标的名称：2025年度自然灾害风险普查基础数据库等运维服务项目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20"/>
            </w:pPr>
            <w:r>
              <w:rPr>
                <w:rFonts w:ascii="仿宋_GB2312" w:hAnsi="仿宋_GB2312" w:cs="仿宋_GB2312" w:eastAsia="仿宋_GB2312"/>
                <w:sz w:val="18"/>
                <w:color w:val="000000"/>
              </w:rPr>
              <w:t>一、</w:t>
            </w:r>
            <w:r>
              <w:rPr>
                <w:rFonts w:ascii="仿宋_GB2312" w:hAnsi="仿宋_GB2312" w:cs="仿宋_GB2312" w:eastAsia="仿宋_GB2312"/>
                <w:sz w:val="18"/>
                <w:color w:val="000000"/>
              </w:rPr>
              <w:t>项目概况</w:t>
            </w:r>
          </w:p>
          <w:p>
            <w:pPr>
              <w:pStyle w:val="null3"/>
              <w:ind w:right="105" w:firstLine="400"/>
            </w:pPr>
            <w:r>
              <w:rPr>
                <w:rFonts w:ascii="仿宋_GB2312" w:hAnsi="仿宋_GB2312" w:cs="仿宋_GB2312" w:eastAsia="仿宋_GB2312"/>
                <w:sz w:val="18"/>
                <w:color w:val="000000"/>
              </w:rPr>
              <w:t>2025年度自然灾害风险普查基础数据库等运维服务项目</w:t>
            </w:r>
          </w:p>
          <w:p>
            <w:pPr>
              <w:pStyle w:val="null3"/>
              <w:ind w:left="105" w:right="105" w:firstLine="348"/>
            </w:pPr>
            <w:r>
              <w:rPr>
                <w:rFonts w:ascii="仿宋_GB2312" w:hAnsi="仿宋_GB2312" w:cs="仿宋_GB2312" w:eastAsia="仿宋_GB2312"/>
                <w:sz w:val="18"/>
                <w:color w:val="000000"/>
              </w:rPr>
              <w:t>本项目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ind w:right="105"/>
            </w:pPr>
            <w:r>
              <w:rPr>
                <w:rFonts w:ascii="仿宋_GB2312" w:hAnsi="仿宋_GB2312" w:cs="仿宋_GB2312" w:eastAsia="仿宋_GB2312"/>
                <w:sz w:val="18"/>
                <w:b/>
                <w:color w:val="000000"/>
              </w:rPr>
              <w:t>二</w:t>
            </w:r>
            <w:r>
              <w:rPr>
                <w:rFonts w:ascii="仿宋_GB2312" w:hAnsi="仿宋_GB2312" w:cs="仿宋_GB2312" w:eastAsia="仿宋_GB2312"/>
                <w:sz w:val="18"/>
                <w:b/>
                <w:color w:val="000000"/>
              </w:rPr>
              <w:t>、</w:t>
            </w:r>
            <w:r>
              <w:rPr>
                <w:rFonts w:ascii="仿宋_GB2312" w:hAnsi="仿宋_GB2312" w:cs="仿宋_GB2312" w:eastAsia="仿宋_GB2312"/>
                <w:sz w:val="18"/>
                <w:color w:val="000000"/>
              </w:rPr>
              <w:t>采购内容</w:t>
            </w:r>
          </w:p>
          <w:p>
            <w:pPr>
              <w:pStyle w:val="null3"/>
            </w:pPr>
            <w:r>
              <w:rPr>
                <w:rFonts w:ascii="仿宋_GB2312" w:hAnsi="仿宋_GB2312" w:cs="仿宋_GB2312" w:eastAsia="仿宋_GB2312"/>
                <w:sz w:val="18"/>
                <w:color w:val="000000"/>
              </w:rPr>
              <w:t>2.1</w:t>
            </w:r>
            <w:r>
              <w:rPr>
                <w:rFonts w:ascii="仿宋_GB2312" w:hAnsi="仿宋_GB2312" w:cs="仿宋_GB2312" w:eastAsia="仿宋_GB2312"/>
                <w:sz w:val="18"/>
                <w:color w:val="000000"/>
              </w:rPr>
              <w:t>服务要求</w:t>
            </w:r>
          </w:p>
          <w:p>
            <w:pPr>
              <w:pStyle w:val="null3"/>
              <w:ind w:left="225" w:firstLine="416"/>
            </w:pPr>
            <w:r>
              <w:rPr>
                <w:rFonts w:ascii="仿宋_GB2312" w:hAnsi="仿宋_GB2312" w:cs="仿宋_GB2312" w:eastAsia="仿宋_GB2312"/>
                <w:sz w:val="18"/>
                <w:color w:val="000000"/>
              </w:rPr>
              <w:t>2025年度自然灾害风险普查基础数据库等运维服务项目，包括三项内容：</w:t>
            </w:r>
          </w:p>
          <w:p>
            <w:pPr>
              <w:pStyle w:val="null3"/>
              <w:ind w:left="225" w:firstLine="416"/>
            </w:pPr>
            <w:r>
              <w:rPr>
                <w:rFonts w:ascii="仿宋_GB2312" w:hAnsi="仿宋_GB2312" w:cs="仿宋_GB2312" w:eastAsia="仿宋_GB2312"/>
                <w:sz w:val="18"/>
                <w:color w:val="000000"/>
              </w:rPr>
              <w:t>（1）省级自然灾害风险普查基础数据库平台维护，主要内容为平台备份、恢复与数据库性能优化，系统迁移、升级与故障处理，预防性巡检与日常维护等；</w:t>
            </w:r>
          </w:p>
          <w:p>
            <w:pPr>
              <w:pStyle w:val="null3"/>
              <w:ind w:left="225" w:firstLine="416"/>
            </w:pPr>
            <w:r>
              <w:rPr>
                <w:rFonts w:ascii="仿宋_GB2312" w:hAnsi="仿宋_GB2312" w:cs="仿宋_GB2312" w:eastAsia="仿宋_GB2312"/>
                <w:sz w:val="18"/>
                <w:color w:val="000000"/>
              </w:rPr>
              <w:t>（2）实景三维数据更新入库，主要内容为实景三维数据的生产、治理、清洗及入库等；</w:t>
            </w:r>
          </w:p>
          <w:p>
            <w:pPr>
              <w:pStyle w:val="null3"/>
              <w:ind w:left="225" w:firstLine="416"/>
            </w:pPr>
            <w:r>
              <w:rPr>
                <w:rFonts w:ascii="仿宋_GB2312" w:hAnsi="仿宋_GB2312" w:cs="仿宋_GB2312" w:eastAsia="仿宋_GB2312"/>
                <w:sz w:val="18"/>
                <w:color w:val="000000"/>
              </w:rPr>
              <w:t>（3）联合有关涉灾部门开展灾害预警预报和实际灾情比照研究，复盘灾情发生过程，主要内容包括结合气象快报、灾害普查成果、地形地貌等数据，对相关区域开展洪涝灾情风险分析及评估，研究提取危险等级较高的承灾体并进行风险提示，对成灾过程进行分析复盘，开展预警预报和实际灾情对比分析研究。</w:t>
            </w:r>
          </w:p>
          <w:p>
            <w:pPr>
              <w:pStyle w:val="null3"/>
              <w:jc w:val="both"/>
            </w:pPr>
            <w:r>
              <w:rPr>
                <w:rFonts w:ascii="仿宋_GB2312" w:hAnsi="仿宋_GB2312" w:cs="仿宋_GB2312" w:eastAsia="仿宋_GB2312"/>
                <w:sz w:val="18"/>
              </w:rPr>
              <w:t>2.2服务、产品（如有）执行的标准、规范：</w:t>
            </w:r>
          </w:p>
          <w:p>
            <w:pPr>
              <w:pStyle w:val="null3"/>
              <w:jc w:val="both"/>
            </w:pPr>
            <w:r>
              <w:rPr>
                <w:rFonts w:ascii="仿宋_GB2312" w:hAnsi="仿宋_GB2312" w:cs="仿宋_GB2312" w:eastAsia="仿宋_GB2312"/>
                <w:sz w:val="18"/>
              </w:rPr>
              <w:t>（1） 国家标准、规范  /  ；</w:t>
            </w:r>
          </w:p>
          <w:p>
            <w:pPr>
              <w:pStyle w:val="null3"/>
              <w:jc w:val="both"/>
            </w:pPr>
            <w:r>
              <w:rPr>
                <w:rFonts w:ascii="仿宋_GB2312" w:hAnsi="仿宋_GB2312" w:cs="仿宋_GB2312" w:eastAsia="仿宋_GB2312"/>
                <w:sz w:val="18"/>
              </w:rPr>
              <w:t>（2）行业标准、规范  /  ；</w:t>
            </w:r>
          </w:p>
          <w:p>
            <w:pPr>
              <w:pStyle w:val="null3"/>
              <w:jc w:val="both"/>
            </w:pPr>
            <w:r>
              <w:rPr>
                <w:rFonts w:ascii="仿宋_GB2312" w:hAnsi="仿宋_GB2312" w:cs="仿宋_GB2312" w:eastAsia="仿宋_GB2312"/>
                <w:sz w:val="18"/>
              </w:rPr>
              <w:t>（3）地方标准、规范  /  ；</w:t>
            </w:r>
          </w:p>
          <w:p>
            <w:pPr>
              <w:pStyle w:val="null3"/>
              <w:jc w:val="both"/>
            </w:pPr>
            <w:r>
              <w:rPr>
                <w:rFonts w:ascii="仿宋_GB2312" w:hAnsi="仿宋_GB2312" w:cs="仿宋_GB2312" w:eastAsia="仿宋_GB2312"/>
                <w:sz w:val="18"/>
              </w:rPr>
              <w:t>（4）团体标准、规范  /  ；</w:t>
            </w:r>
          </w:p>
          <w:p>
            <w:pPr>
              <w:pStyle w:val="null3"/>
              <w:jc w:val="both"/>
            </w:pPr>
            <w:r>
              <w:rPr>
                <w:rFonts w:ascii="仿宋_GB2312" w:hAnsi="仿宋_GB2312" w:cs="仿宋_GB2312" w:eastAsia="仿宋_GB2312"/>
                <w:sz w:val="18"/>
              </w:rPr>
              <w:t>（5）企业标准、规范  /  。</w:t>
            </w:r>
          </w:p>
          <w:p>
            <w:pPr>
              <w:pStyle w:val="null3"/>
              <w:jc w:val="both"/>
            </w:pPr>
            <w:r>
              <w:rPr>
                <w:rFonts w:ascii="仿宋_GB2312" w:hAnsi="仿宋_GB2312" w:cs="仿宋_GB2312" w:eastAsia="仿宋_GB2312"/>
                <w:sz w:val="18"/>
              </w:rPr>
              <w:t>2.3本章2.2条款未明确服务（产品）执行标准、规范的，按下列方法进行选择：</w:t>
            </w:r>
          </w:p>
          <w:p>
            <w:pPr>
              <w:pStyle w:val="null3"/>
              <w:jc w:val="both"/>
            </w:pPr>
            <w:r>
              <w:rPr>
                <w:rFonts w:ascii="仿宋_GB2312" w:hAnsi="仿宋_GB2312" w:cs="仿宋_GB2312" w:eastAsia="仿宋_GB2312"/>
                <w:sz w:val="18"/>
              </w:rPr>
              <w:t>□  顺序执行： 国家标准→行业标准→地方标准→ 团体标准→企业标准（有国家标准按国家标准执行，没有国家标 准按行业标准，以此类推）；</w:t>
            </w:r>
          </w:p>
          <w:p>
            <w:pPr>
              <w:pStyle w:val="null3"/>
              <w:jc w:val="both"/>
            </w:pPr>
            <w:r>
              <w:rPr>
                <w:rFonts w:ascii="仿宋_GB2312" w:hAnsi="仿宋_GB2312" w:cs="仿宋_GB2312" w:eastAsia="仿宋_GB2312"/>
                <w:sz w:val="18"/>
              </w:rPr>
              <w:t>□ 最高标准执行： 国家标准，行业标准，地方标准，团体标准，企业标准（哪个标准高执行哪个标准）</w:t>
            </w:r>
          </w:p>
          <w:p>
            <w:pPr>
              <w:pStyle w:val="null3"/>
            </w:pPr>
            <w:r>
              <w:rPr>
                <w:rFonts w:ascii="仿宋_GB2312" w:hAnsi="仿宋_GB2312" w:cs="仿宋_GB2312" w:eastAsia="仿宋_GB2312"/>
                <w:sz w:val="18"/>
                <w:color w:val="000000"/>
              </w:rPr>
              <w:t>√ 必须执行： 国家（行业）强制性标准。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按项目服务要求，组织项目实施与管理，建立以项目负责人和技术负责人为核心的项目部，实行项目经理（项目负责人）负责制，其他相关人员经过严格培训，能够胜任此项工作。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按项目服务要求，投入有利于本项目顺利实施的各类设施设备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待项目完成且达到采购人要求后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 一致，不允许修改和补充。提交地点：西安市未央区西安经济技术开发区凤城十二路首创禧悦里25幢A座16层。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七、签名是指手写签名或者加盖姓名章(含电子签名或电子印章)，盖章是指加盖单位印章。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（1）供应商的营业执照等证明文件，自然人的身份证明； (2) 法定代表人参加磋商的，提供本人身份证复印件；法定代表人授权他人参加磋商的，提供法定代表人委托授权书并出示被授权代表的身份证复印件； （3）供应商2024年6月至今已缴纳任意时段任意税种纳税凭证或税务机关开具的完税证明（个人所得税除外），依法免税的应提供相关文件证明； （4）供应商2024年6月至今已缴存的任意时段的社会保障资金缴存单据或社保机构开具的社会保险参保缴费情况证明，依法不需要缴纳社会保障资金的供应商应提供相关文件证明； （5）具有履行合同所必需的设备和专业技术能力的承诺；（6）参加本次采购前3年内，在经营活动中没有重大违法记录的书面声明。（7）供应商不得被列入“信用中国”网站(https://www.creditchina.gov.cn/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注：1、按照《中华人民共和国政府采购法》有关规定，采购代理机构依法对供应商的资格进行审查，并组建资格审查小组。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财务会计报告或其提交响应文件截止时间前3个月内基本账户开户银行出具的资信证明。（以上形式的资料提供任何一种即可） 要求： （1）供应商是企业法人的，应提供2023或2024全年度经审计的供应商财务报告，包括 “四表一注”即《资产负债表》《利润表》《现金流量表》《所有者权益变动表》及其附注，或者提交响应文件截止时间前3个月内基本账户开户银行出具的资信证明（附基本存款账户信息）； （2）供应商是执行《小企业会计准则》的小微企业的，应提供2023或2024全年度经审计的供应商财务报告，至少包括 《资产负债表》《利润表》《现金流量表》及其附注，或者提交响应文件截止时间前3个月内基本账户开户银行出具的资信证明（附基本存款账户信息）； （3）供应商是执行《事业单位会计准则》的事业单位法人的，应提供2023或2024全年度经审计的供应商财务报告，至少包括《资产负债表》《收入支出表或者收入费用表》《财政补助收入支出表》及其附注，或者提交响应文件截止时间前3个月内基本账户开户银行出具的资信证明（附基本存款账户信息）； （4）部分其他组织和自然人，提供提交响应文件截止时间前3个月内基本账户开户银行出具的资信证明（附账户信息）； （5）供应商是民办非企业单位的，应提供2023或2024全年度经审计的供应商财务报告，包括《资产负债表》《业务活动表》《现金流量表》及其附注或者提交响应文件截止时间前3个月内基本账户开户银行出具的资信证明（附账户信息）； （6）供应商成立不到1年（至提交响应文件截止时间）的，提供成立后任意时段的资产负债表，或提交响应文件截止时间前3个月内基本账户开户银行出具的资信证明（附基本存款账户信息）。</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供应商应具有国家测绘行政主管部门颁发的《测绘资质证书乙级》及以上资质证书（专业范围包含：摄影测量与遥感、地理信息系统工程）</w:t>
            </w:r>
          </w:p>
        </w:tc>
        <w:tc>
          <w:tcPr>
            <w:tcW w:type="dxa" w:w="1661"/>
          </w:tcPr>
          <w:p>
            <w:pPr>
              <w:pStyle w:val="null3"/>
            </w:pPr>
            <w:r>
              <w:rPr>
                <w:rFonts w:ascii="仿宋_GB2312" w:hAnsi="仿宋_GB2312" w:cs="仿宋_GB2312" w:eastAsia="仿宋_GB2312"/>
              </w:rPr>
              <w:t>资格证明部分.docx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标的清单 报价表 响应函 商务技术部分.docx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对本项目的实施背景、实施目的、实施意义等具备充分的认识。 ①对本项目的总体认识定位准确，理解深刻，表述清晰，对项目实施的重点、难点把握精准得10分；②对本项目的总体认识定位较准确，理解较清晰，对项目实施的重点、难点把握较准确得8分；③对本项目的总体认识定位基本准确，基本理解项目，表述一般，对项目实施的重点、难点认识一般得6分；④总体认识定位不准确，表述不清晰，但内容均围绕项目展开得4分；⑤提供了需求理解分析，但内容简单，与项目关联度不大得2分；⑥此项未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提供本项目数据库运维及成果应用总体方案，方案包括但不限于运维方案、成果应用方案。①方案完整全面、科学合理、可操作性强，完全满足采购人需求得10分；②方案全面，可操作性较强，基本满足采购人需求得8分；③方案基本完善，可操作性一般得6分；④方案简单，内容空泛得4分；⑤方案内容有缺漏，不能满足采购人需求得2分；⑥此项未提供者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提供针对本项目的工作质量控制方案。①方案结合本项目实际情况、组织合理高效，完全能够确保成果质量并进行提升得8分；②方案结合本项目实际情况、有一定组织性，基本能够确保成果质量并进行提升得6分；③方案有一定针对性，但欠缺项目组织，内容简单，无法确保成果质量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提供针对本项目的工作进度控制方案，包括但不限于：全过程工作计划、时间节点安排、保证措施等。①方案条理清晰，进度合理，措施完善可行性强，完全能够确保服务时限得8分；②方案条理较清晰，进度安排较合理，措施有一定可行性，基本能够确保服务时限得6分；③方案有一定针对性，进度安排无具体节点规划，无法确保服务期限得4分；④方案内容简单笼统，无针对性得2分；⑤此项未提供者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针对项目实施过程中可能出现的突发事件提供应急预案。应急预案全面，处理保障措施完善，有明确的应急机制，应急响应时间合理、人员保证充分，设施设备调配科学，处置方案有针对性。①应急预案全面详细、可操作性和针对性强得6分；②应急预案基本全面和可操作性、针对性得4分；③方案内容简单笼统，无针对性得2分；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风险管理措施方案</w:t>
            </w:r>
          </w:p>
        </w:tc>
        <w:tc>
          <w:tcPr>
            <w:tcW w:type="dxa" w:w="2492"/>
          </w:tcPr>
          <w:p>
            <w:pPr>
              <w:pStyle w:val="null3"/>
            </w:pPr>
            <w:r>
              <w:rPr>
                <w:rFonts w:ascii="仿宋_GB2312" w:hAnsi="仿宋_GB2312" w:cs="仿宋_GB2312" w:eastAsia="仿宋_GB2312"/>
              </w:rPr>
              <w:t>根据供应商提供的风险管理措施方案内容的完整性进行综合比较评分。①方案内容详细、合理得6分；②方案内容基本合理得4分；③方案内容不完善，内容欠缺得2分；④此项未提供者不计分。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数据管理措施方案</w:t>
            </w:r>
          </w:p>
        </w:tc>
        <w:tc>
          <w:tcPr>
            <w:tcW w:type="dxa" w:w="2492"/>
          </w:tcPr>
          <w:p>
            <w:pPr>
              <w:pStyle w:val="null3"/>
            </w:pPr>
            <w:r>
              <w:rPr>
                <w:rFonts w:ascii="仿宋_GB2312" w:hAnsi="仿宋_GB2312" w:cs="仿宋_GB2312" w:eastAsia="仿宋_GB2312"/>
              </w:rPr>
              <w:t>①对项目需求完全理解，数据安全管理体系制度健全，项目数据管理措施完整得当，符合国家要求和项目需要，可以完全实现数据快速交付，并提供详细、可行的技术方案的得6分；②对项目需求基本理解、基本实现数据的快速交付，有相关保密制度，项目保密措施基本完整，技术方案较详细、基本可行的得4分；③对项目需求初步理解、提供技术方案有缺项或与本项目不相适应的得2分；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重点、难点分析与合理化建议</w:t>
            </w:r>
          </w:p>
        </w:tc>
        <w:tc>
          <w:tcPr>
            <w:tcW w:type="dxa" w:w="2492"/>
          </w:tcPr>
          <w:p>
            <w:pPr>
              <w:pStyle w:val="null3"/>
            </w:pPr>
            <w:r>
              <w:rPr>
                <w:rFonts w:ascii="仿宋_GB2312" w:hAnsi="仿宋_GB2312" w:cs="仿宋_GB2312" w:eastAsia="仿宋_GB2312"/>
              </w:rPr>
              <w:t>有针对本项目重难点的分析、应对措施及其他针对本项目的合理化建议。①内容完整、详细，可实施性强得6分；②分析建议基本完整、内容一般得4分；③分析建议不全面、内容较差得2分；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有针对本项目的相关服务承诺（包含人员到位承诺、服务响应时间及其他实质性承诺）。①承诺内容合理、可行得6分；②承诺内容基本合理、可行得4分；③承诺内容欠缺，得2分；④此项未提供者不计分。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拟投入的团队人员方案</w:t>
            </w:r>
          </w:p>
        </w:tc>
        <w:tc>
          <w:tcPr>
            <w:tcW w:type="dxa" w:w="2492"/>
          </w:tcPr>
          <w:p>
            <w:pPr>
              <w:pStyle w:val="null3"/>
            </w:pPr>
            <w:r>
              <w:rPr>
                <w:rFonts w:ascii="仿宋_GB2312" w:hAnsi="仿宋_GB2312" w:cs="仿宋_GB2312" w:eastAsia="仿宋_GB2312"/>
              </w:rPr>
              <w:t>针对本项目提供拟投入的团队人员方案，组织机构设置合理，管理人员及技术人员配备数量充足、人员职责明确、分工清晰合理、相关项目实施经验丰富，满足项目实施要求。 ①人员配备完善合理、工作经验丰富得6分；②人员配备分工较明确，工作经验丰富一般得4分；③人员配备分工不明确，工作经验丰富较差得2分；④此项未提供者不计分。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拟派项目负责人：具有测绘地理信息类高级及以上职称得2分，未提供或提供不全不得分。 提供职称证书扫描件及2024年6月以来任意1个月的社保证明。提供不全或未提供者不计分。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拟派技术负责人：(不含项目负责人)具有测绘地理信息类高级及以上职称得1分。 提供职称证书扫描件及2024年6月以来任意1个月的社保证明。提供不全或未提供者不计分。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人员配备3</w:t>
            </w:r>
          </w:p>
        </w:tc>
        <w:tc>
          <w:tcPr>
            <w:tcW w:type="dxa" w:w="2492"/>
          </w:tcPr>
          <w:p>
            <w:pPr>
              <w:pStyle w:val="null3"/>
            </w:pPr>
            <w:r>
              <w:rPr>
                <w:rFonts w:ascii="仿宋_GB2312" w:hAnsi="仿宋_GB2312" w:cs="仿宋_GB2312" w:eastAsia="仿宋_GB2312"/>
              </w:rPr>
              <w:t>项目组成员：(不含项目负责人、技术负责人)具有测绘地理信息类中级及以上职称，每提供1人得1分，满分5分，未提供或提供不全不得分。 提供职称证书扫描件及2024年6月以来任意1个月的社保证明。提供不全或未提供者不计分。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提供2022年1月1日至今类似项目业绩，每个业绩计 2 分，满分 10 分。（业绩资料提供合同复印件，复印件加盖公章。以合同签订日期为准。）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磋商评审价为磋商基准价，其磋商报价为满分。供应商的磋商报价得分，统一按照下列公式计算：磋商评审价=磋商报价×（1-磋商报价扣除幅度），磋商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2）根据《财政部民政部中国残疾人联合会关于促进残疾人就业政府采购政策的通知》（财库[2017]141号）的规定，对符合条件的残疾人福利性单位产品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