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版本号：ZJZBSX-250726-1092220250811001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计算机综合实验教学中心更新改造项目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ZJZBSX-250726-10922</w:t>
      </w:r>
      <w:r>
        <w:br/>
      </w:r>
      <w:r>
        <w:br/>
      </w:r>
      <w:r>
        <w:br/>
      </w:r>
    </w:p>
    <w:p>
      <w:pPr>
        <w:pStyle w:val="null3"/>
        <w:jc w:val="center"/>
        <w:outlineLvl w:val="2"/>
      </w:pPr>
      <w:r>
        <w:rPr>
          <w:rFonts w:ascii="仿宋_GB2312" w:hAnsi="仿宋_GB2312" w:cs="仿宋_GB2312" w:eastAsia="仿宋_GB2312"/>
          <w:sz w:val="28"/>
          <w:b/>
        </w:rPr>
        <w:t>渭南师范学院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渭南师范学院</w:t>
      </w:r>
      <w:r>
        <w:rPr>
          <w:rFonts w:ascii="仿宋_GB2312" w:hAnsi="仿宋_GB2312" w:cs="仿宋_GB2312" w:eastAsia="仿宋_GB2312"/>
        </w:rPr>
        <w:t>委托，拟对</w:t>
      </w:r>
      <w:r>
        <w:rPr>
          <w:rFonts w:ascii="仿宋_GB2312" w:hAnsi="仿宋_GB2312" w:cs="仿宋_GB2312" w:eastAsia="仿宋_GB2312"/>
        </w:rPr>
        <w:t>计算机综合实验教学中心更新改造项目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ZJZBSX-250726-10922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计算机综合实验教学中心更新改造项目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计算机综合实验教学中心更新改造项目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 ：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p>
      <w:pPr>
        <w:pStyle w:val="null3"/>
      </w:pPr>
      <w:r>
        <w:rPr>
          <w:rFonts w:ascii="仿宋_GB2312" w:hAnsi="仿宋_GB2312" w:cs="仿宋_GB2312" w:eastAsia="仿宋_GB2312"/>
        </w:rPr>
        <w:t>3、财务状况报告 ：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注：提供财务报告的，必须为上传至注册会计师行业统一监管平台(http://acc.mof.gov.cn)并具有全国统一的二维码的财务报告；供应商需在项目电子化交易系统中按要求上传相应证明文件并进行电子签章。</w:t>
      </w:r>
    </w:p>
    <w:p>
      <w:pPr>
        <w:pStyle w:val="null3"/>
      </w:pPr>
      <w:r>
        <w:rPr>
          <w:rFonts w:ascii="仿宋_GB2312" w:hAnsi="仿宋_GB2312" w:cs="仿宋_GB2312" w:eastAsia="仿宋_GB2312"/>
        </w:rPr>
        <w:t>4、社会保障资金缴纳证明 ：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5、税收缴纳证明 ：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6、书面声明（信用记录） ：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7、承诺函： 提供具有履行合同所必需的设备和专业技术能力的承诺；供应商需在项目电子化交易系统中按要求上传相应证明文件并进行电子签章。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18329315300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采购包1：4,582,200.00元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说明：在合同签订后10日内，乙方向甲方支付合同价款的5%履约保证金。项目验收合格后，无质量问题达到付款条件起15日内，甲方向乙方一次性无息退还履约保证金。 履约保证金账户： 名 称：渭南师范学院 账 号：61001640032052500209 开户银行：建行渭南东风大街支行 纳税人识别号：12610000737981966E 地 址：陕西省渭南市朝阳大街中段 电 话：0913-2133930</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代理服务费收费标准：（1）10-40万元的项目，按每个项目收费按定额4500.00元收取。 （2）41-300万元的项目，参考国家计委计价格[2002]1980号文规定之收费标准下浮20%收取。 （3）301万元及以上的项目，参考国家计委计价格[2002]1980号文规定之收费标准下浮32%收取。 （4）专家论证费：按定额2000.00元收取。 具体收费额以招标代理机构出具的发票为准。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渭南师范学院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联系电话：029-87888601-8013</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计算机综合实验教学中心更新改造项目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4,582,200.00</w:t>
      </w:r>
    </w:p>
    <w:p>
      <w:pPr>
        <w:pStyle w:val="null3"/>
      </w:pPr>
      <w:r>
        <w:rPr>
          <w:rFonts w:ascii="仿宋_GB2312" w:hAnsi="仿宋_GB2312" w:cs="仿宋_GB2312" w:eastAsia="仿宋_GB2312"/>
        </w:rPr>
        <w:t>采购包最高限价（元）: 4,582,200.00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计算机综合实验教学中心更新改造项目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4,582,200.00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标的名称：计算机综合实验教学中心更新改造项目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一、</w:t>
            </w:r>
            <w:r>
              <w:rPr>
                <w:rFonts w:ascii="仿宋_GB2312" w:hAnsi="仿宋_GB2312" w:cs="仿宋_GB2312" w:eastAsia="仿宋_GB2312"/>
                <w:sz w:val="22"/>
                <w:b/>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315"/>
              <w:gridCol w:w="1384"/>
              <w:gridCol w:w="408"/>
              <w:gridCol w:w="446"/>
            </w:tblGrid>
            <w:tr>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融合节点服务器（含软件）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2.</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计算节点服务器（含软件）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3.</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服务器万兆接入交换机</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4.</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云桌面管理软件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5.</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云桌面接入终端</w:t>
                  </w:r>
                  <w:r>
                    <w:rPr>
                      <w:rFonts w:ascii="仿宋_GB2312" w:hAnsi="仿宋_GB2312" w:cs="仿宋_GB2312" w:eastAsia="仿宋_GB2312"/>
                      <w:sz w:val="22"/>
                      <w:b/>
                    </w:rPr>
                    <w:t>（核心产品）</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6.</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工作站</w:t>
                  </w:r>
                  <w:r>
                    <w:rPr>
                      <w:rFonts w:ascii="仿宋_GB2312" w:hAnsi="仿宋_GB2312" w:cs="仿宋_GB2312" w:eastAsia="仿宋_GB2312"/>
                      <w:sz w:val="22"/>
                      <w:b/>
                    </w:rPr>
                    <w:t>（核心产品）</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7.</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机房投影设备</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8.</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机房扩音系统</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9.</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多媒体讲台</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10.</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学生电脑桌（</w:t>
                  </w:r>
                  <w:r>
                    <w:rPr>
                      <w:rFonts w:ascii="仿宋_GB2312" w:hAnsi="仿宋_GB2312" w:cs="仿宋_GB2312" w:eastAsia="仿宋_GB2312"/>
                      <w:sz w:val="22"/>
                      <w:color w:val="000000"/>
                    </w:rPr>
                    <w:t>4联桌）</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11.</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学生电脑桌（</w:t>
                  </w:r>
                  <w:r>
                    <w:rPr>
                      <w:rFonts w:ascii="仿宋_GB2312" w:hAnsi="仿宋_GB2312" w:cs="仿宋_GB2312" w:eastAsia="仿宋_GB2312"/>
                      <w:sz w:val="22"/>
                      <w:color w:val="000000"/>
                    </w:rPr>
                    <w:t>4联带主机托板）</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12.</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学生电脑桌（</w:t>
                  </w:r>
                  <w:r>
                    <w:rPr>
                      <w:rFonts w:ascii="仿宋_GB2312" w:hAnsi="仿宋_GB2312" w:cs="仿宋_GB2312" w:eastAsia="仿宋_GB2312"/>
                      <w:sz w:val="22"/>
                      <w:color w:val="000000"/>
                    </w:rPr>
                    <w:t>3联桌）</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13.</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学生电脑凳</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14.</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空调</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0"/>
                    </w:rPr>
                    <w:t>15.</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数学建模软件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统计分析软件</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b/>
              </w:rPr>
              <w:t>二、</w:t>
            </w:r>
            <w:r>
              <w:rPr>
                <w:rFonts w:ascii="仿宋_GB2312" w:hAnsi="仿宋_GB2312" w:cs="仿宋_GB2312" w:eastAsia="仿宋_GB2312"/>
                <w:sz w:val="22"/>
                <w:b/>
              </w:rPr>
              <w:t>融合节点服务器（含软件）</w:t>
            </w:r>
          </w:p>
          <w:p>
            <w:pPr>
              <w:pStyle w:val="null3"/>
              <w:jc w:val="left"/>
            </w:pPr>
            <w:r>
              <w:rPr>
                <w:rFonts w:ascii="仿宋_GB2312" w:hAnsi="仿宋_GB2312" w:cs="仿宋_GB2312" w:eastAsia="仿宋_GB2312"/>
                <w:sz w:val="22"/>
                <w:b/>
              </w:rPr>
              <w:t>（一）融合节点服务器技术参数</w:t>
            </w:r>
          </w:p>
          <w:p>
            <w:pPr>
              <w:pStyle w:val="null3"/>
              <w:jc w:val="left"/>
            </w:pPr>
            <w:r>
              <w:rPr>
                <w:rFonts w:ascii="仿宋_GB2312" w:hAnsi="仿宋_GB2312" w:cs="仿宋_GB2312" w:eastAsia="仿宋_GB2312"/>
                <w:sz w:val="22"/>
              </w:rPr>
              <w:t>1.规格：标准2U服务器。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2.CPU≥2颗，第三代X86架构处理器，单颗CPU核心数不低于28核，主频不低于2.6GHz。</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3.内存≥384GB  3200MHz DDR4 RDIMM。</w:t>
            </w:r>
          </w:p>
          <w:p>
            <w:pPr>
              <w:pStyle w:val="null3"/>
              <w:jc w:val="left"/>
            </w:pPr>
            <w:r>
              <w:rPr>
                <w:rFonts w:ascii="仿宋_GB2312" w:hAnsi="仿宋_GB2312" w:cs="仿宋_GB2312" w:eastAsia="仿宋_GB2312"/>
                <w:sz w:val="22"/>
              </w:rPr>
              <w:t>4.系统盘≥2块SSD，每块SSD≥960GB，SAS接口。</w:t>
            </w:r>
          </w:p>
          <w:p>
            <w:pPr>
              <w:pStyle w:val="null3"/>
              <w:jc w:val="left"/>
            </w:pPr>
            <w:r>
              <w:rPr>
                <w:rFonts w:ascii="仿宋_GB2312" w:hAnsi="仿宋_GB2312" w:cs="仿宋_GB2312" w:eastAsia="仿宋_GB2312"/>
                <w:sz w:val="22"/>
              </w:rPr>
              <w:t>5.缓存盘≥2块NVMe SSD，每块NVMe≥1600GB（读写混合型）。</w:t>
            </w:r>
          </w:p>
          <w:p>
            <w:pPr>
              <w:pStyle w:val="null3"/>
              <w:jc w:val="left"/>
            </w:pPr>
            <w:r>
              <w:rPr>
                <w:rFonts w:ascii="仿宋_GB2312" w:hAnsi="仿宋_GB2312" w:cs="仿宋_GB2312" w:eastAsia="仿宋_GB2312"/>
                <w:sz w:val="22"/>
              </w:rPr>
              <w:t>6.数据盘≥12块，每块数据盘≥3.5寸/6Gb/7.2K 4TB。</w:t>
            </w:r>
          </w:p>
          <w:p>
            <w:pPr>
              <w:pStyle w:val="null3"/>
              <w:jc w:val="left"/>
            </w:pPr>
            <w:r>
              <w:rPr>
                <w:rFonts w:ascii="仿宋_GB2312" w:hAnsi="仿宋_GB2312" w:cs="仿宋_GB2312" w:eastAsia="仿宋_GB2312"/>
                <w:sz w:val="22"/>
              </w:rPr>
              <w:t>7.Raid卡≥1块，支持Raid0/1/5，缓存≥2G。</w:t>
            </w:r>
          </w:p>
          <w:p>
            <w:pPr>
              <w:pStyle w:val="null3"/>
              <w:jc w:val="left"/>
            </w:pPr>
            <w:r>
              <w:rPr>
                <w:rFonts w:ascii="仿宋_GB2312" w:hAnsi="仿宋_GB2312" w:cs="仿宋_GB2312" w:eastAsia="仿宋_GB2312"/>
                <w:sz w:val="22"/>
              </w:rPr>
              <w:t>8.万兆网卡≥2块，每块万兆网卡≥2端口10Gb SFP+，包含相关模块。</w:t>
            </w:r>
          </w:p>
          <w:p>
            <w:pPr>
              <w:pStyle w:val="null3"/>
              <w:jc w:val="left"/>
            </w:pPr>
            <w:r>
              <w:rPr>
                <w:rFonts w:ascii="仿宋_GB2312" w:hAnsi="仿宋_GB2312" w:cs="仿宋_GB2312" w:eastAsia="仿宋_GB2312"/>
                <w:sz w:val="22"/>
              </w:rPr>
              <w:t>9.千兆网卡≥1块，每块千兆网卡≥2端口1Gb BASE-T。</w:t>
            </w:r>
          </w:p>
          <w:p>
            <w:pPr>
              <w:pStyle w:val="null3"/>
              <w:jc w:val="left"/>
            </w:pPr>
            <w:r>
              <w:rPr>
                <w:rFonts w:ascii="仿宋_GB2312" w:hAnsi="仿宋_GB2312" w:cs="仿宋_GB2312" w:eastAsia="仿宋_GB2312"/>
                <w:sz w:val="22"/>
              </w:rPr>
              <w:t>10.电源≥2块，每块电源≥900W。</w:t>
            </w:r>
          </w:p>
          <w:p>
            <w:pPr>
              <w:pStyle w:val="null3"/>
              <w:jc w:val="left"/>
            </w:pPr>
            <w:r>
              <w:rPr>
                <w:rFonts w:ascii="仿宋_GB2312" w:hAnsi="仿宋_GB2312" w:cs="仿宋_GB2312" w:eastAsia="仿宋_GB2312"/>
                <w:sz w:val="22"/>
              </w:rPr>
              <w:t>11.服务：提供三年免费原厂售后服务的相关证明材料（包含不限于授权书、承诺函）。</w:t>
            </w:r>
          </w:p>
          <w:p>
            <w:pPr>
              <w:pStyle w:val="null3"/>
              <w:jc w:val="left"/>
            </w:pPr>
            <w:r>
              <w:rPr>
                <w:rFonts w:ascii="仿宋_GB2312" w:hAnsi="仿宋_GB2312" w:cs="仿宋_GB2312" w:eastAsia="仿宋_GB2312"/>
                <w:sz w:val="22"/>
                <w:b/>
              </w:rPr>
              <w:t>（二）超融合软件</w:t>
            </w:r>
          </w:p>
          <w:p>
            <w:pPr>
              <w:pStyle w:val="null3"/>
              <w:jc w:val="left"/>
            </w:pPr>
            <w:r>
              <w:rPr>
                <w:rFonts w:ascii="仿宋_GB2312" w:hAnsi="仿宋_GB2312" w:cs="仿宋_GB2312" w:eastAsia="仿宋_GB2312"/>
                <w:sz w:val="22"/>
              </w:rPr>
              <w:t>1.每节点配置≥2个CPU的超融合软件和虚拟化软件授权，提供原厂三年7*24小时软件技术支持服务。</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2.虚拟化平台软件、超融合软件必须具有国产软件自主知识产权，具有自主研发能力，保障后续产品的连续性，须提供证明材料。</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3.超融合方案中虚拟化软件、分布式存储软件、管理软件的操作系统采用国产操作系统，</w:t>
            </w:r>
            <w:r>
              <w:rPr>
                <w:rFonts w:ascii="仿宋_GB2312" w:hAnsi="仿宋_GB2312" w:cs="仿宋_GB2312" w:eastAsia="仿宋_GB2312"/>
                <w:sz w:val="22"/>
              </w:rPr>
              <w:t>说明底层操作系统来源并提供查询手段及结果，不得采用国外开源社区操作系统（包括但不限于</w:t>
            </w:r>
            <w:r>
              <w:rPr>
                <w:rFonts w:ascii="仿宋_GB2312" w:hAnsi="仿宋_GB2312" w:cs="仿宋_GB2312" w:eastAsia="仿宋_GB2312"/>
                <w:sz w:val="22"/>
              </w:rPr>
              <w:t>RedHat、CentOS及衍生版本）和国外操作系统（如Suse），提供相关第三方证明材料。</w:t>
            </w:r>
          </w:p>
          <w:p>
            <w:pPr>
              <w:pStyle w:val="null3"/>
              <w:jc w:val="left"/>
            </w:pPr>
            <w:r>
              <w:rPr>
                <w:rFonts w:ascii="仿宋_GB2312" w:hAnsi="仿宋_GB2312" w:cs="仿宋_GB2312" w:eastAsia="仿宋_GB2312"/>
                <w:sz w:val="22"/>
              </w:rPr>
              <w:t>4.通过X86服务器节点构建，同一节点内实现计算存储融合，不需要外置SAN存储，存储系统为分布式Server SAN架构，可配置多副本或EC模式，本次项目要求提供≥65TB可得存储容量。</w:t>
            </w:r>
          </w:p>
          <w:p>
            <w:pPr>
              <w:pStyle w:val="null3"/>
              <w:jc w:val="left"/>
            </w:pPr>
            <w:r>
              <w:rPr>
                <w:rFonts w:ascii="仿宋_GB2312" w:hAnsi="仿宋_GB2312" w:cs="仿宋_GB2312" w:eastAsia="仿宋_GB2312"/>
                <w:sz w:val="22"/>
              </w:rPr>
              <w:t>5.支持在统一管理界面中监控和管理计算、存储、网络、虚拟化平台；支持一键式或定期自动输出系统健康巡检报告，包括CPU、内存、HDD、SSD、RAID卡等硬件状态，虚拟化平台，存储软件，超融合等管理软件等部件的健康状态。</w:t>
            </w:r>
            <w:r>
              <w:rPr>
                <w:rFonts w:ascii="仿宋_GB2312" w:hAnsi="仿宋_GB2312" w:cs="仿宋_GB2312" w:eastAsia="仿宋_GB2312"/>
                <w:sz w:val="22"/>
              </w:rPr>
              <w:t>提供第三方机构出具的检测报告证明。</w:t>
            </w:r>
          </w:p>
          <w:p>
            <w:pPr>
              <w:pStyle w:val="null3"/>
              <w:jc w:val="left"/>
            </w:pPr>
            <w:r>
              <w:rPr>
                <w:rFonts w:ascii="仿宋_GB2312" w:hAnsi="仿宋_GB2312" w:cs="仿宋_GB2312" w:eastAsia="仿宋_GB2312"/>
                <w:sz w:val="22"/>
              </w:rPr>
              <w:t>6.支持在统一界面上扩容节点，在界面可将待扩容节点自动发现，完成相应的系统配置，包括：IP地址、主机名、网关、存储池等参数，校验后进行系统扩容操作，将待扩容节点加入系统集群中。提供第三方机构出具的检测报告证明。</w:t>
            </w:r>
          </w:p>
          <w:p>
            <w:pPr>
              <w:pStyle w:val="null3"/>
              <w:jc w:val="left"/>
            </w:pPr>
            <w:r>
              <w:rPr>
                <w:rFonts w:ascii="仿宋_GB2312" w:hAnsi="仿宋_GB2312" w:cs="仿宋_GB2312" w:eastAsia="仿宋_GB2312"/>
                <w:sz w:val="22"/>
              </w:rPr>
              <w:t>7.支持用户自定义性能图表并指定对象，对CPU利用率、内存利用率、带宽、IOPS、时延、磁盘利用率、存储池利用率等进行统计。提供软件界面截图证明。</w:t>
            </w:r>
          </w:p>
          <w:p>
            <w:pPr>
              <w:pStyle w:val="null3"/>
              <w:jc w:val="left"/>
            </w:pPr>
            <w:r>
              <w:rPr>
                <w:rFonts w:ascii="仿宋_GB2312" w:hAnsi="仿宋_GB2312" w:cs="仿宋_GB2312" w:eastAsia="仿宋_GB2312"/>
                <w:sz w:val="22"/>
              </w:rPr>
              <w:t>8.支持虚拟机的CPU、内存、存储的QoS设置。</w:t>
            </w:r>
          </w:p>
          <w:p>
            <w:pPr>
              <w:pStyle w:val="null3"/>
              <w:jc w:val="left"/>
            </w:pPr>
            <w:r>
              <w:rPr>
                <w:rFonts w:ascii="仿宋_GB2312" w:hAnsi="仿宋_GB2312" w:cs="仿宋_GB2312" w:eastAsia="仿宋_GB2312"/>
                <w:sz w:val="22"/>
              </w:rPr>
              <w:t>9.支持将虚拟机删除后放入回收站，回收站内的虚拟机可复原。</w:t>
            </w:r>
          </w:p>
          <w:p>
            <w:pPr>
              <w:pStyle w:val="null3"/>
              <w:jc w:val="left"/>
            </w:pPr>
            <w:r>
              <w:rPr>
                <w:rFonts w:ascii="仿宋_GB2312" w:hAnsi="仿宋_GB2312" w:cs="仿宋_GB2312" w:eastAsia="仿宋_GB2312"/>
                <w:sz w:val="22"/>
              </w:rPr>
              <w:t>10.在虚拟机启动和运行阶段，支持同一集群资源内各个主机的负载均衡。</w:t>
            </w:r>
          </w:p>
          <w:p>
            <w:pPr>
              <w:pStyle w:val="null3"/>
              <w:jc w:val="left"/>
            </w:pPr>
            <w:r>
              <w:rPr>
                <w:rFonts w:ascii="仿宋_GB2312" w:hAnsi="仿宋_GB2312" w:cs="仿宋_GB2312" w:eastAsia="仿宋_GB2312"/>
                <w:sz w:val="22"/>
              </w:rPr>
              <w:t>11.支持通过文件夹对虚拟机分组，不同类型的虚拟机实现逻辑分组管理，</w:t>
            </w:r>
            <w:r>
              <w:rPr>
                <w:rFonts w:ascii="仿宋_GB2312" w:hAnsi="仿宋_GB2312" w:cs="仿宋_GB2312" w:eastAsia="仿宋_GB2312"/>
                <w:sz w:val="22"/>
              </w:rPr>
              <w:t>支持</w:t>
            </w:r>
            <w:r>
              <w:rPr>
                <w:rFonts w:ascii="仿宋_GB2312" w:hAnsi="仿宋_GB2312" w:cs="仿宋_GB2312" w:eastAsia="仿宋_GB2312"/>
                <w:sz w:val="22"/>
              </w:rPr>
              <w:t>对分组虚拟机批量进行关闭、启动、重启、迁移等操作。</w:t>
            </w:r>
          </w:p>
          <w:p>
            <w:pPr>
              <w:pStyle w:val="null3"/>
              <w:jc w:val="left"/>
            </w:pPr>
            <w:r>
              <w:rPr>
                <w:rFonts w:ascii="仿宋_GB2312" w:hAnsi="仿宋_GB2312" w:cs="仿宋_GB2312" w:eastAsia="仿宋_GB2312"/>
                <w:sz w:val="22"/>
              </w:rPr>
              <w:t>12.支持创建精简配置卷，系统能够根据精简配置卷的实际使用情况动态分配空间，提供存储资源利用率。</w:t>
            </w:r>
          </w:p>
          <w:p>
            <w:pPr>
              <w:pStyle w:val="null3"/>
              <w:jc w:val="left"/>
            </w:pPr>
            <w:r>
              <w:rPr>
                <w:rFonts w:ascii="仿宋_GB2312" w:hAnsi="仿宋_GB2312" w:cs="仿宋_GB2312" w:eastAsia="仿宋_GB2312"/>
                <w:sz w:val="22"/>
              </w:rPr>
              <w:t>13.支持卷的IOPS、带宽的上限设置，可设置卷的总IOPS和带宽，也可以设置每单位容量的IOPS与带宽。提供软件界面截图证明。</w:t>
            </w:r>
          </w:p>
          <w:p>
            <w:pPr>
              <w:pStyle w:val="null3"/>
              <w:jc w:val="left"/>
            </w:pPr>
            <w:r>
              <w:rPr>
                <w:rFonts w:ascii="仿宋_GB2312" w:hAnsi="仿宋_GB2312" w:cs="仿宋_GB2312" w:eastAsia="仿宋_GB2312"/>
                <w:sz w:val="22"/>
              </w:rPr>
              <w:t>14.支持虚拟交换机，通过对接受和发送的流量进行整形保证网络质量，至少支持安全组、平均带宽、峰值带宽、突发大小、优先级、DHCP隔离、广播抑制的设置。</w:t>
            </w:r>
            <w:r>
              <w:rPr>
                <w:rFonts w:ascii="仿宋_GB2312" w:hAnsi="仿宋_GB2312" w:cs="仿宋_GB2312" w:eastAsia="仿宋_GB2312"/>
                <w:sz w:val="22"/>
              </w:rPr>
              <w:t>提供软件界面截图证明。</w:t>
            </w:r>
          </w:p>
          <w:p>
            <w:pPr>
              <w:pStyle w:val="null3"/>
              <w:jc w:val="left"/>
            </w:pPr>
            <w:r>
              <w:rPr>
                <w:rFonts w:ascii="仿宋_GB2312" w:hAnsi="仿宋_GB2312" w:cs="仿宋_GB2312" w:eastAsia="仿宋_GB2312"/>
                <w:sz w:val="22"/>
              </w:rPr>
              <w:t>15.支持SR-IOV直通，网络传输绕过软件模拟层，直接分配到虚拟机。提供软件界面截图证明。</w:t>
            </w:r>
          </w:p>
          <w:p>
            <w:pPr>
              <w:pStyle w:val="null3"/>
              <w:jc w:val="left"/>
            </w:pPr>
            <w:r>
              <w:rPr>
                <w:rFonts w:ascii="仿宋_GB2312" w:hAnsi="仿宋_GB2312" w:cs="仿宋_GB2312" w:eastAsia="仿宋_GB2312"/>
                <w:sz w:val="22"/>
              </w:rPr>
              <w:t>16.支持虚拟机HA，允许配置集群内HA预留的主机数量，支持配置存储故障后是否选择HA虚拟机。</w:t>
            </w:r>
          </w:p>
          <w:p>
            <w:pPr>
              <w:pStyle w:val="null3"/>
              <w:jc w:val="left"/>
            </w:pPr>
            <w:r>
              <w:rPr>
                <w:rFonts w:ascii="仿宋_GB2312" w:hAnsi="仿宋_GB2312" w:cs="仿宋_GB2312" w:eastAsia="仿宋_GB2312"/>
                <w:sz w:val="22"/>
              </w:rPr>
              <w:t>17.支持同一厂商的无代理备份软件，无需在虚拟机中安装备份客户端，将虚拟机备份到本地或第三方存储上，支持全量备份、增量备份、定时备份。</w:t>
            </w:r>
          </w:p>
          <w:p>
            <w:pPr>
              <w:pStyle w:val="null3"/>
              <w:jc w:val="left"/>
            </w:pPr>
            <w:r>
              <w:rPr>
                <w:rFonts w:ascii="仿宋_GB2312" w:hAnsi="仿宋_GB2312" w:cs="仿宋_GB2312" w:eastAsia="仿宋_GB2312"/>
                <w:sz w:val="22"/>
              </w:rPr>
              <w:t>18.支持网络亚健康管理功能：支持针对存储节点的网络出现丢包、错包、延时大、速率不匹配等故障现象可提供故障告警并自动尝试修复。提供第三方机构出具的检测报告证明。</w:t>
            </w:r>
          </w:p>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9.支持磁盘热插拔和换位的容错功能，支持节点内任意一个存储磁盘/SSD交换位置。提供证明材料（包含不限于技术白皮书、产品彩页、官网截图等相关资料）。</w:t>
            </w:r>
          </w:p>
          <w:p>
            <w:pPr>
              <w:pStyle w:val="null3"/>
              <w:jc w:val="left"/>
            </w:pPr>
            <w:r>
              <w:rPr>
                <w:rFonts w:ascii="仿宋_GB2312" w:hAnsi="仿宋_GB2312" w:cs="仿宋_GB2312" w:eastAsia="仿宋_GB2312"/>
                <w:sz w:val="22"/>
              </w:rPr>
              <w:t>20.当磁盘故障时，系统能自动进行数据快速重构，1TB重构时间≤15分钟。提供第三方机构出具的检测报告证明。</w:t>
            </w:r>
          </w:p>
          <w:p>
            <w:pPr>
              <w:pStyle w:val="null3"/>
              <w:jc w:val="both"/>
            </w:pPr>
            <w:r>
              <w:rPr>
                <w:rFonts w:ascii="仿宋_GB2312" w:hAnsi="仿宋_GB2312" w:cs="仿宋_GB2312" w:eastAsia="仿宋_GB2312"/>
                <w:sz w:val="22"/>
              </w:rPr>
              <w:t>21.超融合系统支持“基于角色访问控制”的管理运维模式。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计算节点服务器（含软件）</w:t>
            </w:r>
          </w:p>
          <w:p>
            <w:pPr>
              <w:pStyle w:val="null3"/>
              <w:jc w:val="left"/>
            </w:pPr>
            <w:r>
              <w:rPr>
                <w:rFonts w:ascii="仿宋_GB2312" w:hAnsi="仿宋_GB2312" w:cs="仿宋_GB2312" w:eastAsia="仿宋_GB2312"/>
                <w:sz w:val="22"/>
                <w:b/>
                <w:color w:val="000000"/>
              </w:rPr>
              <w:t>（一）计算节点服务器技术参数</w:t>
            </w:r>
          </w:p>
          <w:p>
            <w:pPr>
              <w:pStyle w:val="null3"/>
              <w:jc w:val="both"/>
            </w:pPr>
            <w:r>
              <w:rPr>
                <w:rFonts w:ascii="仿宋_GB2312" w:hAnsi="仿宋_GB2312" w:cs="仿宋_GB2312" w:eastAsia="仿宋_GB2312"/>
                <w:sz w:val="22"/>
                <w:color w:val="000000"/>
              </w:rPr>
              <w:t>1.规格：标准2U服务器。</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2.CPU≥2颗，第三代X86架构处理器，单颗CPU核心数不低于28核，主频不低于2.6GHz。</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3.内存≥384GB  3200MHz DDR4 RDIMM。</w:t>
            </w:r>
          </w:p>
          <w:p>
            <w:pPr>
              <w:pStyle w:val="null3"/>
              <w:jc w:val="both"/>
            </w:pPr>
            <w:r>
              <w:rPr>
                <w:rFonts w:ascii="仿宋_GB2312" w:hAnsi="仿宋_GB2312" w:cs="仿宋_GB2312" w:eastAsia="仿宋_GB2312"/>
                <w:sz w:val="22"/>
              </w:rPr>
              <w:t>4.系统盘≥2块SSD，每块SSD≥960GB，SAS接口。</w:t>
            </w:r>
          </w:p>
          <w:p>
            <w:pPr>
              <w:pStyle w:val="null3"/>
              <w:jc w:val="both"/>
            </w:pPr>
            <w:r>
              <w:rPr>
                <w:rFonts w:ascii="仿宋_GB2312" w:hAnsi="仿宋_GB2312" w:cs="仿宋_GB2312" w:eastAsia="仿宋_GB2312"/>
                <w:sz w:val="22"/>
              </w:rPr>
              <w:t>5.Raid卡≥1块，支持Raid0/1/5，缓存≥2G。</w:t>
            </w:r>
          </w:p>
          <w:p>
            <w:pPr>
              <w:pStyle w:val="null3"/>
              <w:jc w:val="both"/>
            </w:pPr>
            <w:r>
              <w:rPr>
                <w:rFonts w:ascii="仿宋_GB2312" w:hAnsi="仿宋_GB2312" w:cs="仿宋_GB2312" w:eastAsia="仿宋_GB2312"/>
                <w:sz w:val="22"/>
              </w:rPr>
              <w:t>6.万兆网卡≥2块，每块万兆网卡≥2端口10Gb SFP+，包含相关模块。</w:t>
            </w:r>
          </w:p>
          <w:p>
            <w:pPr>
              <w:pStyle w:val="null3"/>
              <w:jc w:val="both"/>
            </w:pPr>
            <w:r>
              <w:rPr>
                <w:rFonts w:ascii="仿宋_GB2312" w:hAnsi="仿宋_GB2312" w:cs="仿宋_GB2312" w:eastAsia="仿宋_GB2312"/>
                <w:sz w:val="22"/>
              </w:rPr>
              <w:t>7.千兆网卡≥1块，每块千兆网卡≥2端口1Gb BASE-T。</w:t>
            </w:r>
          </w:p>
          <w:p>
            <w:pPr>
              <w:pStyle w:val="null3"/>
              <w:jc w:val="both"/>
            </w:pPr>
            <w:r>
              <w:rPr>
                <w:rFonts w:ascii="仿宋_GB2312" w:hAnsi="仿宋_GB2312" w:cs="仿宋_GB2312" w:eastAsia="仿宋_GB2312"/>
                <w:sz w:val="22"/>
              </w:rPr>
              <w:t>8.电源≥2块，每块电源≥900W。</w:t>
            </w:r>
          </w:p>
          <w:p>
            <w:pPr>
              <w:pStyle w:val="null3"/>
              <w:jc w:val="left"/>
            </w:pPr>
            <w:r>
              <w:rPr>
                <w:rFonts w:ascii="仿宋_GB2312" w:hAnsi="仿宋_GB2312" w:cs="仿宋_GB2312" w:eastAsia="仿宋_GB2312"/>
                <w:sz w:val="22"/>
              </w:rPr>
              <w:t>9.服务：提供三年免费原厂售后服务，提供相关证明材料（包含不限于授权书、承诺函）。</w:t>
            </w:r>
          </w:p>
          <w:p>
            <w:pPr>
              <w:pStyle w:val="null3"/>
              <w:jc w:val="both"/>
            </w:pPr>
            <w:r>
              <w:rPr>
                <w:rFonts w:ascii="仿宋_GB2312" w:hAnsi="仿宋_GB2312" w:cs="仿宋_GB2312" w:eastAsia="仿宋_GB2312"/>
                <w:sz w:val="22"/>
                <w:b/>
              </w:rPr>
              <w:t>（二）超融合软件</w:t>
            </w:r>
          </w:p>
          <w:p>
            <w:pPr>
              <w:pStyle w:val="null3"/>
              <w:jc w:val="both"/>
            </w:pPr>
            <w:r>
              <w:rPr>
                <w:rFonts w:ascii="仿宋_GB2312" w:hAnsi="仿宋_GB2312" w:cs="仿宋_GB2312" w:eastAsia="仿宋_GB2312"/>
                <w:sz w:val="22"/>
              </w:rPr>
              <w:t>1.每节点配置≥2个CPU的超融合软件和虚拟化软件授权，提供原厂三年7*24小时软件技术支持服务。</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2.虚拟化平台软件、超融合软件必须具有国产软件自主知识产权，具有自主研发能力，保障后续产品的连续性，</w:t>
            </w:r>
            <w:r>
              <w:rPr>
                <w:rFonts w:ascii="仿宋_GB2312" w:hAnsi="仿宋_GB2312" w:cs="仿宋_GB2312" w:eastAsia="仿宋_GB2312"/>
                <w:sz w:val="22"/>
                <w:b/>
              </w:rPr>
              <w:t>须提供证明材料。</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3.超融合方案中虚拟化软件、分布式存储软件、管</w:t>
            </w:r>
            <w:r>
              <w:rPr>
                <w:rFonts w:ascii="仿宋_GB2312" w:hAnsi="仿宋_GB2312" w:cs="仿宋_GB2312" w:eastAsia="仿宋_GB2312"/>
                <w:sz w:val="22"/>
                <w:color w:val="000000"/>
              </w:rPr>
              <w:t>理软件的操作系统采用国产操作系统，说明底层操作系统来源并提供查询手段及结果，不得采用国外开源社区操作系统（包括但不限于</w:t>
            </w:r>
            <w:r>
              <w:rPr>
                <w:rFonts w:ascii="仿宋_GB2312" w:hAnsi="仿宋_GB2312" w:cs="仿宋_GB2312" w:eastAsia="仿宋_GB2312"/>
                <w:sz w:val="22"/>
                <w:color w:val="000000"/>
              </w:rPr>
              <w:t>RedHat、CentOS及衍生版本）和国外操作系统（如Suse），提供相关第三方证明材料。</w:t>
            </w:r>
          </w:p>
          <w:p>
            <w:pPr>
              <w:pStyle w:val="null3"/>
              <w:jc w:val="both"/>
            </w:pPr>
            <w:r>
              <w:rPr>
                <w:rFonts w:ascii="仿宋_GB2312" w:hAnsi="仿宋_GB2312" w:cs="仿宋_GB2312" w:eastAsia="仿宋_GB2312"/>
                <w:sz w:val="22"/>
                <w:color w:val="000000"/>
              </w:rPr>
              <w:t>4.通过X86服务器节点构建，同一节点内实现计算存储融合，不需要外置SAN存储，存储系统为分布式Server SAN架构，可配置多副本或EC模式，本次项目要求提供≥65TB可得存储容量。</w:t>
            </w:r>
          </w:p>
          <w:p>
            <w:pPr>
              <w:pStyle w:val="null3"/>
              <w:jc w:val="both"/>
            </w:pPr>
            <w:r>
              <w:rPr>
                <w:rFonts w:ascii="仿宋_GB2312" w:hAnsi="仿宋_GB2312" w:cs="仿宋_GB2312" w:eastAsia="仿宋_GB2312"/>
                <w:sz w:val="22"/>
              </w:rPr>
              <w:t>5.支持在统一管理界面中监控和管理计算、存储、网络、虚拟化平台；支持一键式或定期自动输出系统健康巡检报告，包括CPU、内存、HDD、SSD、RAID卡等硬件状态，虚拟化平台，存储软件，超融合等管理软件等部件的健康状态。提供第三方机构出具的检测报告证明。</w:t>
            </w:r>
          </w:p>
          <w:p>
            <w:pPr>
              <w:pStyle w:val="null3"/>
              <w:jc w:val="both"/>
            </w:pPr>
            <w:r>
              <w:rPr>
                <w:rFonts w:ascii="仿宋_GB2312" w:hAnsi="仿宋_GB2312" w:cs="仿宋_GB2312" w:eastAsia="仿宋_GB2312"/>
                <w:sz w:val="22"/>
              </w:rPr>
              <w:t>6.支持在统一界面上扩容节点，在界面可</w:t>
            </w:r>
            <w:r>
              <w:rPr>
                <w:rFonts w:ascii="仿宋_GB2312" w:hAnsi="仿宋_GB2312" w:cs="仿宋_GB2312" w:eastAsia="仿宋_GB2312"/>
                <w:sz w:val="22"/>
                <w:color w:val="000000"/>
              </w:rPr>
              <w:t>将待扩容节点自动发现，完成相应的系统配置，包括：</w:t>
            </w:r>
            <w:r>
              <w:rPr>
                <w:rFonts w:ascii="仿宋_GB2312" w:hAnsi="仿宋_GB2312" w:cs="仿宋_GB2312" w:eastAsia="仿宋_GB2312"/>
                <w:sz w:val="22"/>
                <w:color w:val="000000"/>
              </w:rPr>
              <w:t>IP地址、主机名、网关、存储池等参数，校验后进行系统扩容操作，将待扩容节点加入系统集群中。提供第三方机构出具的检测报告证明。</w:t>
            </w:r>
          </w:p>
          <w:p>
            <w:pPr>
              <w:pStyle w:val="null3"/>
              <w:jc w:val="both"/>
            </w:pPr>
            <w:r>
              <w:rPr>
                <w:rFonts w:ascii="仿宋_GB2312" w:hAnsi="仿宋_GB2312" w:cs="仿宋_GB2312" w:eastAsia="仿宋_GB2312"/>
                <w:sz w:val="22"/>
                <w:color w:val="000000"/>
              </w:rPr>
              <w:t>7.支持用户自定义性能图表并指定对象，对CPU利用率、内存利用率、带宽、IOPS、时延、磁盘利用率、存储池利用率等进行统计。提供软件界面截图证明。</w:t>
            </w:r>
          </w:p>
          <w:p>
            <w:pPr>
              <w:pStyle w:val="null3"/>
              <w:jc w:val="both"/>
            </w:pPr>
            <w:r>
              <w:rPr>
                <w:rFonts w:ascii="仿宋_GB2312" w:hAnsi="仿宋_GB2312" w:cs="仿宋_GB2312" w:eastAsia="仿宋_GB2312"/>
                <w:sz w:val="22"/>
              </w:rPr>
              <w:t>8.支持虚拟机的CPU、内存、存储的QoS设置。</w:t>
            </w:r>
          </w:p>
          <w:p>
            <w:pPr>
              <w:pStyle w:val="null3"/>
              <w:jc w:val="both"/>
            </w:pPr>
            <w:r>
              <w:rPr>
                <w:rFonts w:ascii="仿宋_GB2312" w:hAnsi="仿宋_GB2312" w:cs="仿宋_GB2312" w:eastAsia="仿宋_GB2312"/>
                <w:sz w:val="22"/>
              </w:rPr>
              <w:t>9.支持将虚拟机删除后放入回收站，回收站内的虚拟机可复原。</w:t>
            </w:r>
          </w:p>
          <w:p>
            <w:pPr>
              <w:pStyle w:val="null3"/>
              <w:jc w:val="left"/>
            </w:pPr>
            <w:r>
              <w:rPr>
                <w:rFonts w:ascii="仿宋_GB2312" w:hAnsi="仿宋_GB2312" w:cs="仿宋_GB2312" w:eastAsia="仿宋_GB2312"/>
                <w:sz w:val="22"/>
              </w:rPr>
              <w:t>10.在虚拟机启动和运行阶段，支持同一集群资源内各个主机的负载均衡。</w:t>
            </w:r>
          </w:p>
          <w:p>
            <w:pPr>
              <w:pStyle w:val="null3"/>
              <w:jc w:val="left"/>
            </w:pPr>
            <w:r>
              <w:rPr>
                <w:rFonts w:ascii="仿宋_GB2312" w:hAnsi="仿宋_GB2312" w:cs="仿宋_GB2312" w:eastAsia="仿宋_GB2312"/>
                <w:sz w:val="22"/>
              </w:rPr>
              <w:t>11.支持通过文件夹对虚拟机分组，不同类型的虚拟机实现逻辑分组管理，支持对分组虚拟机批量进行关闭、启动、重启、迁移等操作。</w:t>
            </w:r>
          </w:p>
          <w:p>
            <w:pPr>
              <w:pStyle w:val="null3"/>
              <w:jc w:val="left"/>
            </w:pPr>
            <w:r>
              <w:rPr>
                <w:rFonts w:ascii="仿宋_GB2312" w:hAnsi="仿宋_GB2312" w:cs="仿宋_GB2312" w:eastAsia="仿宋_GB2312"/>
                <w:sz w:val="22"/>
              </w:rPr>
              <w:t>12.系统能够创建精简配置卷，根据精简配置卷的实际使用情况动态分配空间，提高存储资源利用率。</w:t>
            </w:r>
          </w:p>
          <w:p>
            <w:pPr>
              <w:pStyle w:val="null3"/>
              <w:jc w:val="both"/>
            </w:pPr>
            <w:r>
              <w:rPr>
                <w:rFonts w:ascii="仿宋_GB2312" w:hAnsi="仿宋_GB2312" w:cs="仿宋_GB2312" w:eastAsia="仿宋_GB2312"/>
                <w:sz w:val="22"/>
                <w:color w:val="000000"/>
              </w:rPr>
              <w:t>13.支持卷的IOPS、带宽的上限设置，可设置卷的总IOPS和带宽，也可以设置每单位容量的IOPS与带宽。提供软件界面截图证明。</w:t>
            </w:r>
          </w:p>
          <w:p>
            <w:pPr>
              <w:pStyle w:val="null3"/>
              <w:jc w:val="both"/>
            </w:pPr>
            <w:r>
              <w:rPr>
                <w:rFonts w:ascii="仿宋_GB2312" w:hAnsi="仿宋_GB2312" w:cs="仿宋_GB2312" w:eastAsia="仿宋_GB2312"/>
                <w:sz w:val="22"/>
                <w:color w:val="000000"/>
              </w:rPr>
              <w:t>14.支持虚拟交换机，通过对接受和发送的流量进行整形保证网络质量，至少支持安全组、平均带宽、峰值带宽、突发大小、优先级、DHCP隔离、广播抑制的设置。</w:t>
            </w:r>
            <w:r>
              <w:rPr>
                <w:rFonts w:ascii="仿宋_GB2312" w:hAnsi="仿宋_GB2312" w:cs="仿宋_GB2312" w:eastAsia="仿宋_GB2312"/>
                <w:sz w:val="22"/>
              </w:rPr>
              <w:t>提供软件界面截图证明。</w:t>
            </w:r>
          </w:p>
          <w:p>
            <w:pPr>
              <w:pStyle w:val="null3"/>
              <w:jc w:val="left"/>
            </w:pPr>
            <w:r>
              <w:rPr>
                <w:rFonts w:ascii="仿宋_GB2312" w:hAnsi="仿宋_GB2312" w:cs="仿宋_GB2312" w:eastAsia="仿宋_GB2312"/>
                <w:sz w:val="22"/>
              </w:rPr>
              <w:t>15.支持SR-IOV直通，网络传输绕过软件模拟层，直接分配到虚拟机。提供软件界面截图证明。</w:t>
            </w:r>
          </w:p>
          <w:p>
            <w:pPr>
              <w:pStyle w:val="null3"/>
              <w:jc w:val="left"/>
            </w:pPr>
            <w:r>
              <w:rPr>
                <w:rFonts w:ascii="仿宋_GB2312" w:hAnsi="仿宋_GB2312" w:cs="仿宋_GB2312" w:eastAsia="仿宋_GB2312"/>
                <w:sz w:val="22"/>
              </w:rPr>
              <w:t>16.支持虚拟机HA，允许配置集群内HA预留的主机数量，支持配置存储故障后是否选择HA虚拟机。</w:t>
            </w:r>
          </w:p>
          <w:p>
            <w:pPr>
              <w:pStyle w:val="null3"/>
              <w:jc w:val="left"/>
            </w:pPr>
            <w:r>
              <w:rPr>
                <w:rFonts w:ascii="仿宋_GB2312" w:hAnsi="仿宋_GB2312" w:cs="仿宋_GB2312" w:eastAsia="仿宋_GB2312"/>
                <w:sz w:val="22"/>
              </w:rPr>
              <w:t>17.支持同一厂商的无代理备份软件，无需在虚拟机中安装备份客户端，将虚拟机备份到本地或第三方存储上，支持全量备份、增量备份、定时备份。</w:t>
            </w:r>
          </w:p>
          <w:p>
            <w:pPr>
              <w:pStyle w:val="null3"/>
              <w:jc w:val="both"/>
            </w:pPr>
            <w:r>
              <w:rPr>
                <w:rFonts w:ascii="仿宋_GB2312" w:hAnsi="仿宋_GB2312" w:cs="仿宋_GB2312" w:eastAsia="仿宋_GB2312"/>
                <w:sz w:val="22"/>
              </w:rPr>
              <w:t>18.支持网络亚健康管理功能：支持针对存储节点的网络出现丢包、错包</w:t>
            </w:r>
            <w:r>
              <w:rPr>
                <w:rFonts w:ascii="仿宋_GB2312" w:hAnsi="仿宋_GB2312" w:cs="仿宋_GB2312" w:eastAsia="仿宋_GB2312"/>
                <w:sz w:val="22"/>
                <w:color w:val="000000"/>
              </w:rPr>
              <w:t>、延时大、速率不匹配等故障现象可提供故障告警并自动尝试修复。提供第三方机构出具的检测报告证明。</w:t>
            </w:r>
          </w:p>
          <w:p>
            <w:pPr>
              <w:pStyle w:val="null3"/>
              <w:jc w:val="both"/>
            </w:pPr>
            <w:r>
              <w:rPr>
                <w:rFonts w:ascii="仿宋_GB2312" w:hAnsi="仿宋_GB2312" w:cs="仿宋_GB2312" w:eastAsia="仿宋_GB2312"/>
                <w:sz w:val="22"/>
              </w:rPr>
              <w:t>19.支持磁盘热插拔和换位容错功能，支持节点内任意一个存储磁盘/SSD交换位置。提供证明材料（包含但不限于技术白皮书、产品彩页、官网截图等相关资料）。</w:t>
            </w:r>
          </w:p>
          <w:p>
            <w:pPr>
              <w:pStyle w:val="null3"/>
              <w:jc w:val="both"/>
            </w:pPr>
            <w:r>
              <w:rPr>
                <w:rFonts w:ascii="仿宋_GB2312" w:hAnsi="仿宋_GB2312" w:cs="仿宋_GB2312" w:eastAsia="仿宋_GB2312"/>
                <w:sz w:val="22"/>
              </w:rPr>
              <w:t>20.当磁盘故障时，系统能自动进行数据快速重构，1TB重构时间≤15分钟。提供第三方机构出具的检测报告证明。</w:t>
            </w:r>
          </w:p>
          <w:p>
            <w:pPr>
              <w:pStyle w:val="null3"/>
              <w:jc w:val="both"/>
            </w:pPr>
            <w:r>
              <w:rPr>
                <w:rFonts w:ascii="仿宋_GB2312" w:hAnsi="仿宋_GB2312" w:cs="仿宋_GB2312" w:eastAsia="仿宋_GB2312"/>
                <w:sz w:val="22"/>
              </w:rPr>
              <w:t>21.超融合系统支持“基于角色访问控制”的管理运维模式。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2"/>
                <w:b/>
                <w:color w:val="000000"/>
              </w:rPr>
              <w:t>四、服务器万兆接入交换机</w:t>
            </w:r>
          </w:p>
          <w:p>
            <w:pPr>
              <w:pStyle w:val="null3"/>
              <w:jc w:val="both"/>
            </w:pPr>
            <w:r>
              <w:rPr>
                <w:rFonts w:ascii="仿宋_GB2312" w:hAnsi="仿宋_GB2312" w:cs="仿宋_GB2312" w:eastAsia="仿宋_GB2312"/>
                <w:sz w:val="22"/>
                <w:color w:val="000000"/>
              </w:rPr>
              <w:t>1.支</w:t>
            </w:r>
            <w:r>
              <w:rPr>
                <w:rFonts w:ascii="仿宋_GB2312" w:hAnsi="仿宋_GB2312" w:cs="仿宋_GB2312" w:eastAsia="仿宋_GB2312"/>
                <w:sz w:val="22"/>
              </w:rPr>
              <w:t>持不少于</w:t>
            </w:r>
            <w:r>
              <w:rPr>
                <w:rFonts w:ascii="仿宋_GB2312" w:hAnsi="仿宋_GB2312" w:cs="仿宋_GB2312" w:eastAsia="仿宋_GB2312"/>
                <w:sz w:val="22"/>
              </w:rPr>
              <w:t>48个万兆光接口，支持不少于6个40/100GE接口。</w:t>
            </w:r>
          </w:p>
          <w:p>
            <w:pPr>
              <w:pStyle w:val="null3"/>
              <w:jc w:val="both"/>
            </w:pPr>
            <w:r>
              <w:rPr>
                <w:rFonts w:ascii="仿宋_GB2312" w:hAnsi="仿宋_GB2312" w:cs="仿宋_GB2312" w:eastAsia="仿宋_GB2312"/>
                <w:sz w:val="22"/>
              </w:rPr>
              <w:t>2.交换容量≥2.5Tbps，包转发率≥1600Mbps。</w:t>
            </w:r>
          </w:p>
          <w:p>
            <w:pPr>
              <w:pStyle w:val="null3"/>
              <w:jc w:val="both"/>
            </w:pPr>
            <w:r>
              <w:rPr>
                <w:rFonts w:ascii="仿宋_GB2312" w:hAnsi="仿宋_GB2312" w:cs="仿宋_GB2312" w:eastAsia="仿宋_GB2312"/>
                <w:sz w:val="22"/>
              </w:rPr>
              <w:t>3.支持直接对业务报文标记。</w:t>
            </w:r>
          </w:p>
          <w:p>
            <w:pPr>
              <w:pStyle w:val="null3"/>
              <w:jc w:val="both"/>
            </w:pPr>
            <w:r>
              <w:rPr>
                <w:rFonts w:ascii="仿宋_GB2312" w:hAnsi="仿宋_GB2312" w:cs="仿宋_GB2312" w:eastAsia="仿宋_GB2312"/>
                <w:sz w:val="22"/>
              </w:rPr>
              <w:t>4.支持VXLAN，支持集中式网关和分布式网关。</w:t>
            </w:r>
          </w:p>
          <w:p>
            <w:pPr>
              <w:pStyle w:val="null3"/>
              <w:jc w:val="both"/>
            </w:pPr>
            <w:r>
              <w:rPr>
                <w:rFonts w:ascii="仿宋_GB2312" w:hAnsi="仿宋_GB2312" w:cs="仿宋_GB2312" w:eastAsia="仿宋_GB2312"/>
                <w:sz w:val="22"/>
              </w:rPr>
              <w:t>5.配置：不低于600W单电源，不低于18*10GE万兆多模模块，不低于5个GE电模块，1根40G专用堆叠线缆，原厂三年质保服务。</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2"/>
                <w:b/>
                <w:color w:val="000000"/>
              </w:rPr>
              <w:t>五、云桌面管理软件</w:t>
            </w:r>
          </w:p>
          <w:p>
            <w:pPr>
              <w:pStyle w:val="null3"/>
              <w:jc w:val="both"/>
            </w:pPr>
            <w:r>
              <w:rPr>
                <w:rFonts w:ascii="仿宋_GB2312" w:hAnsi="仿宋_GB2312" w:cs="仿宋_GB2312" w:eastAsia="仿宋_GB2312"/>
                <w:sz w:val="22"/>
                <w:color w:val="000000"/>
              </w:rPr>
              <w:t>1.平台支持国产芯片及x86芯片双栈架构。国产芯片架构</w:t>
            </w:r>
            <w:r>
              <w:rPr>
                <w:rFonts w:ascii="仿宋_GB2312" w:hAnsi="仿宋_GB2312" w:cs="仿宋_GB2312" w:eastAsia="仿宋_GB2312"/>
                <w:sz w:val="22"/>
              </w:rPr>
              <w:t>下支持统信、银河麒麟、中标麒麟等国产操作系统，</w:t>
            </w:r>
            <w:r>
              <w:rPr>
                <w:rFonts w:ascii="仿宋_GB2312" w:hAnsi="仿宋_GB2312" w:cs="仿宋_GB2312" w:eastAsia="仿宋_GB2312"/>
                <w:sz w:val="22"/>
              </w:rPr>
              <w:t>x86芯片支持Windows 10及以上操作系统，并且支持一套云桌面平台实现管理统一运维，用户统一接入。</w:t>
            </w:r>
          </w:p>
          <w:p>
            <w:pPr>
              <w:pStyle w:val="null3"/>
              <w:jc w:val="both"/>
            </w:pPr>
            <w:r>
              <w:rPr>
                <w:rFonts w:ascii="仿宋_GB2312" w:hAnsi="仿宋_GB2312" w:cs="仿宋_GB2312" w:eastAsia="仿宋_GB2312"/>
                <w:sz w:val="22"/>
              </w:rPr>
              <w:t>2.提供≥320个用户授权，提供原厂三年软件技术支持服务。</w:t>
            </w:r>
          </w:p>
          <w:p>
            <w:pPr>
              <w:pStyle w:val="null3"/>
              <w:jc w:val="both"/>
            </w:pPr>
            <w:r>
              <w:rPr>
                <w:rFonts w:ascii="仿宋_GB2312" w:hAnsi="仿宋_GB2312" w:cs="仿宋_GB2312" w:eastAsia="仿宋_GB2312"/>
                <w:sz w:val="22"/>
              </w:rPr>
              <w:t>3.提供自主知识产权的虚拟化软件、桌面软件，包含桌面协议。</w:t>
            </w:r>
          </w:p>
          <w:p>
            <w:pPr>
              <w:pStyle w:val="null3"/>
              <w:jc w:val="both"/>
            </w:pPr>
            <w:r>
              <w:rPr>
                <w:rFonts w:ascii="仿宋_GB2312" w:hAnsi="仿宋_GB2312" w:cs="仿宋_GB2312" w:eastAsia="仿宋_GB2312"/>
                <w:sz w:val="22"/>
              </w:rPr>
              <w:t>4.采用数据中心虚拟化的模式，所有的桌面都运行在数据中心，工位处仅进行页面展示和交互操作。</w:t>
            </w:r>
          </w:p>
          <w:p>
            <w:pPr>
              <w:pStyle w:val="null3"/>
              <w:jc w:val="both"/>
            </w:pPr>
            <w:r>
              <w:rPr>
                <w:rFonts w:ascii="仿宋_GB2312" w:hAnsi="仿宋_GB2312" w:cs="仿宋_GB2312" w:eastAsia="仿宋_GB2312"/>
                <w:sz w:val="22"/>
              </w:rPr>
              <w:t>5.支持多种终端接入桌面，包括：瘦终端、PC、Android手机/平板等，使用PC作为接入终端时，支持屏蔽PC的本地开始菜单和本地资源。</w:t>
            </w:r>
          </w:p>
          <w:p>
            <w:pPr>
              <w:pStyle w:val="null3"/>
              <w:jc w:val="both"/>
            </w:pPr>
            <w:r>
              <w:rPr>
                <w:rFonts w:ascii="仿宋_GB2312" w:hAnsi="仿宋_GB2312" w:cs="仿宋_GB2312" w:eastAsia="仿宋_GB2312"/>
                <w:sz w:val="22"/>
              </w:rPr>
              <w:t>6.支持通过浏览器HTML5方式访问桌面，支持的浏览器包括但不限于：Chrome，Edge，Opera，360安全浏览器等。</w:t>
            </w:r>
          </w:p>
          <w:p>
            <w:pPr>
              <w:pStyle w:val="null3"/>
              <w:jc w:val="both"/>
            </w:pPr>
            <w:r>
              <w:rPr>
                <w:rFonts w:ascii="仿宋_GB2312" w:hAnsi="仿宋_GB2312" w:cs="仿宋_GB2312" w:eastAsia="仿宋_GB2312"/>
                <w:sz w:val="22"/>
              </w:rPr>
              <w:t>7.打开电源可直接登陆和使用虚拟桌面（提供截图证明）。</w:t>
            </w:r>
          </w:p>
          <w:p>
            <w:pPr>
              <w:pStyle w:val="null3"/>
              <w:jc w:val="both"/>
            </w:pPr>
            <w:r>
              <w:rPr>
                <w:rFonts w:ascii="仿宋_GB2312" w:hAnsi="仿宋_GB2312" w:cs="仿宋_GB2312" w:eastAsia="仿宋_GB2312"/>
                <w:sz w:val="22"/>
              </w:rPr>
              <w:t>8.云桌面客户端支持实时帧率显示；提供第三方机构检测报告或产品功能截图证明。</w:t>
            </w:r>
          </w:p>
          <w:p>
            <w:pPr>
              <w:pStyle w:val="null3"/>
              <w:jc w:val="both"/>
            </w:pPr>
            <w:r>
              <w:rPr>
                <w:rFonts w:ascii="仿宋_GB2312" w:hAnsi="仿宋_GB2312" w:cs="仿宋_GB2312" w:eastAsia="仿宋_GB2312"/>
                <w:sz w:val="22"/>
              </w:rPr>
              <w:t>9.支持广域网加速协议能力（提供截图证明）。</w:t>
            </w:r>
          </w:p>
          <w:p>
            <w:pPr>
              <w:pStyle w:val="null3"/>
              <w:jc w:val="both"/>
            </w:pPr>
            <w:r>
              <w:rPr>
                <w:rFonts w:ascii="仿宋_GB2312" w:hAnsi="仿宋_GB2312" w:cs="仿宋_GB2312" w:eastAsia="仿宋_GB2312"/>
                <w:sz w:val="22"/>
              </w:rPr>
              <w:t>10.支持用户直接在虚拟机设置桌面的分辨率。</w:t>
            </w:r>
          </w:p>
          <w:p>
            <w:pPr>
              <w:pStyle w:val="null3"/>
              <w:jc w:val="both"/>
            </w:pPr>
            <w:r>
              <w:rPr>
                <w:rFonts w:ascii="仿宋_GB2312" w:hAnsi="仿宋_GB2312" w:cs="仿宋_GB2312" w:eastAsia="仿宋_GB2312"/>
                <w:sz w:val="22"/>
              </w:rPr>
              <w:t>11.支持用户使用单终端同时登录多个桌面。在不断开连接的情况下，可以实现多桌面的快速切换；提供第三方机构检测报告或产品功能截图证明。</w:t>
            </w:r>
          </w:p>
          <w:p>
            <w:pPr>
              <w:pStyle w:val="null3"/>
              <w:jc w:val="both"/>
            </w:pPr>
            <w:r>
              <w:rPr>
                <w:rFonts w:ascii="仿宋_GB2312" w:hAnsi="仿宋_GB2312" w:cs="仿宋_GB2312" w:eastAsia="仿宋_GB2312"/>
                <w:sz w:val="22"/>
              </w:rPr>
              <w:t>12.支持用户对虚拟桌面电源管理，如远程关闭、重启、强制重启等。</w:t>
            </w:r>
          </w:p>
          <w:p>
            <w:pPr>
              <w:pStyle w:val="null3"/>
              <w:jc w:val="both"/>
            </w:pPr>
            <w:r>
              <w:rPr>
                <w:rFonts w:ascii="仿宋_GB2312" w:hAnsi="仿宋_GB2312" w:cs="仿宋_GB2312" w:eastAsia="仿宋_GB2312"/>
                <w:sz w:val="22"/>
              </w:rPr>
              <w:t>13.提供用户自助维护通道，提供第三方机构检测报告或产品功能截图证明。</w:t>
            </w:r>
          </w:p>
          <w:p>
            <w:pPr>
              <w:pStyle w:val="null3"/>
              <w:jc w:val="both"/>
            </w:pPr>
            <w:r>
              <w:rPr>
                <w:rFonts w:ascii="仿宋_GB2312" w:hAnsi="仿宋_GB2312" w:cs="仿宋_GB2312" w:eastAsia="仿宋_GB2312"/>
                <w:sz w:val="22"/>
              </w:rPr>
              <w:t>14.提供云桌面连接修复工具，如对网卡状态、桌面代理、IP地址、系统时钟、桌面服务状态、虚拟机注册状态等进行检查，有异常情况可一键修复；提供第三方机构检测报告或产品功能截图证明。</w:t>
            </w:r>
          </w:p>
          <w:p>
            <w:pPr>
              <w:pStyle w:val="null3"/>
              <w:jc w:val="both"/>
            </w:pPr>
            <w:r>
              <w:rPr>
                <w:rFonts w:ascii="仿宋_GB2312" w:hAnsi="仿宋_GB2312" w:cs="仿宋_GB2312" w:eastAsia="仿宋_GB2312"/>
                <w:sz w:val="22"/>
              </w:rPr>
              <w:t>15.支持虚拟桌面生命周期管理，包括虚拟机规格调整、虚</w:t>
            </w:r>
            <w:r>
              <w:rPr>
                <w:rFonts w:ascii="仿宋_GB2312" w:hAnsi="仿宋_GB2312" w:cs="仿宋_GB2312" w:eastAsia="仿宋_GB2312"/>
                <w:sz w:val="22"/>
                <w:color w:val="000000"/>
              </w:rPr>
              <w:t>拟机状态调整（启动、重启、关闭、强制重启、强制关闭、解分配、删除等）、虚拟机状态查询（包括运行状态、注册状态、分配状态）等。</w:t>
            </w:r>
          </w:p>
          <w:p>
            <w:pPr>
              <w:pStyle w:val="null3"/>
              <w:jc w:val="both"/>
            </w:pPr>
            <w:r>
              <w:rPr>
                <w:rFonts w:ascii="仿宋_GB2312" w:hAnsi="仿宋_GB2312" w:cs="仿宋_GB2312" w:eastAsia="仿宋_GB2312"/>
                <w:sz w:val="22"/>
                <w:color w:val="000000"/>
              </w:rPr>
              <w:t>16.提供在维护管理界面上进行桌面的批量创建、批量关联、批量解关联、批量开机、批量启动、批量重启等功能。</w:t>
            </w:r>
          </w:p>
          <w:p>
            <w:pPr>
              <w:pStyle w:val="null3"/>
              <w:jc w:val="both"/>
            </w:pPr>
            <w:r>
              <w:rPr>
                <w:rFonts w:ascii="仿宋_GB2312" w:hAnsi="仿宋_GB2312" w:cs="仿宋_GB2312" w:eastAsia="仿宋_GB2312"/>
                <w:sz w:val="22"/>
                <w:color w:val="000000"/>
              </w:rPr>
              <w:t>17.支持对多种外设实现精细化策略管控，包括：扫描仪、摄像头、打印机、U盘、UKey、蓝牙、无线网卡等，支持打印机重定向、摄像头重定向、TWAIN重定向、PS/SC智能卡重定向等，并且支持将策略应用给不同的对象类型，包括但不限于虚拟机、</w:t>
            </w:r>
            <w:r>
              <w:rPr>
                <w:rFonts w:ascii="仿宋_GB2312" w:hAnsi="仿宋_GB2312" w:cs="仿宋_GB2312" w:eastAsia="仿宋_GB2312"/>
                <w:sz w:val="22"/>
              </w:rPr>
              <w:t>桌面组、用户、用户组等。</w:t>
            </w:r>
          </w:p>
          <w:p>
            <w:pPr>
              <w:pStyle w:val="null3"/>
              <w:jc w:val="both"/>
            </w:pPr>
            <w:r>
              <w:rPr>
                <w:rFonts w:ascii="仿宋_GB2312" w:hAnsi="仿宋_GB2312" w:cs="仿宋_GB2312" w:eastAsia="仿宋_GB2312"/>
                <w:sz w:val="22"/>
              </w:rPr>
              <w:t>18.支持自定外设的黑白名单功能，如按设备PID/VID、设备Class类型等自定义策略。</w:t>
            </w:r>
          </w:p>
          <w:p>
            <w:pPr>
              <w:pStyle w:val="null3"/>
              <w:jc w:val="both"/>
            </w:pPr>
            <w:r>
              <w:rPr>
                <w:rFonts w:ascii="仿宋_GB2312" w:hAnsi="仿宋_GB2312" w:cs="仿宋_GB2312" w:eastAsia="仿宋_GB2312"/>
                <w:sz w:val="22"/>
              </w:rPr>
              <w:t>19.管理界面支持配置定时任务管理，包括定时创建虚拟机、定时开机、定时关机、定时重启、定时休眠、定时唤醒、定时重建系统盘等；提供第三方机构检测报告或产品功能截图证明。</w:t>
            </w:r>
          </w:p>
          <w:p>
            <w:pPr>
              <w:pStyle w:val="null3"/>
              <w:jc w:val="both"/>
            </w:pPr>
            <w:r>
              <w:rPr>
                <w:rFonts w:ascii="仿宋_GB2312" w:hAnsi="仿宋_GB2312" w:cs="仿宋_GB2312" w:eastAsia="仿宋_GB2312"/>
                <w:sz w:val="22"/>
              </w:rPr>
              <w:t>20.支持以图表形式直观展现虚拟机状态，按多维度统计系统中桌面资源使用情况。</w:t>
            </w:r>
          </w:p>
          <w:p>
            <w:pPr>
              <w:pStyle w:val="null3"/>
              <w:jc w:val="both"/>
            </w:pPr>
            <w:r>
              <w:rPr>
                <w:rFonts w:ascii="仿宋_GB2312" w:hAnsi="仿宋_GB2312" w:cs="仿宋_GB2312" w:eastAsia="仿宋_GB2312"/>
                <w:sz w:val="22"/>
              </w:rPr>
              <w:t>21.提供虚拟机信息多维度导出功能。</w:t>
            </w:r>
          </w:p>
          <w:p>
            <w:pPr>
              <w:pStyle w:val="null3"/>
              <w:jc w:val="both"/>
            </w:pPr>
            <w:r>
              <w:rPr>
                <w:rFonts w:ascii="仿宋_GB2312" w:hAnsi="仿宋_GB2312" w:cs="仿宋_GB2312" w:eastAsia="仿宋_GB2312"/>
                <w:sz w:val="22"/>
              </w:rPr>
              <w:t>22.支持交互式远程协助。</w:t>
            </w:r>
          </w:p>
          <w:p>
            <w:pPr>
              <w:pStyle w:val="null3"/>
              <w:jc w:val="both"/>
            </w:pPr>
            <w:r>
              <w:rPr>
                <w:rFonts w:ascii="仿宋_GB2312" w:hAnsi="仿宋_GB2312" w:cs="仿宋_GB2312" w:eastAsia="仿宋_GB2312"/>
                <w:sz w:val="22"/>
              </w:rPr>
              <w:t>23.支持集中管理模式和“基于角色访问控制”的管理模式。</w:t>
            </w:r>
          </w:p>
          <w:p>
            <w:pPr>
              <w:pStyle w:val="null3"/>
              <w:jc w:val="both"/>
            </w:pPr>
            <w:r>
              <w:rPr>
                <w:rFonts w:ascii="仿宋_GB2312" w:hAnsi="仿宋_GB2312" w:cs="仿宋_GB2312" w:eastAsia="仿宋_GB2312"/>
                <w:sz w:val="22"/>
              </w:rPr>
              <w:t>24.支持瘦终端与身份信息进行绑定。</w:t>
            </w:r>
          </w:p>
          <w:p>
            <w:pPr>
              <w:pStyle w:val="null3"/>
              <w:jc w:val="both"/>
            </w:pPr>
            <w:r>
              <w:rPr>
                <w:rFonts w:ascii="仿宋_GB2312" w:hAnsi="仿宋_GB2312" w:cs="仿宋_GB2312" w:eastAsia="仿宋_GB2312"/>
                <w:sz w:val="22"/>
              </w:rPr>
              <w:t>25.提供安全水印功能，可以设置多种水印的模式（提供截图证明）。</w:t>
            </w:r>
          </w:p>
          <w:p>
            <w:pPr>
              <w:pStyle w:val="null3"/>
              <w:jc w:val="both"/>
            </w:pPr>
            <w:r>
              <w:rPr>
                <w:rFonts w:ascii="仿宋_GB2312" w:hAnsi="仿宋_GB2312" w:cs="仿宋_GB2312" w:eastAsia="仿宋_GB2312"/>
                <w:sz w:val="22"/>
              </w:rPr>
              <w:t>26.平台支持虚拟机故障处理策略，支持但不限于：重启虚拟机、关闭虚拟机、HA虚拟机或不处理。</w:t>
            </w:r>
          </w:p>
          <w:p>
            <w:pPr>
              <w:pStyle w:val="null3"/>
              <w:jc w:val="both"/>
            </w:pPr>
            <w:r>
              <w:rPr>
                <w:rFonts w:ascii="仿宋_GB2312" w:hAnsi="仿宋_GB2312" w:cs="仿宋_GB2312" w:eastAsia="仿宋_GB2312"/>
                <w:sz w:val="22"/>
              </w:rPr>
              <w:t>27.支持网络闪断桌面自动重连功能，提供截图证明。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2"/>
                <w:b/>
                <w:color w:val="000000"/>
              </w:rPr>
              <w:t>六、云桌面接入终端(核心产品)</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color w:val="000000"/>
              </w:rPr>
              <w:t>1.CPU≥四核1.8GHz，内存≥2G，存储≥8G。</w:t>
            </w:r>
          </w:p>
          <w:p>
            <w:pPr>
              <w:pStyle w:val="null3"/>
              <w:jc w:val="both"/>
            </w:pPr>
            <w:r>
              <w:rPr>
                <w:rFonts w:ascii="仿宋_GB2312" w:hAnsi="仿宋_GB2312" w:cs="仿宋_GB2312" w:eastAsia="仿宋_GB2312"/>
                <w:sz w:val="22"/>
                <w:color w:val="000000"/>
              </w:rPr>
              <w:t>2.具备USB 2.0接口≥2个，USB 3.2接口≥4个，HDMI接口≥1个、标准网口≥1个。</w:t>
            </w:r>
          </w:p>
          <w:p>
            <w:pPr>
              <w:pStyle w:val="null3"/>
              <w:jc w:val="both"/>
            </w:pPr>
            <w:r>
              <w:rPr>
                <w:rFonts w:ascii="仿宋_GB2312" w:hAnsi="仿宋_GB2312" w:cs="仿宋_GB2312" w:eastAsia="仿宋_GB2312"/>
                <w:sz w:val="22"/>
                <w:color w:val="000000"/>
              </w:rPr>
              <w:t>3.含桌面虚拟化客户端接入授权。</w:t>
            </w:r>
          </w:p>
          <w:p>
            <w:pPr>
              <w:pStyle w:val="null3"/>
              <w:jc w:val="both"/>
            </w:pPr>
            <w:r>
              <w:rPr>
                <w:rFonts w:ascii="仿宋_GB2312" w:hAnsi="仿宋_GB2312" w:cs="仿宋_GB2312" w:eastAsia="仿宋_GB2312"/>
                <w:sz w:val="22"/>
                <w:color w:val="000000"/>
              </w:rPr>
              <w:t>4.显示器：尺寸≥23.8英寸，HDMI、VGA视频接口，分辨率不低于1920*1080。</w:t>
            </w:r>
          </w:p>
          <w:p>
            <w:pPr>
              <w:pStyle w:val="null3"/>
              <w:jc w:val="both"/>
            </w:pPr>
            <w:r>
              <w:rPr>
                <w:rFonts w:ascii="仿宋_GB2312" w:hAnsi="仿宋_GB2312" w:cs="仿宋_GB2312" w:eastAsia="仿宋_GB2312"/>
                <w:sz w:val="22"/>
                <w:color w:val="000000"/>
              </w:rPr>
              <w:t>5.有线键鼠套装：USB接口标准键鼠套装。</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2"/>
                <w:b/>
                <w:color w:val="000000"/>
              </w:rPr>
              <w:t>七、图形工作站</w:t>
            </w:r>
            <w:r>
              <w:rPr>
                <w:rFonts w:ascii="仿宋_GB2312" w:hAnsi="仿宋_GB2312" w:cs="仿宋_GB2312" w:eastAsia="仿宋_GB2312"/>
                <w:sz w:val="22"/>
                <w:b/>
                <w:color w:val="000000"/>
              </w:rPr>
              <w:t>(核心产品)</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1.芯片组：不低于英特尔Q670。</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2.处理器：不低于I9-14900处理器（24核心，主频2.00GHz）。</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3.内存：不低于64GB（2×32GB）DDR5 4800内存，通道≥4个插槽。</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4.显卡：显卡性能不低于RTX 3050，显存容量</w:t>
            </w:r>
            <w:r>
              <w:rPr>
                <w:rFonts w:ascii="仿宋_GB2312" w:hAnsi="仿宋_GB2312" w:cs="仿宋_GB2312" w:eastAsia="仿宋_GB2312"/>
                <w:sz w:val="22"/>
                <w:color w:val="000000"/>
              </w:rPr>
              <w:t>≥</w:t>
            </w:r>
            <w:r>
              <w:rPr>
                <w:rFonts w:ascii="仿宋_GB2312" w:hAnsi="仿宋_GB2312" w:cs="仿宋_GB2312" w:eastAsia="仿宋_GB2312"/>
                <w:sz w:val="22"/>
              </w:rPr>
              <w:t>8G，显存位宽</w:t>
            </w:r>
            <w:r>
              <w:rPr>
                <w:rFonts w:ascii="仿宋_GB2312" w:hAnsi="仿宋_GB2312" w:cs="仿宋_GB2312" w:eastAsia="仿宋_GB2312"/>
                <w:sz w:val="22"/>
                <w:color w:val="000000"/>
              </w:rPr>
              <w:t>≥128bit，显存类型为GDDR6，</w:t>
            </w:r>
            <w:r>
              <w:rPr>
                <w:rFonts w:ascii="仿宋_GB2312" w:hAnsi="仿宋_GB2312" w:cs="仿宋_GB2312" w:eastAsia="仿宋_GB2312"/>
                <w:sz w:val="22"/>
              </w:rPr>
              <w:t>独立显卡。</w:t>
            </w:r>
          </w:p>
          <w:p>
            <w:pPr>
              <w:pStyle w:val="null3"/>
              <w:jc w:val="left"/>
            </w:pPr>
            <w:r>
              <w:rPr>
                <w:rFonts w:ascii="仿宋_GB2312" w:hAnsi="仿宋_GB2312" w:cs="仿宋_GB2312" w:eastAsia="仿宋_GB2312"/>
                <w:sz w:val="22"/>
              </w:rPr>
              <w:t>5.硬盘：不低于SSD 512GB PCIe NVMe固态硬盘+1TB硬盘。</w:t>
            </w:r>
          </w:p>
          <w:p>
            <w:pPr>
              <w:pStyle w:val="null3"/>
              <w:jc w:val="left"/>
            </w:pPr>
            <w:r>
              <w:rPr>
                <w:rFonts w:ascii="仿宋_GB2312" w:hAnsi="仿宋_GB2312" w:cs="仿宋_GB2312" w:eastAsia="仿宋_GB2312"/>
                <w:sz w:val="22"/>
              </w:rPr>
              <w:t>6.键鼠：标准原厂USB接口鼠键套装。</w:t>
            </w:r>
          </w:p>
          <w:p>
            <w:pPr>
              <w:pStyle w:val="null3"/>
              <w:jc w:val="left"/>
            </w:pPr>
            <w:r>
              <w:rPr>
                <w:rFonts w:ascii="仿宋_GB2312" w:hAnsi="仿宋_GB2312" w:cs="仿宋_GB2312" w:eastAsia="仿宋_GB2312"/>
                <w:sz w:val="22"/>
                <w:color w:val="000000"/>
              </w:rPr>
              <w:t>7.网卡：主板集成1000M自适应以太网卡。</w:t>
            </w:r>
          </w:p>
          <w:p>
            <w:pPr>
              <w:pStyle w:val="null3"/>
              <w:jc w:val="left"/>
            </w:pPr>
            <w:r>
              <w:rPr>
                <w:rFonts w:ascii="仿宋_GB2312" w:hAnsi="仿宋_GB2312" w:cs="仿宋_GB2312" w:eastAsia="仿宋_GB2312"/>
                <w:sz w:val="22"/>
                <w:color w:val="000000"/>
              </w:rPr>
              <w:t>8.主板插槽：不低于2个PCIe 3 x1，1个PCIe 3 x16，1个PCIe 4 x16，3个M.2 2280。</w:t>
            </w:r>
          </w:p>
          <w:p>
            <w:pPr>
              <w:pStyle w:val="null3"/>
              <w:jc w:val="left"/>
            </w:pPr>
            <w:r>
              <w:rPr>
                <w:rFonts w:ascii="仿宋_GB2312" w:hAnsi="仿宋_GB2312" w:cs="仿宋_GB2312" w:eastAsia="仿宋_GB2312"/>
                <w:sz w:val="22"/>
                <w:color w:val="000000"/>
              </w:rPr>
              <w:t>9.端</w:t>
            </w:r>
            <w:r>
              <w:rPr>
                <w:rFonts w:ascii="仿宋_GB2312" w:hAnsi="仿宋_GB2312" w:cs="仿宋_GB2312" w:eastAsia="仿宋_GB2312"/>
                <w:sz w:val="22"/>
              </w:rPr>
              <w:t>口：前置不少于</w:t>
            </w:r>
            <w:r>
              <w:rPr>
                <w:rFonts w:ascii="仿宋_GB2312" w:hAnsi="仿宋_GB2312" w:cs="仿宋_GB2312" w:eastAsia="仿宋_GB2312"/>
                <w:sz w:val="22"/>
              </w:rPr>
              <w:t>1个USB-C、4个USB-A 3.2，后置不少于6个USB。</w:t>
            </w:r>
          </w:p>
          <w:p>
            <w:pPr>
              <w:pStyle w:val="null3"/>
              <w:jc w:val="left"/>
            </w:pPr>
            <w:r>
              <w:rPr>
                <w:rFonts w:ascii="仿宋_GB2312" w:hAnsi="仿宋_GB2312" w:cs="仿宋_GB2312" w:eastAsia="仿宋_GB2312"/>
                <w:sz w:val="22"/>
                <w:color w:val="000000"/>
              </w:rPr>
              <w:t>10.视音频接口：视频接口不少于2个DP和1个HDMI，音频接口具备输入输出功能。</w:t>
            </w:r>
          </w:p>
          <w:p>
            <w:pPr>
              <w:pStyle w:val="null3"/>
              <w:jc w:val="left"/>
            </w:pPr>
            <w:r>
              <w:rPr>
                <w:rFonts w:ascii="仿宋_GB2312" w:hAnsi="仿宋_GB2312" w:cs="仿宋_GB2312" w:eastAsia="仿宋_GB2312"/>
                <w:sz w:val="22"/>
                <w:color w:val="000000"/>
              </w:rPr>
              <w:t>11.</w:t>
            </w:r>
            <w:r>
              <w:rPr>
                <w:rFonts w:ascii="仿宋_GB2312" w:hAnsi="仿宋_GB2312" w:cs="仿宋_GB2312" w:eastAsia="仿宋_GB2312"/>
                <w:sz w:val="22"/>
              </w:rPr>
              <w:t>电源：</w:t>
            </w:r>
            <w:r>
              <w:rPr>
                <w:rFonts w:ascii="仿宋_GB2312" w:hAnsi="仿宋_GB2312" w:cs="仿宋_GB2312" w:eastAsia="仿宋_GB2312"/>
                <w:sz w:val="22"/>
              </w:rPr>
              <w:t>≥550W。</w:t>
            </w:r>
          </w:p>
          <w:p>
            <w:pPr>
              <w:pStyle w:val="null3"/>
              <w:jc w:val="left"/>
            </w:pPr>
            <w:r>
              <w:rPr>
                <w:rFonts w:ascii="仿宋_GB2312" w:hAnsi="仿宋_GB2312" w:cs="仿宋_GB2312" w:eastAsia="仿宋_GB2312"/>
                <w:sz w:val="22"/>
                <w:color w:val="000000"/>
              </w:rPr>
              <w:t>12.硬盘保护与网络同传：预装网络同传硬盘保护，支持加密传输，支持多硬盘还原、可同时在两块硬盘上安装操作系统；千兆网络传输速度不低于10GB/分钟。</w:t>
            </w:r>
          </w:p>
          <w:p>
            <w:pPr>
              <w:pStyle w:val="null3"/>
              <w:jc w:val="left"/>
            </w:pPr>
            <w:r>
              <w:rPr>
                <w:rFonts w:ascii="仿宋_GB2312" w:hAnsi="仿宋_GB2312" w:cs="仿宋_GB2312" w:eastAsia="仿宋_GB2312"/>
                <w:sz w:val="22"/>
                <w:color w:val="000000"/>
              </w:rPr>
              <w:t>13.显示器：尺寸不低于27英寸，分辨率不低于2K，含HDMI或DP接口及相应数据线，刷新频率≥75Hz。</w:t>
            </w:r>
          </w:p>
          <w:p>
            <w:pPr>
              <w:pStyle w:val="null3"/>
              <w:jc w:val="left"/>
            </w:pPr>
            <w:r>
              <w:rPr>
                <w:rFonts w:ascii="仿宋_GB2312" w:hAnsi="仿宋_GB2312" w:cs="仿宋_GB2312" w:eastAsia="仿宋_GB2312"/>
                <w:sz w:val="22"/>
                <w:color w:val="000000"/>
              </w:rPr>
              <w:t>14.安全性：内置安全检测管理引擎，具备防止未经授权的用户访问主硬盘数据、自动更新和修复、系统优化、个性化支持、7*24技术支持、硬件诊断、网络与系统信息查看等功能。（提供功能截图，并加盖公章）</w:t>
            </w:r>
          </w:p>
          <w:p>
            <w:pPr>
              <w:pStyle w:val="null3"/>
              <w:jc w:val="both"/>
            </w:pPr>
            <w:r>
              <w:rPr>
                <w:rFonts w:ascii="仿宋_GB2312" w:hAnsi="仿宋_GB2312" w:cs="仿宋_GB2312" w:eastAsia="仿宋_GB2312"/>
                <w:sz w:val="22"/>
              </w:rPr>
              <w:t>15.提供节能认证产品认证证书。</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2"/>
                <w:b/>
                <w:color w:val="000000"/>
              </w:rPr>
              <w:t>八、机房投影设备（含配套幕布及安装）</w:t>
            </w:r>
          </w:p>
          <w:p>
            <w:pPr>
              <w:pStyle w:val="null3"/>
              <w:jc w:val="both"/>
            </w:pPr>
            <w:r>
              <w:rPr>
                <w:rFonts w:ascii="仿宋_GB2312" w:hAnsi="仿宋_GB2312" w:cs="仿宋_GB2312" w:eastAsia="仿宋_GB2312"/>
                <w:sz w:val="22"/>
                <w:color w:val="000000"/>
              </w:rPr>
              <w:t>1.采用三片LCD投影技术，标准亮度≥5200流明（符合ISO 21118标准），实际分辨率≥1920×1080（或1920×1200）。</w:t>
            </w:r>
          </w:p>
          <w:p>
            <w:pPr>
              <w:pStyle w:val="null3"/>
              <w:jc w:val="both"/>
            </w:pPr>
            <w:r>
              <w:rPr>
                <w:rFonts w:ascii="仿宋_GB2312" w:hAnsi="仿宋_GB2312" w:cs="仿宋_GB2312" w:eastAsia="仿宋_GB2312"/>
                <w:sz w:val="22"/>
                <w:color w:val="000000"/>
              </w:rPr>
              <w:t>2.核心芯片物理尺寸（LCD）≥0.67英寸无机液晶面板，色彩亮度≥5200流明，画面长宽比16:9（或16:10）；对比度≥2500000:1。</w:t>
            </w:r>
          </w:p>
          <w:p>
            <w:pPr>
              <w:pStyle w:val="null3"/>
              <w:jc w:val="both"/>
            </w:pPr>
            <w:r>
              <w:rPr>
                <w:rFonts w:ascii="仿宋_GB2312" w:hAnsi="仿宋_GB2312" w:cs="仿宋_GB2312" w:eastAsia="仿宋_GB2312"/>
                <w:sz w:val="22"/>
                <w:color w:val="000000"/>
              </w:rPr>
              <w:t>3.为保证不同输出亮度效果，用户可以在亮度100%～70%之间，以≥1%为单位进行亮度调节。</w:t>
            </w:r>
          </w:p>
          <w:p>
            <w:pPr>
              <w:pStyle w:val="null3"/>
              <w:jc w:val="both"/>
            </w:pPr>
            <w:r>
              <w:rPr>
                <w:rFonts w:ascii="仿宋_GB2312" w:hAnsi="仿宋_GB2312" w:cs="仿宋_GB2312" w:eastAsia="仿宋_GB2312"/>
                <w:sz w:val="22"/>
                <w:color w:val="000000"/>
              </w:rPr>
              <w:t>4.镜头：光学变焦比≥1.6倍；投射比1.35～2.20。</w:t>
            </w:r>
          </w:p>
          <w:p>
            <w:pPr>
              <w:pStyle w:val="null3"/>
              <w:jc w:val="both"/>
            </w:pPr>
            <w:r>
              <w:rPr>
                <w:rFonts w:ascii="仿宋_GB2312" w:hAnsi="仿宋_GB2312" w:cs="仿宋_GB2312" w:eastAsia="仿宋_GB2312"/>
                <w:sz w:val="22"/>
                <w:color w:val="000000"/>
              </w:rPr>
              <w:t>5.采用纯激光光源系统，标准模式工作光源寿命≥20000小时。</w:t>
            </w:r>
          </w:p>
          <w:p>
            <w:pPr>
              <w:pStyle w:val="null3"/>
              <w:jc w:val="both"/>
            </w:pPr>
            <w:r>
              <w:rPr>
                <w:rFonts w:ascii="仿宋_GB2312" w:hAnsi="仿宋_GB2312" w:cs="仿宋_GB2312" w:eastAsia="仿宋_GB2312"/>
                <w:sz w:val="22"/>
                <w:color w:val="000000"/>
              </w:rPr>
              <w:t>6.高清视频接口：≥1路VGA输入，≥2路HDMI输入，≥1路HD-Base T输入，≥2路迷你立体声，≥1路RS-232C，≥1路网络RJ-45，≥2个USB Type A，≥1个USB Type B（For Service），≥1路VGA信号输出。</w:t>
            </w:r>
          </w:p>
          <w:p>
            <w:pPr>
              <w:pStyle w:val="null3"/>
              <w:jc w:val="both"/>
            </w:pPr>
            <w:r>
              <w:rPr>
                <w:rFonts w:ascii="仿宋_GB2312" w:hAnsi="仿宋_GB2312" w:cs="仿宋_GB2312" w:eastAsia="仿宋_GB2312"/>
                <w:sz w:val="22"/>
                <w:color w:val="000000"/>
              </w:rPr>
              <w:t>7.开机时间≤5秒，支持直接开关机，具备即关即拔功能。</w:t>
            </w:r>
          </w:p>
          <w:p>
            <w:pPr>
              <w:pStyle w:val="null3"/>
              <w:jc w:val="both"/>
            </w:pPr>
            <w:r>
              <w:rPr>
                <w:rFonts w:ascii="仿宋_GB2312" w:hAnsi="仿宋_GB2312" w:cs="仿宋_GB2312" w:eastAsia="仿宋_GB2312"/>
                <w:sz w:val="22"/>
                <w:color w:val="000000"/>
              </w:rPr>
              <w:t>8.具有梯形矫正功能：垂直/水平梯形校正范围：±30︒。</w:t>
            </w:r>
          </w:p>
          <w:p>
            <w:pPr>
              <w:pStyle w:val="null3"/>
              <w:jc w:val="both"/>
            </w:pPr>
            <w:r>
              <w:rPr>
                <w:rFonts w:ascii="仿宋_GB2312" w:hAnsi="仿宋_GB2312" w:cs="仿宋_GB2312" w:eastAsia="仿宋_GB2312"/>
                <w:sz w:val="22"/>
                <w:color w:val="000000"/>
              </w:rPr>
              <w:t>9.具有快速四角调节、弧形矫正功能。</w:t>
            </w:r>
          </w:p>
          <w:p>
            <w:pPr>
              <w:pStyle w:val="null3"/>
              <w:jc w:val="both"/>
            </w:pPr>
            <w:r>
              <w:rPr>
                <w:rFonts w:ascii="仿宋_GB2312" w:hAnsi="仿宋_GB2312" w:cs="仿宋_GB2312" w:eastAsia="仿宋_GB2312"/>
                <w:sz w:val="22"/>
                <w:color w:val="000000"/>
              </w:rPr>
              <w:t>10.支持RGB/CMYK颜色模式，色相、饱和度和亮度能够独立调整。</w:t>
            </w:r>
          </w:p>
          <w:p>
            <w:pPr>
              <w:pStyle w:val="null3"/>
              <w:jc w:val="both"/>
            </w:pPr>
            <w:r>
              <w:rPr>
                <w:rFonts w:ascii="仿宋_GB2312" w:hAnsi="仿宋_GB2312" w:cs="仿宋_GB2312" w:eastAsia="仿宋_GB2312"/>
                <w:sz w:val="22"/>
                <w:color w:val="000000"/>
              </w:rPr>
              <w:t>11.支持360度安装。</w:t>
            </w:r>
          </w:p>
          <w:p>
            <w:pPr>
              <w:pStyle w:val="null3"/>
              <w:jc w:val="both"/>
            </w:pPr>
            <w:r>
              <w:rPr>
                <w:rFonts w:ascii="仿宋_GB2312" w:hAnsi="仿宋_GB2312" w:cs="仿宋_GB2312" w:eastAsia="仿宋_GB2312"/>
                <w:sz w:val="22"/>
                <w:color w:val="000000"/>
              </w:rPr>
              <w:t>12.具备16:9（或16:10）宽屏显示、画面分割投影功能。</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2"/>
                <w:b/>
                <w:color w:val="000000"/>
              </w:rPr>
              <w:t>九、机房扩音系统</w:t>
            </w:r>
          </w:p>
          <w:p>
            <w:pPr>
              <w:pStyle w:val="null3"/>
              <w:jc w:val="both"/>
            </w:pPr>
            <w:r>
              <w:rPr>
                <w:rFonts w:ascii="仿宋_GB2312" w:hAnsi="仿宋_GB2312" w:cs="仿宋_GB2312" w:eastAsia="仿宋_GB2312"/>
                <w:sz w:val="22"/>
                <w:b/>
                <w:color w:val="000000"/>
              </w:rPr>
              <w:t>（一）音响</w:t>
            </w:r>
          </w:p>
          <w:p>
            <w:pPr>
              <w:pStyle w:val="null3"/>
              <w:jc w:val="both"/>
            </w:pPr>
            <w:r>
              <w:rPr>
                <w:rFonts w:ascii="仿宋_GB2312" w:hAnsi="仿宋_GB2312" w:cs="仿宋_GB2312" w:eastAsia="仿宋_GB2312"/>
                <w:sz w:val="22"/>
                <w:color w:val="000000"/>
              </w:rPr>
              <w:t>1.配有专业壁挂支架，支持壁挂式安装。</w:t>
            </w:r>
          </w:p>
          <w:p>
            <w:pPr>
              <w:pStyle w:val="null3"/>
              <w:jc w:val="both"/>
            </w:pPr>
            <w:r>
              <w:rPr>
                <w:rFonts w:ascii="仿宋_GB2312" w:hAnsi="仿宋_GB2312" w:cs="仿宋_GB2312" w:eastAsia="仿宋_GB2312"/>
                <w:sz w:val="22"/>
                <w:color w:val="000000"/>
              </w:rPr>
              <w:t>2.额定/峰值功率：额定功率≥70W；峰值功率≥280W。</w:t>
            </w:r>
          </w:p>
          <w:p>
            <w:pPr>
              <w:pStyle w:val="null3"/>
              <w:jc w:val="both"/>
            </w:pPr>
            <w:r>
              <w:rPr>
                <w:rFonts w:ascii="仿宋_GB2312" w:hAnsi="仿宋_GB2312" w:cs="仿宋_GB2312" w:eastAsia="仿宋_GB2312"/>
                <w:sz w:val="22"/>
                <w:color w:val="000000"/>
              </w:rPr>
              <w:t>3.额定阻抗：8Ω。</w:t>
            </w:r>
          </w:p>
          <w:p>
            <w:pPr>
              <w:pStyle w:val="null3"/>
              <w:jc w:val="both"/>
            </w:pPr>
            <w:r>
              <w:rPr>
                <w:rFonts w:ascii="仿宋_GB2312" w:hAnsi="仿宋_GB2312" w:cs="仿宋_GB2312" w:eastAsia="仿宋_GB2312"/>
                <w:sz w:val="22"/>
                <w:color w:val="000000"/>
              </w:rPr>
              <w:t>4.特性灵敏度：≥90dB/W/m。</w:t>
            </w:r>
          </w:p>
          <w:p>
            <w:pPr>
              <w:pStyle w:val="null3"/>
              <w:jc w:val="both"/>
            </w:pPr>
            <w:r>
              <w:rPr>
                <w:rFonts w:ascii="仿宋_GB2312" w:hAnsi="仿宋_GB2312" w:cs="仿宋_GB2312" w:eastAsia="仿宋_GB2312"/>
                <w:sz w:val="22"/>
                <w:color w:val="000000"/>
              </w:rPr>
              <w:t>5.额定频率范围：55～20000Hz。</w:t>
            </w:r>
          </w:p>
          <w:p>
            <w:pPr>
              <w:pStyle w:val="null3"/>
              <w:jc w:val="both"/>
            </w:pPr>
            <w:r>
              <w:rPr>
                <w:rFonts w:ascii="仿宋_GB2312" w:hAnsi="仿宋_GB2312" w:cs="仿宋_GB2312" w:eastAsia="仿宋_GB2312"/>
                <w:sz w:val="22"/>
                <w:color w:val="000000"/>
              </w:rPr>
              <w:t>6.扬声器单元：LF：≥6.5英寸；HF：≥1英寸丝膜高音。</w:t>
            </w:r>
          </w:p>
          <w:p>
            <w:pPr>
              <w:pStyle w:val="null3"/>
              <w:jc w:val="both"/>
            </w:pPr>
            <w:r>
              <w:rPr>
                <w:rFonts w:ascii="仿宋_GB2312" w:hAnsi="仿宋_GB2312" w:cs="仿宋_GB2312" w:eastAsia="仿宋_GB2312"/>
                <w:sz w:val="22"/>
                <w:b/>
                <w:color w:val="000000"/>
              </w:rPr>
              <w:t>（二）功放</w:t>
            </w:r>
          </w:p>
          <w:p>
            <w:pPr>
              <w:pStyle w:val="null3"/>
              <w:jc w:val="both"/>
            </w:pPr>
            <w:r>
              <w:rPr>
                <w:rFonts w:ascii="仿宋_GB2312" w:hAnsi="仿宋_GB2312" w:cs="仿宋_GB2312" w:eastAsia="仿宋_GB2312"/>
                <w:sz w:val="22"/>
                <w:color w:val="000000"/>
              </w:rPr>
              <w:t>1.4路话筒（两路平衡式和两路非平衡式）输入端，平衡式输入端具备+48V标准幻象电源和供电开关，具备4路话筒输入音量独立调节功能。</w:t>
            </w:r>
          </w:p>
          <w:p>
            <w:pPr>
              <w:pStyle w:val="null3"/>
              <w:jc w:val="both"/>
            </w:pPr>
            <w:r>
              <w:rPr>
                <w:rFonts w:ascii="仿宋_GB2312" w:hAnsi="仿宋_GB2312" w:cs="仿宋_GB2312" w:eastAsia="仿宋_GB2312"/>
                <w:sz w:val="22"/>
                <w:color w:val="000000"/>
              </w:rPr>
              <w:t>2.不低于3组立体声音源输入（至少2组线路、1组MP3），具有高、低音音调独立调节。</w:t>
            </w:r>
          </w:p>
          <w:p>
            <w:pPr>
              <w:pStyle w:val="null3"/>
              <w:jc w:val="both"/>
            </w:pPr>
            <w:r>
              <w:rPr>
                <w:rFonts w:ascii="仿宋_GB2312" w:hAnsi="仿宋_GB2312" w:cs="仿宋_GB2312" w:eastAsia="仿宋_GB2312"/>
                <w:sz w:val="22"/>
                <w:color w:val="000000"/>
              </w:rPr>
              <w:t>3.2路线路混音输出，适用各种录音设备和视频会议传输设备。</w:t>
            </w:r>
          </w:p>
          <w:p>
            <w:pPr>
              <w:pStyle w:val="null3"/>
              <w:jc w:val="both"/>
            </w:pPr>
            <w:r>
              <w:rPr>
                <w:rFonts w:ascii="仿宋_GB2312" w:hAnsi="仿宋_GB2312" w:cs="仿宋_GB2312" w:eastAsia="仿宋_GB2312"/>
                <w:sz w:val="22"/>
                <w:color w:val="000000"/>
              </w:rPr>
              <w:t>4.信噪比：≥89dB。</w:t>
            </w:r>
          </w:p>
          <w:p>
            <w:pPr>
              <w:pStyle w:val="null3"/>
              <w:jc w:val="both"/>
            </w:pPr>
            <w:r>
              <w:rPr>
                <w:rFonts w:ascii="仿宋_GB2312" w:hAnsi="仿宋_GB2312" w:cs="仿宋_GB2312" w:eastAsia="仿宋_GB2312"/>
                <w:sz w:val="22"/>
                <w:color w:val="000000"/>
              </w:rPr>
              <w:t>5.额定输出功率：≥2×100W/8Ω；≥2×180W/4Ω。</w:t>
            </w:r>
          </w:p>
          <w:p>
            <w:pPr>
              <w:pStyle w:val="null3"/>
              <w:jc w:val="both"/>
            </w:pPr>
            <w:r>
              <w:rPr>
                <w:rFonts w:ascii="仿宋_GB2312" w:hAnsi="仿宋_GB2312" w:cs="仿宋_GB2312" w:eastAsia="仿宋_GB2312"/>
                <w:sz w:val="22"/>
                <w:color w:val="000000"/>
              </w:rPr>
              <w:t>6.输入灵敏度：线路不低于500mV±20mV；话筒不低于20mV±2mV。</w:t>
            </w:r>
          </w:p>
          <w:p>
            <w:pPr>
              <w:pStyle w:val="null3"/>
              <w:jc w:val="both"/>
            </w:pPr>
            <w:r>
              <w:rPr>
                <w:rFonts w:ascii="仿宋_GB2312" w:hAnsi="仿宋_GB2312" w:cs="仿宋_GB2312" w:eastAsia="仿宋_GB2312"/>
                <w:sz w:val="22"/>
                <w:color w:val="000000"/>
              </w:rPr>
              <w:t>7.频率响应：线路不低于20Hz～20KHz±2dB；话筒不低于80Hz～16KHz±3dB。</w:t>
            </w:r>
          </w:p>
          <w:p>
            <w:pPr>
              <w:pStyle w:val="null3"/>
              <w:jc w:val="both"/>
            </w:pPr>
            <w:r>
              <w:rPr>
                <w:rFonts w:ascii="仿宋_GB2312" w:hAnsi="仿宋_GB2312" w:cs="仿宋_GB2312" w:eastAsia="仿宋_GB2312"/>
                <w:sz w:val="22"/>
                <w:color w:val="000000"/>
              </w:rPr>
              <w:t>8.失真度：线路≤1%，话筒≤1%。</w:t>
            </w:r>
          </w:p>
          <w:p>
            <w:pPr>
              <w:pStyle w:val="null3"/>
              <w:jc w:val="both"/>
            </w:pPr>
            <w:r>
              <w:rPr>
                <w:rFonts w:ascii="仿宋_GB2312" w:hAnsi="仿宋_GB2312" w:cs="仿宋_GB2312" w:eastAsia="仿宋_GB2312"/>
                <w:sz w:val="22"/>
                <w:b/>
                <w:color w:val="000000"/>
              </w:rPr>
              <w:t>（三）话筒（有线、无线话筒各</w:t>
            </w:r>
            <w:r>
              <w:rPr>
                <w:rFonts w:ascii="仿宋_GB2312" w:hAnsi="仿宋_GB2312" w:cs="仿宋_GB2312" w:eastAsia="仿宋_GB2312"/>
                <w:sz w:val="22"/>
                <w:b/>
                <w:color w:val="000000"/>
              </w:rPr>
              <w:t>1个）</w:t>
            </w:r>
          </w:p>
          <w:p>
            <w:pPr>
              <w:pStyle w:val="null3"/>
              <w:jc w:val="both"/>
            </w:pPr>
            <w:r>
              <w:rPr>
                <w:rFonts w:ascii="仿宋_GB2312" w:hAnsi="仿宋_GB2312" w:cs="仿宋_GB2312" w:eastAsia="仿宋_GB2312"/>
                <w:sz w:val="22"/>
                <w:color w:val="000000"/>
              </w:rPr>
              <w:t>1.音头类型：电容式。</w:t>
            </w:r>
          </w:p>
          <w:p>
            <w:pPr>
              <w:pStyle w:val="null3"/>
              <w:jc w:val="both"/>
            </w:pPr>
            <w:r>
              <w:rPr>
                <w:rFonts w:ascii="仿宋_GB2312" w:hAnsi="仿宋_GB2312" w:cs="仿宋_GB2312" w:eastAsia="仿宋_GB2312"/>
                <w:sz w:val="22"/>
                <w:color w:val="000000"/>
              </w:rPr>
              <w:t>2.指向特性：超心型指向。</w:t>
            </w:r>
          </w:p>
          <w:p>
            <w:pPr>
              <w:pStyle w:val="null3"/>
              <w:jc w:val="both"/>
            </w:pPr>
            <w:r>
              <w:rPr>
                <w:rFonts w:ascii="仿宋_GB2312" w:hAnsi="仿宋_GB2312" w:cs="仿宋_GB2312" w:eastAsia="仿宋_GB2312"/>
                <w:sz w:val="22"/>
                <w:color w:val="000000"/>
              </w:rPr>
              <w:t>3.频率响应：不低于40Hz～16kHz（±1dB）。</w:t>
            </w:r>
          </w:p>
          <w:p>
            <w:pPr>
              <w:pStyle w:val="null3"/>
              <w:jc w:val="both"/>
            </w:pPr>
            <w:r>
              <w:rPr>
                <w:rFonts w:ascii="仿宋_GB2312" w:hAnsi="仿宋_GB2312" w:cs="仿宋_GB2312" w:eastAsia="仿宋_GB2312"/>
                <w:sz w:val="22"/>
                <w:color w:val="000000"/>
              </w:rPr>
              <w:t>4.灵敏度：不低于-40dBV。</w:t>
            </w:r>
          </w:p>
          <w:p>
            <w:pPr>
              <w:pStyle w:val="null3"/>
              <w:jc w:val="both"/>
            </w:pPr>
            <w:r>
              <w:rPr>
                <w:rFonts w:ascii="仿宋_GB2312" w:hAnsi="仿宋_GB2312" w:cs="仿宋_GB2312" w:eastAsia="仿宋_GB2312"/>
                <w:sz w:val="22"/>
                <w:color w:val="000000"/>
              </w:rPr>
              <w:t>5.失真度：&lt;1%。</w:t>
            </w:r>
          </w:p>
          <w:p>
            <w:pPr>
              <w:pStyle w:val="null3"/>
              <w:jc w:val="both"/>
            </w:pPr>
            <w:r>
              <w:rPr>
                <w:rFonts w:ascii="仿宋_GB2312" w:hAnsi="仿宋_GB2312" w:cs="仿宋_GB2312" w:eastAsia="仿宋_GB2312"/>
                <w:sz w:val="22"/>
                <w:color w:val="000000"/>
              </w:rPr>
              <w:t>6.供电电压：DC3V/48V幻象电源，自动转换。</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2"/>
                <w:b/>
                <w:color w:val="000000"/>
              </w:rPr>
              <w:t>十、多媒体讲台</w:t>
            </w:r>
          </w:p>
          <w:p>
            <w:pPr>
              <w:pStyle w:val="null3"/>
              <w:jc w:val="both"/>
            </w:pPr>
            <w:r>
              <w:rPr>
                <w:rFonts w:ascii="仿宋_GB2312" w:hAnsi="仿宋_GB2312" w:cs="仿宋_GB2312" w:eastAsia="仿宋_GB2312"/>
                <w:sz w:val="22"/>
                <w:color w:val="000000"/>
              </w:rPr>
              <w:t>1.外形尺寸：闭合尺寸1100*650*1055mm（左右*前后*桌面/外围高度）。</w:t>
            </w:r>
          </w:p>
          <w:p>
            <w:pPr>
              <w:pStyle w:val="null3"/>
              <w:jc w:val="both"/>
            </w:pPr>
            <w:r>
              <w:rPr>
                <w:rFonts w:ascii="仿宋_GB2312" w:hAnsi="仿宋_GB2312" w:cs="仿宋_GB2312" w:eastAsia="仿宋_GB2312"/>
                <w:sz w:val="22"/>
                <w:color w:val="000000"/>
              </w:rPr>
              <w:t>2.钢木结合，讲台镀锌钢板，钢板厚度不低于1.0mm；桌面平铺不低于18毫米厚耐划三聚氰胺板，讲桌双抽屉设计，前面设计有键盘抽屉和储物抽屉。</w:t>
            </w:r>
          </w:p>
          <w:p>
            <w:pPr>
              <w:pStyle w:val="null3"/>
              <w:jc w:val="both"/>
            </w:pPr>
            <w:r>
              <w:rPr>
                <w:rFonts w:ascii="仿宋_GB2312" w:hAnsi="仿宋_GB2312" w:cs="仿宋_GB2312" w:eastAsia="仿宋_GB2312"/>
                <w:sz w:val="22"/>
                <w:color w:val="000000"/>
              </w:rPr>
              <w:t>3.讲桌具备≥21.5英寸全贴合电容触摸屏幕，分辨率不低于1920*1080，支持至少10点同时触摸，触摸屏同步显示一体或智慧黑板机画面。</w:t>
            </w:r>
          </w:p>
          <w:p>
            <w:pPr>
              <w:pStyle w:val="null3"/>
              <w:jc w:val="both"/>
            </w:pPr>
            <w:r>
              <w:rPr>
                <w:rFonts w:ascii="仿宋_GB2312" w:hAnsi="仿宋_GB2312" w:cs="仿宋_GB2312" w:eastAsia="仿宋_GB2312"/>
                <w:sz w:val="22"/>
                <w:color w:val="000000"/>
              </w:rPr>
              <w:t>4.讲桌触摸屏侧边接口不少于2个USB 3.2接口；不少于1个HDMI接口；不少于1个五孔220V交流电源接口。</w:t>
            </w:r>
          </w:p>
          <w:p>
            <w:pPr>
              <w:pStyle w:val="null3"/>
              <w:jc w:val="both"/>
            </w:pPr>
            <w:r>
              <w:rPr>
                <w:rFonts w:ascii="仿宋_GB2312" w:hAnsi="仿宋_GB2312" w:cs="仿宋_GB2312" w:eastAsia="仿宋_GB2312"/>
                <w:sz w:val="22"/>
                <w:color w:val="000000"/>
              </w:rPr>
              <w:t>5.21.5英寸触控屏可调节≥30～90°可视角度。</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一</w:t>
            </w:r>
            <w:r>
              <w:rPr>
                <w:rFonts w:ascii="仿宋_GB2312" w:hAnsi="仿宋_GB2312" w:cs="仿宋_GB2312" w:eastAsia="仿宋_GB2312"/>
                <w:sz w:val="22"/>
                <w:b/>
                <w:color w:val="000000"/>
              </w:rPr>
              <w:t>、学生电脑桌（</w:t>
            </w:r>
            <w:r>
              <w:rPr>
                <w:rFonts w:ascii="仿宋_GB2312" w:hAnsi="仿宋_GB2312" w:cs="仿宋_GB2312" w:eastAsia="仿宋_GB2312"/>
                <w:sz w:val="22"/>
                <w:b/>
                <w:color w:val="000000"/>
              </w:rPr>
              <w:t>4联桌）</w:t>
            </w:r>
          </w:p>
          <w:p>
            <w:pPr>
              <w:pStyle w:val="null3"/>
              <w:jc w:val="both"/>
            </w:pPr>
            <w:r>
              <w:rPr>
                <w:rFonts w:ascii="仿宋_GB2312" w:hAnsi="仿宋_GB2312" w:cs="仿宋_GB2312" w:eastAsia="仿宋_GB2312"/>
                <w:sz w:val="22"/>
                <w:color w:val="000000"/>
              </w:rPr>
              <w:t>1.参考尺寸：约3000*600*750mm</w:t>
            </w:r>
          </w:p>
          <w:p>
            <w:pPr>
              <w:pStyle w:val="null3"/>
              <w:jc w:val="both"/>
            </w:pPr>
            <w:r>
              <w:rPr>
                <w:rFonts w:ascii="仿宋_GB2312" w:hAnsi="仿宋_GB2312" w:cs="仿宋_GB2312" w:eastAsia="仿宋_GB2312"/>
                <w:sz w:val="22"/>
                <w:color w:val="000000"/>
              </w:rPr>
              <w:t>2.台架要求</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1）台脚：采用50*15*1.1MM扁管一次弯管成型，背板采用0.8冷轧钢板折弯成型。前上横梁采用25*25*1.1方管，台架整体外表经酸洗、磷化、静电喷涂工艺。</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2）台架：整体采用拆装结构。台架底部含4个水平调整脚。</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3）台面：采用三聚氰胺板，PVC本色封边。</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二</w:t>
            </w:r>
            <w:r>
              <w:rPr>
                <w:rFonts w:ascii="仿宋_GB2312" w:hAnsi="仿宋_GB2312" w:cs="仿宋_GB2312" w:eastAsia="仿宋_GB2312"/>
                <w:sz w:val="22"/>
                <w:b/>
                <w:color w:val="000000"/>
              </w:rPr>
              <w:t>、学生电脑桌（</w:t>
            </w:r>
            <w:r>
              <w:rPr>
                <w:rFonts w:ascii="仿宋_GB2312" w:hAnsi="仿宋_GB2312" w:cs="仿宋_GB2312" w:eastAsia="仿宋_GB2312"/>
                <w:sz w:val="22"/>
                <w:b/>
                <w:color w:val="000000"/>
              </w:rPr>
              <w:t>4联带主机托板）</w:t>
            </w:r>
          </w:p>
          <w:p>
            <w:pPr>
              <w:pStyle w:val="null3"/>
              <w:jc w:val="both"/>
            </w:pPr>
            <w:r>
              <w:rPr>
                <w:rFonts w:ascii="仿宋_GB2312" w:hAnsi="仿宋_GB2312" w:cs="仿宋_GB2312" w:eastAsia="仿宋_GB2312"/>
                <w:sz w:val="22"/>
                <w:color w:val="000000"/>
              </w:rPr>
              <w:t>1.参考尺寸：约3000*600*750mm</w:t>
            </w:r>
          </w:p>
          <w:p>
            <w:pPr>
              <w:pStyle w:val="null3"/>
              <w:jc w:val="both"/>
            </w:pPr>
            <w:r>
              <w:rPr>
                <w:rFonts w:ascii="仿宋_GB2312" w:hAnsi="仿宋_GB2312" w:cs="仿宋_GB2312" w:eastAsia="仿宋_GB2312"/>
                <w:sz w:val="22"/>
                <w:color w:val="000000"/>
              </w:rPr>
              <w:t>2.台架要求</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1）台脚：采用50*15*1.1MM扁管一次弯管成型，背板采用0.8冷轧钢板折弯成型。前上横梁采用25*25*1.1方管，台架整体外表经酸洗、磷化、静电喷涂工艺。</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2）台架：整体采用拆装结构；台架底部含4个水平调整脚。</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3）台面：采用三聚氰胺板，PVC本色封边。</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4）包含板式材质主机托。</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三</w:t>
            </w:r>
            <w:r>
              <w:rPr>
                <w:rFonts w:ascii="仿宋_GB2312" w:hAnsi="仿宋_GB2312" w:cs="仿宋_GB2312" w:eastAsia="仿宋_GB2312"/>
                <w:sz w:val="22"/>
                <w:b/>
                <w:color w:val="000000"/>
              </w:rPr>
              <w:t>、学生电脑桌（</w:t>
            </w:r>
            <w:r>
              <w:rPr>
                <w:rFonts w:ascii="仿宋_GB2312" w:hAnsi="仿宋_GB2312" w:cs="仿宋_GB2312" w:eastAsia="仿宋_GB2312"/>
                <w:sz w:val="22"/>
                <w:b/>
                <w:color w:val="000000"/>
              </w:rPr>
              <w:t>3联桌）</w:t>
            </w:r>
          </w:p>
          <w:p>
            <w:pPr>
              <w:pStyle w:val="null3"/>
              <w:jc w:val="both"/>
            </w:pPr>
            <w:r>
              <w:rPr>
                <w:rFonts w:ascii="仿宋_GB2312" w:hAnsi="仿宋_GB2312" w:cs="仿宋_GB2312" w:eastAsia="仿宋_GB2312"/>
                <w:sz w:val="22"/>
                <w:color w:val="000000"/>
              </w:rPr>
              <w:t>1.参考尺寸：约2250*600*750mm</w:t>
            </w:r>
          </w:p>
          <w:p>
            <w:pPr>
              <w:pStyle w:val="null3"/>
              <w:jc w:val="both"/>
            </w:pPr>
            <w:r>
              <w:rPr>
                <w:rFonts w:ascii="仿宋_GB2312" w:hAnsi="仿宋_GB2312" w:cs="仿宋_GB2312" w:eastAsia="仿宋_GB2312"/>
                <w:sz w:val="22"/>
                <w:color w:val="000000"/>
              </w:rPr>
              <w:t>2.台架要求</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1）台脚：采用50*15*1.1MM扁管一次弯管成型，背板采用0.8冷轧钢板折弯成型。前上横梁采用25*25*1.1方管，台架整体外表经酸洗、磷化、静电喷涂工艺。</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2）台架：整体采用拆装结构。台架底部含4个水平调整脚。</w:t>
            </w:r>
          </w:p>
          <w:p>
            <w:pPr>
              <w:pStyle w:val="null3"/>
              <w:jc w:val="both"/>
            </w:pPr>
            <w:r>
              <w:rPr>
                <w:rFonts w:ascii="仿宋_GB2312" w:hAnsi="仿宋_GB2312" w:cs="仿宋_GB2312" w:eastAsia="仿宋_GB2312"/>
                <w:sz w:val="22"/>
                <w:color w:val="000000"/>
              </w:rPr>
              <w:t>（</w:t>
            </w:r>
            <w:r>
              <w:rPr>
                <w:rFonts w:ascii="仿宋_GB2312" w:hAnsi="仿宋_GB2312" w:cs="仿宋_GB2312" w:eastAsia="仿宋_GB2312"/>
                <w:sz w:val="22"/>
                <w:color w:val="000000"/>
              </w:rPr>
              <w:t>3）台面：采用三聚氰胺板，PVC本色封边。</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四</w:t>
            </w:r>
            <w:r>
              <w:rPr>
                <w:rFonts w:ascii="仿宋_GB2312" w:hAnsi="仿宋_GB2312" w:cs="仿宋_GB2312" w:eastAsia="仿宋_GB2312"/>
                <w:sz w:val="22"/>
                <w:b/>
                <w:color w:val="000000"/>
              </w:rPr>
              <w:t>、学生电脑凳</w:t>
            </w:r>
          </w:p>
          <w:p>
            <w:pPr>
              <w:pStyle w:val="null3"/>
              <w:jc w:val="both"/>
            </w:pPr>
            <w:r>
              <w:rPr>
                <w:rFonts w:ascii="仿宋_GB2312" w:hAnsi="仿宋_GB2312" w:cs="仿宋_GB2312" w:eastAsia="仿宋_GB2312"/>
                <w:sz w:val="22"/>
                <w:color w:val="000000"/>
              </w:rPr>
              <w:t>1.参考尺寸：340*240*440mm</w:t>
            </w:r>
          </w:p>
          <w:p>
            <w:pPr>
              <w:pStyle w:val="null3"/>
              <w:jc w:val="both"/>
            </w:pPr>
            <w:r>
              <w:rPr>
                <w:rFonts w:ascii="仿宋_GB2312" w:hAnsi="仿宋_GB2312" w:cs="仿宋_GB2312" w:eastAsia="仿宋_GB2312"/>
                <w:sz w:val="22"/>
                <w:color w:val="000000"/>
              </w:rPr>
              <w:t>2.方凳钢木结构，台面采用25mm E0级环保实木颗粒板，四周PVC封边。凳腿采用25*25*1.0高频焊接钢管，辅料采用20*20*1.0高频焊接钢管，脚套采用ABS塑料件。</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五</w:t>
            </w:r>
            <w:r>
              <w:rPr>
                <w:rFonts w:ascii="仿宋_GB2312" w:hAnsi="仿宋_GB2312" w:cs="仿宋_GB2312" w:eastAsia="仿宋_GB2312"/>
                <w:sz w:val="22"/>
                <w:b/>
                <w:color w:val="000000"/>
              </w:rPr>
              <w:t>、立式空调</w:t>
            </w:r>
          </w:p>
          <w:p>
            <w:pPr>
              <w:pStyle w:val="null3"/>
              <w:jc w:val="both"/>
            </w:pPr>
            <w:r>
              <w:rPr>
                <w:rFonts w:ascii="仿宋_GB2312" w:hAnsi="仿宋_GB2312" w:cs="仿宋_GB2312" w:eastAsia="仿宋_GB2312"/>
                <w:sz w:val="22"/>
                <w:color w:val="000000"/>
              </w:rPr>
              <w:t>1.制冷量（W)：≥12000</w:t>
            </w:r>
          </w:p>
          <w:p>
            <w:pPr>
              <w:pStyle w:val="null3"/>
              <w:jc w:val="both"/>
            </w:pPr>
            <w:r>
              <w:rPr>
                <w:rFonts w:ascii="仿宋_GB2312" w:hAnsi="仿宋_GB2312" w:cs="仿宋_GB2312" w:eastAsia="仿宋_GB2312"/>
                <w:sz w:val="22"/>
                <w:color w:val="000000"/>
              </w:rPr>
              <w:t>2.制热量（W)：≥14000</w:t>
            </w:r>
          </w:p>
          <w:p>
            <w:pPr>
              <w:pStyle w:val="null3"/>
              <w:jc w:val="both"/>
            </w:pPr>
            <w:r>
              <w:rPr>
                <w:rFonts w:ascii="仿宋_GB2312" w:hAnsi="仿宋_GB2312" w:cs="仿宋_GB2312" w:eastAsia="仿宋_GB2312"/>
                <w:sz w:val="22"/>
                <w:color w:val="000000"/>
              </w:rPr>
              <w:t>3.能效等级：1级</w:t>
            </w:r>
          </w:p>
          <w:p>
            <w:pPr>
              <w:pStyle w:val="null3"/>
              <w:jc w:val="both"/>
            </w:pPr>
            <w:r>
              <w:rPr>
                <w:rFonts w:ascii="仿宋_GB2312" w:hAnsi="仿宋_GB2312" w:cs="仿宋_GB2312" w:eastAsia="仿宋_GB2312"/>
                <w:sz w:val="22"/>
                <w:color w:val="000000"/>
              </w:rPr>
              <w:t>4.循环风量：≥2000 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w:t>
            </w:r>
          </w:p>
          <w:p>
            <w:pPr>
              <w:pStyle w:val="null3"/>
              <w:jc w:val="both"/>
            </w:pPr>
            <w:r>
              <w:rPr>
                <w:rFonts w:ascii="仿宋_GB2312" w:hAnsi="仿宋_GB2312" w:cs="仿宋_GB2312" w:eastAsia="仿宋_GB2312"/>
                <w:sz w:val="22"/>
              </w:rPr>
              <w:t>5.★提供节能认证产品认证证书</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六</w:t>
            </w:r>
            <w:r>
              <w:rPr>
                <w:rFonts w:ascii="仿宋_GB2312" w:hAnsi="仿宋_GB2312" w:cs="仿宋_GB2312" w:eastAsia="仿宋_GB2312"/>
                <w:sz w:val="22"/>
                <w:b/>
                <w:color w:val="000000"/>
              </w:rPr>
              <w:t>、数学建模软件（</w:t>
            </w:r>
            <w:r>
              <w:rPr>
                <w:rFonts w:ascii="仿宋_GB2312" w:hAnsi="仿宋_GB2312" w:cs="仿宋_GB2312" w:eastAsia="仿宋_GB2312"/>
                <w:sz w:val="22"/>
                <w:b/>
                <w:color w:val="000000"/>
              </w:rPr>
              <w:t>MATLAB软件）</w:t>
            </w:r>
          </w:p>
          <w:p>
            <w:pPr>
              <w:pStyle w:val="null3"/>
              <w:jc w:val="both"/>
            </w:pPr>
            <w:r>
              <w:rPr>
                <w:rFonts w:ascii="仿宋_GB2312" w:hAnsi="仿宋_GB2312" w:cs="仿宋_GB2312" w:eastAsia="仿宋_GB2312"/>
                <w:sz w:val="22"/>
                <w:color w:val="000000"/>
              </w:rPr>
              <w:t>（一）主要用途</w:t>
            </w:r>
          </w:p>
          <w:p>
            <w:pPr>
              <w:pStyle w:val="null3"/>
              <w:jc w:val="both"/>
            </w:pPr>
            <w:r>
              <w:rPr>
                <w:rFonts w:ascii="仿宋_GB2312" w:hAnsi="仿宋_GB2312" w:cs="仿宋_GB2312" w:eastAsia="仿宋_GB2312"/>
                <w:sz w:val="22"/>
                <w:color w:val="000000"/>
              </w:rPr>
              <w:t>用于课程教学、教师科研工作和大学生数学建模竞赛。</w:t>
            </w:r>
          </w:p>
          <w:p>
            <w:pPr>
              <w:pStyle w:val="null3"/>
              <w:jc w:val="both"/>
            </w:pPr>
            <w:r>
              <w:rPr>
                <w:rFonts w:ascii="仿宋_GB2312" w:hAnsi="仿宋_GB2312" w:cs="仿宋_GB2312" w:eastAsia="仿宋_GB2312"/>
                <w:sz w:val="22"/>
                <w:color w:val="000000"/>
              </w:rPr>
              <w:t>（二）技术要求</w:t>
            </w:r>
          </w:p>
          <w:p>
            <w:pPr>
              <w:pStyle w:val="null3"/>
              <w:jc w:val="both"/>
            </w:pPr>
            <w:r>
              <w:rPr>
                <w:rFonts w:ascii="仿宋_GB2312" w:hAnsi="仿宋_GB2312" w:cs="仿宋_GB2312" w:eastAsia="仿宋_GB2312"/>
                <w:sz w:val="22"/>
                <w:color w:val="000000"/>
              </w:rPr>
              <w:t>1.软件产品数量：1个用户单机版，永久授权。</w:t>
            </w:r>
          </w:p>
          <w:p>
            <w:pPr>
              <w:pStyle w:val="null3"/>
              <w:jc w:val="both"/>
            </w:pPr>
            <w:r>
              <w:rPr>
                <w:rFonts w:ascii="仿宋_GB2312" w:hAnsi="仿宋_GB2312" w:cs="仿宋_GB2312" w:eastAsia="仿宋_GB2312"/>
                <w:sz w:val="22"/>
                <w:color w:val="000000"/>
              </w:rPr>
              <w:t>2.能够运行该软件版本对应的所有程序和实现该软件版本的全部功能，包含：符号数学工具箱、偏微分方程工具箱、统计与机器学习工具箱、曲线拟合工具箱、优化工具箱、全局优化工具箱、深度学习工具箱、强化学习工具箱、文本分析工具箱。</w:t>
            </w:r>
          </w:p>
          <w:p>
            <w:pPr>
              <w:pStyle w:val="null3"/>
              <w:jc w:val="both"/>
            </w:pPr>
            <w:r>
              <w:rPr>
                <w:rFonts w:ascii="仿宋_GB2312" w:hAnsi="仿宋_GB2312" w:cs="仿宋_GB2312" w:eastAsia="仿宋_GB2312"/>
                <w:sz w:val="22"/>
                <w:color w:val="000000"/>
              </w:rPr>
              <w:t>3.版本不低于2025版，支持全中文汉化。</w:t>
            </w:r>
          </w:p>
          <w:p>
            <w:pPr>
              <w:pStyle w:val="null3"/>
              <w:jc w:val="both"/>
            </w:pPr>
            <w:r>
              <w:rPr>
                <w:rFonts w:ascii="仿宋_GB2312" w:hAnsi="仿宋_GB2312" w:cs="仿宋_GB2312" w:eastAsia="仿宋_GB2312"/>
                <w:sz w:val="22"/>
                <w:color w:val="000000"/>
              </w:rPr>
              <w:t>4.永久许可，含原厂一年软件更新升级和在线支持维护服务。</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sz w:val="22"/>
                <w:b/>
                <w:color w:val="000000"/>
              </w:rPr>
              <w:t>十</w:t>
            </w:r>
            <w:r>
              <w:rPr>
                <w:rFonts w:ascii="仿宋_GB2312" w:hAnsi="仿宋_GB2312" w:cs="仿宋_GB2312" w:eastAsia="仿宋_GB2312"/>
                <w:sz w:val="22"/>
                <w:b/>
                <w:color w:val="000000"/>
              </w:rPr>
              <w:t>七</w:t>
            </w:r>
            <w:r>
              <w:rPr>
                <w:rFonts w:ascii="仿宋_GB2312" w:hAnsi="仿宋_GB2312" w:cs="仿宋_GB2312" w:eastAsia="仿宋_GB2312"/>
                <w:sz w:val="22"/>
                <w:b/>
                <w:color w:val="000000"/>
              </w:rPr>
              <w:t>、统计分析软件（</w:t>
            </w:r>
            <w:r>
              <w:rPr>
                <w:rFonts w:ascii="仿宋_GB2312" w:hAnsi="仿宋_GB2312" w:cs="仿宋_GB2312" w:eastAsia="仿宋_GB2312"/>
                <w:sz w:val="22"/>
                <w:b/>
                <w:color w:val="000000"/>
              </w:rPr>
              <w:t>SPSS Base基础版）</w:t>
            </w:r>
          </w:p>
          <w:p>
            <w:pPr>
              <w:pStyle w:val="null3"/>
              <w:jc w:val="both"/>
            </w:pPr>
            <w:r>
              <w:rPr>
                <w:rFonts w:ascii="仿宋_GB2312" w:hAnsi="仿宋_GB2312" w:cs="仿宋_GB2312" w:eastAsia="仿宋_GB2312"/>
                <w:sz w:val="22"/>
                <w:color w:val="000000"/>
              </w:rPr>
              <w:t>（一）主要用途</w:t>
            </w:r>
          </w:p>
          <w:p>
            <w:pPr>
              <w:pStyle w:val="null3"/>
              <w:jc w:val="both"/>
            </w:pPr>
            <w:r>
              <w:rPr>
                <w:rFonts w:ascii="仿宋_GB2312" w:hAnsi="仿宋_GB2312" w:cs="仿宋_GB2312" w:eastAsia="仿宋_GB2312"/>
                <w:sz w:val="22"/>
                <w:color w:val="000000"/>
              </w:rPr>
              <w:t>用于课程教学、教师科研工作和大学生数学建模竞赛。</w:t>
            </w:r>
          </w:p>
          <w:p>
            <w:pPr>
              <w:pStyle w:val="null3"/>
              <w:jc w:val="both"/>
            </w:pPr>
            <w:r>
              <w:rPr>
                <w:rFonts w:ascii="仿宋_GB2312" w:hAnsi="仿宋_GB2312" w:cs="仿宋_GB2312" w:eastAsia="仿宋_GB2312"/>
                <w:sz w:val="22"/>
                <w:color w:val="000000"/>
              </w:rPr>
              <w:t>（二）技术要求</w:t>
            </w:r>
          </w:p>
          <w:p>
            <w:pPr>
              <w:pStyle w:val="null3"/>
              <w:jc w:val="both"/>
            </w:pPr>
            <w:r>
              <w:rPr>
                <w:rFonts w:ascii="仿宋_GB2312" w:hAnsi="仿宋_GB2312" w:cs="仿宋_GB2312" w:eastAsia="仿宋_GB2312"/>
                <w:sz w:val="22"/>
                <w:color w:val="000000"/>
              </w:rPr>
              <w:t>1.软件产品数量：25个用户单机版，永久授权。</w:t>
            </w:r>
          </w:p>
          <w:p>
            <w:pPr>
              <w:pStyle w:val="null3"/>
              <w:jc w:val="both"/>
            </w:pPr>
            <w:r>
              <w:rPr>
                <w:rFonts w:ascii="仿宋_GB2312" w:hAnsi="仿宋_GB2312" w:cs="仿宋_GB2312" w:eastAsia="仿宋_GB2312"/>
                <w:sz w:val="22"/>
                <w:color w:val="000000"/>
              </w:rPr>
              <w:t>2.能够运行该软件版本对应的所有程序和实现该软件版本的全部功能。</w:t>
            </w:r>
          </w:p>
          <w:p>
            <w:pPr>
              <w:pStyle w:val="null3"/>
              <w:jc w:val="both"/>
            </w:pPr>
            <w:r>
              <w:rPr>
                <w:rFonts w:ascii="仿宋_GB2312" w:hAnsi="仿宋_GB2312" w:cs="仿宋_GB2312" w:eastAsia="仿宋_GB2312"/>
                <w:sz w:val="22"/>
                <w:color w:val="000000"/>
              </w:rPr>
              <w:t>3.版本不低于V30，支持全中文汉化。</w:t>
            </w:r>
          </w:p>
          <w:p>
            <w:pPr>
              <w:pStyle w:val="null3"/>
              <w:jc w:val="both"/>
            </w:pPr>
            <w:r>
              <w:rPr>
                <w:rFonts w:ascii="仿宋_GB2312" w:hAnsi="仿宋_GB2312" w:cs="仿宋_GB2312" w:eastAsia="仿宋_GB2312"/>
                <w:sz w:val="22"/>
                <w:color w:val="000000"/>
              </w:rPr>
              <w:t>4.永久许可，含原厂一年软件更新升级和在线支持维护服务。</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2"/>
                <w:b/>
              </w:rPr>
              <w:t>十八</w:t>
            </w:r>
            <w:r>
              <w:rPr>
                <w:rFonts w:ascii="仿宋_GB2312" w:hAnsi="仿宋_GB2312" w:cs="仿宋_GB2312" w:eastAsia="仿宋_GB2312"/>
                <w:sz w:val="22"/>
                <w:b/>
              </w:rPr>
              <w:t>、</w:t>
            </w:r>
            <w:r>
              <w:rPr>
                <w:rFonts w:ascii="仿宋_GB2312" w:hAnsi="仿宋_GB2312" w:cs="仿宋_GB2312" w:eastAsia="仿宋_GB2312"/>
                <w:sz w:val="22"/>
                <w:b/>
              </w:rPr>
              <w:t>其他要求</w:t>
            </w:r>
          </w:p>
          <w:p>
            <w:pPr>
              <w:pStyle w:val="null3"/>
              <w:jc w:val="both"/>
            </w:pPr>
            <w:r>
              <w:rPr>
                <w:rFonts w:ascii="仿宋_GB2312" w:hAnsi="仿宋_GB2312" w:cs="仿宋_GB2312" w:eastAsia="仿宋_GB2312"/>
                <w:sz w:val="22"/>
                <w:b/>
              </w:rPr>
              <w:t>1</w:t>
            </w:r>
            <w:r>
              <w:rPr>
                <w:rFonts w:ascii="仿宋_GB2312" w:hAnsi="仿宋_GB2312" w:cs="仿宋_GB2312" w:eastAsia="仿宋_GB2312"/>
                <w:sz w:val="22"/>
                <w:b/>
              </w:rPr>
              <w:t>.</w:t>
            </w:r>
            <w:r>
              <w:rPr>
                <w:rFonts w:ascii="仿宋_GB2312" w:hAnsi="仿宋_GB2312" w:cs="仿宋_GB2312" w:eastAsia="仿宋_GB2312"/>
                <w:sz w:val="22"/>
                <w:b/>
              </w:rPr>
              <w:t>培训服务要求</w:t>
            </w:r>
          </w:p>
          <w:p>
            <w:pPr>
              <w:pStyle w:val="null3"/>
              <w:ind w:firstLine="440"/>
              <w:jc w:val="both"/>
            </w:pPr>
            <w:r>
              <w:rPr>
                <w:rFonts w:ascii="仿宋_GB2312" w:hAnsi="仿宋_GB2312" w:cs="仿宋_GB2312" w:eastAsia="仿宋_GB2312"/>
                <w:sz w:val="22"/>
              </w:rPr>
              <w:t>中标人须负责开展培训服务，包括但不限于对教师、</w:t>
            </w:r>
            <w:r>
              <w:rPr>
                <w:rFonts w:ascii="仿宋_GB2312" w:hAnsi="仿宋_GB2312" w:cs="仿宋_GB2312" w:eastAsia="仿宋_GB2312"/>
                <w:sz w:val="22"/>
              </w:rPr>
              <w:t>机房</w:t>
            </w:r>
            <w:r>
              <w:rPr>
                <w:rFonts w:ascii="仿宋_GB2312" w:hAnsi="仿宋_GB2312" w:cs="仿宋_GB2312" w:eastAsia="仿宋_GB2312"/>
                <w:sz w:val="22"/>
              </w:rPr>
              <w:t>管理人员等进行培训服务，并列出详细的培训计划，提供相关主要设备的操作流程及使用手册</w:t>
            </w:r>
            <w:r>
              <w:rPr>
                <w:rFonts w:ascii="仿宋_GB2312" w:hAnsi="仿宋_GB2312" w:cs="仿宋_GB2312" w:eastAsia="仿宋_GB2312"/>
                <w:sz w:val="22"/>
              </w:rPr>
              <w:t>、</w:t>
            </w:r>
            <w:r>
              <w:rPr>
                <w:rFonts w:ascii="仿宋_GB2312" w:hAnsi="仿宋_GB2312" w:cs="仿宋_GB2312" w:eastAsia="仿宋_GB2312"/>
                <w:sz w:val="22"/>
              </w:rPr>
              <w:t>维修手册等。</w:t>
            </w:r>
          </w:p>
          <w:p>
            <w:pPr>
              <w:pStyle w:val="null3"/>
              <w:jc w:val="both"/>
            </w:pPr>
            <w:r>
              <w:rPr>
                <w:rFonts w:ascii="仿宋_GB2312" w:hAnsi="仿宋_GB2312" w:cs="仿宋_GB2312" w:eastAsia="仿宋_GB2312"/>
                <w:sz w:val="22"/>
                <w:b/>
              </w:rPr>
              <w:t>2</w:t>
            </w:r>
            <w:r>
              <w:rPr>
                <w:rFonts w:ascii="仿宋_GB2312" w:hAnsi="仿宋_GB2312" w:cs="仿宋_GB2312" w:eastAsia="仿宋_GB2312"/>
                <w:sz w:val="22"/>
                <w:b/>
              </w:rPr>
              <w:t>.</w:t>
            </w:r>
            <w:r>
              <w:rPr>
                <w:rFonts w:ascii="仿宋_GB2312" w:hAnsi="仿宋_GB2312" w:cs="仿宋_GB2312" w:eastAsia="仿宋_GB2312"/>
                <w:sz w:val="22"/>
                <w:b/>
              </w:rPr>
              <w:t>售后服务要求</w:t>
            </w:r>
          </w:p>
          <w:p>
            <w:pPr>
              <w:pStyle w:val="null3"/>
              <w:ind w:firstLine="440"/>
              <w:jc w:val="both"/>
            </w:pPr>
            <w:r>
              <w:rPr>
                <w:rFonts w:ascii="仿宋_GB2312" w:hAnsi="仿宋_GB2312" w:cs="仿宋_GB2312" w:eastAsia="仿宋_GB2312"/>
                <w:sz w:val="22"/>
              </w:rPr>
              <w:t>售后服务响应时间（质保期内）：即时响应（包括电话响应）；电话响应无法解决</w:t>
            </w:r>
            <w:r>
              <w:rPr>
                <w:rFonts w:ascii="仿宋_GB2312" w:hAnsi="仿宋_GB2312" w:cs="仿宋_GB2312" w:eastAsia="仿宋_GB2312"/>
                <w:sz w:val="22"/>
                <w:u w:val="single"/>
              </w:rPr>
              <w:t xml:space="preserve">  </w:t>
            </w:r>
            <w:r>
              <w:rPr>
                <w:rFonts w:ascii="仿宋_GB2312" w:hAnsi="仿宋_GB2312" w:cs="仿宋_GB2312" w:eastAsia="仿宋_GB2312"/>
                <w:sz w:val="22"/>
                <w:u w:val="single"/>
              </w:rPr>
              <w:t xml:space="preserve">2  </w:t>
            </w:r>
            <w:r>
              <w:rPr>
                <w:rFonts w:ascii="仿宋_GB2312" w:hAnsi="仿宋_GB2312" w:cs="仿宋_GB2312" w:eastAsia="仿宋_GB2312"/>
                <w:sz w:val="22"/>
              </w:rPr>
              <w:t>小时内到达现场。修复时间</w:t>
            </w:r>
            <w:r>
              <w:rPr>
                <w:rFonts w:ascii="仿宋_GB2312" w:hAnsi="仿宋_GB2312" w:cs="仿宋_GB2312" w:eastAsia="仿宋_GB2312"/>
                <w:sz w:val="22"/>
                <w:u w:val="single"/>
              </w:rPr>
              <w:t xml:space="preserve">  </w:t>
            </w:r>
            <w:r>
              <w:rPr>
                <w:rFonts w:ascii="仿宋_GB2312" w:hAnsi="仿宋_GB2312" w:cs="仿宋_GB2312" w:eastAsia="仿宋_GB2312"/>
                <w:sz w:val="22"/>
                <w:u w:val="single"/>
              </w:rPr>
              <w:t xml:space="preserve">4  </w:t>
            </w:r>
            <w:r>
              <w:rPr>
                <w:rFonts w:ascii="仿宋_GB2312" w:hAnsi="仿宋_GB2312" w:cs="仿宋_GB2312" w:eastAsia="仿宋_GB2312"/>
                <w:sz w:val="22"/>
              </w:rPr>
              <w:t>小时内解决；如在</w:t>
            </w:r>
            <w:r>
              <w:rPr>
                <w:rFonts w:ascii="仿宋_GB2312" w:hAnsi="仿宋_GB2312" w:cs="仿宋_GB2312" w:eastAsia="仿宋_GB2312"/>
                <w:sz w:val="22"/>
                <w:u w:val="single"/>
              </w:rPr>
              <w:t xml:space="preserve">  </w:t>
            </w:r>
            <w:r>
              <w:rPr>
                <w:rFonts w:ascii="仿宋_GB2312" w:hAnsi="仿宋_GB2312" w:cs="仿宋_GB2312" w:eastAsia="仿宋_GB2312"/>
                <w:sz w:val="22"/>
                <w:u w:val="single"/>
              </w:rPr>
              <w:t xml:space="preserve">8  </w:t>
            </w:r>
            <w:r>
              <w:rPr>
                <w:rFonts w:ascii="仿宋_GB2312" w:hAnsi="仿宋_GB2312" w:cs="仿宋_GB2312" w:eastAsia="仿宋_GB2312"/>
                <w:sz w:val="22"/>
              </w:rPr>
              <w:t>小时内无法修复，则提供部件冗余服务或采取应急措施，提供相同产品或不低于故障产品规格档次的备用产品供采购人使用，以确保货物的正常用。</w:t>
            </w:r>
          </w:p>
          <w:p>
            <w:pPr>
              <w:pStyle w:val="null3"/>
              <w:jc w:val="both"/>
            </w:pPr>
            <w:r>
              <w:rPr>
                <w:rFonts w:ascii="仿宋_GB2312" w:hAnsi="仿宋_GB2312" w:cs="仿宋_GB2312" w:eastAsia="仿宋_GB2312"/>
                <w:sz w:val="22"/>
                <w:b/>
              </w:rPr>
              <w:t>3</w:t>
            </w:r>
            <w:r>
              <w:rPr>
                <w:rFonts w:ascii="仿宋_GB2312" w:hAnsi="仿宋_GB2312" w:cs="仿宋_GB2312" w:eastAsia="仿宋_GB2312"/>
                <w:sz w:val="22"/>
                <w:b/>
              </w:rPr>
              <w:t>.</w:t>
            </w:r>
            <w:r>
              <w:rPr>
                <w:rFonts w:ascii="仿宋_GB2312" w:hAnsi="仿宋_GB2312" w:cs="仿宋_GB2312" w:eastAsia="仿宋_GB2312"/>
                <w:sz w:val="22"/>
                <w:b/>
              </w:rPr>
              <w:t>实施要求</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1）中标人签署合同后，及时与采购方进行相关问题的沟通，按照实施方案进行施工。</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2）中标人必须确保施工安全，不得损坏学校其他设施，遵守市级与学校的相关政策，且不得影响学校正常教学生活秩序；必须保证项目完成后的使用安全。</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3）中标人施工结束后，必须将现场恢复原样，并将卫生打扫干净。</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30 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项目整体验收合格后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质保期自验收合格通过之日起 3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（一）供应商如出现违约的处理事项。中标单位不得分包、转包，如出现相关情形，采购方有权取消中标资格，并扣除履约保证金。 （二）按照《中华人民共和国民法典》的相关条款执行。 （三）如有纠纷，双方友好协商解决，协商不成时可诉讼到采购人所在地人民法院解决。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壹份、电子版（U盘1个）壹份。纸质投标文件建议A4纸双面打印装订成册、编制目录及页码，密封并加盖公章。邮寄或现场提交均可。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投标文件中凡是需要法定代表人签字或盖章之处，非法人单位的负责人均参照执行；供应商需在项目电子化交易系统中按要求上传相应证明文件并进行电子签章。（见附件格式）</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注：提供财务报告的，必须为上传至注册会计师行业统一监管平台(http://acc.mof.gov.cn)并具有全国统一的二维码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投标文件递交截止日前一年内的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投标文件递交截止日前一年内已缴存的任意一个月的纳税证明或完税证明，纳税证明或完税证明上应有代收机构或税务机关的公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按格式填写，提供原件）。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 xml:space="preserve"> 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供应商名称与营业执照名称是否一致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投标文件的签字盖章是否按招标文件要求</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 xml:space="preserve"> 投标有效期是否满足招标要求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 xml:space="preserve"> 报价唯一性且是否超过采购预算</w:t>
            </w:r>
          </w:p>
        </w:tc>
        <w:tc>
          <w:tcPr>
            <w:tcW w:type="dxa" w:w="1661"/>
          </w:tcPr>
          <w:p>
            <w:pPr>
              <w:pStyle w:val="null3"/>
            </w:pPr>
            <w:r>
              <w:rPr>
                <w:rFonts w:ascii="仿宋_GB2312" w:hAnsi="仿宋_GB2312" w:cs="仿宋_GB2312" w:eastAsia="仿宋_GB2312"/>
              </w:rPr>
              <w:t>投标函 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技术及商务要求均满足招标文件实质性要求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投标产品技术参数完全符合招标文件要求，没有负偏离的得30分， 加“▲”项为重要技术指标参数，须按照招标要求提供证明材料。标注▲的指标项（共13项）若未提供或所提供材料不合格或无法证明关键指标项（如型号、规格、性能指标等）的视为不满足，每有一项扣1分，扣完为止；其他技术指标、参数低于招标文件规定的相应技术指标、参数的，每有一项扣0.5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技术参数正偏离</w:t>
            </w:r>
          </w:p>
        </w:tc>
        <w:tc>
          <w:tcPr>
            <w:tcW w:type="dxa" w:w="2492"/>
          </w:tcPr>
          <w:p>
            <w:pPr>
              <w:pStyle w:val="null3"/>
            </w:pPr>
            <w:r>
              <w:rPr>
                <w:rFonts w:ascii="仿宋_GB2312" w:hAnsi="仿宋_GB2312" w:cs="仿宋_GB2312" w:eastAsia="仿宋_GB2312"/>
              </w:rPr>
              <w:t xml:space="preserve"> ▲技术参数提供产品技术响应证明材料，每增加一个正偏离且性能上有实质性提升的，加0.5分，最多加5分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 xml:space="preserve"> 为确保所投产品进货渠道正规，确保供应的设备无假货、水货、翻新货且无产权纠纷，有质量保证，提供相关证明材料（包括但不限于销售协议、代理协议、制造商授权、制造商售后服务承诺函等相关证明材料)。融合节点服务器（含软件）、计算节点服务器（含软件）、服务器万兆接入交换机、云桌面管理软件、云桌面接入终端、工作站、空调、数学建模软件、统计分析软件共9种产品全部提供证明材料的计10 分，每有1个产品不提供证明材料扣1.5分，扣完为止。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一、评审内容 供应商需提供科学、完整、合理、规范的实施方案及措施。内容包含：（1）项目实施方案计划；（2）进度保证措施；（3）人员配置方案；（4）供货、安装、调试方案；（5）验收措施。 二、评审标准 1.完整性：方案须全面，对评审内容中的各项要求描述详细。 2.针对性：方案能够紧扣项目实际情况，内容科学合理。 三、赋分依据（满分5分） 1.项目实施方案计划：每完全满足一个评审标准得0.5分，满分1分； 2.人员配置方案:每完全满足一个评审标准得0.5分，满分1分； 3.供货、安装、调试方案：每完全满足一个评审标准得0.5分，满分1分； 4.进度保证措施:每完全满足一个评审标准得0.5分，满分1分； 5.验收措施：每完全满足一个评审标准得0.5分，满分1分；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根据项目实际需求提供售后服务方案。内容包含：（1）售后服务范围及保障措施；（2）故障处理及补救措施；（3）响应时间。 二、评审标准 1.完整性：方案须全面，对评审内容中的各项要求有详细描述； 2.可实施性：切合本项目实际情况，提出步骤清晰、合理的方案； 3.针对性：方案能够紧扣项目实际情况，内容科学合理。 三、赋分依据（满分9分） 1.售后服务范围及保障措施：每完全满足一个评审标准得1分，满分3分； 2.故障处理及补救措施:每完全满足一个评审标准得1分，满分3分； 3.响应时间：完全满足一个评审标准得1分，满分3分。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针对本项目提供培训方案，为采购人培训操作维护人员，以保障使用过程中能熟练操作、维护和正常使用，培训方案内容包含：（1）培训内容；（2）培训计划安排。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三、赋分标准（满分6分） 1.培训内容：每完全满足一个评审标准得1分，满分3分； 2.培训计划安排：每完全满足一个评审标准得1分，满分3分。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 xml:space="preserve"> 投标人提供自2022年1月1日起（以合同签订日为准）至今承担过类似业绩，每提供1个业绩合同得1分，最高得5分。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详见附件：4合同模板.docx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