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53C65">
      <w:pPr>
        <w:widowControl/>
        <w:adjustRightInd w:val="0"/>
        <w:snapToGrid w:val="0"/>
        <w:spacing w:line="360" w:lineRule="auto"/>
        <w:ind w:right="-693" w:rightChars="-330"/>
        <w:jc w:val="center"/>
        <w:rPr>
          <w:rFonts w:hint="eastAsia" w:ascii="仿宋" w:hAnsi="仿宋" w:eastAsia="仿宋" w:cs="仿宋"/>
          <w:b/>
          <w:bCs/>
          <w:color w:val="000000"/>
          <w:kern w:val="0"/>
          <w:sz w:val="32"/>
          <w:szCs w:val="28"/>
          <w:lang w:eastAsia="zh-CN"/>
        </w:rPr>
      </w:pPr>
      <w:r>
        <w:rPr>
          <w:rFonts w:hint="eastAsia" w:ascii="仿宋" w:hAnsi="仿宋" w:eastAsia="仿宋" w:cs="仿宋"/>
          <w:b/>
          <w:bCs/>
          <w:color w:val="000000"/>
          <w:kern w:val="0"/>
          <w:sz w:val="32"/>
          <w:szCs w:val="28"/>
          <w:lang w:eastAsia="zh-CN"/>
        </w:rPr>
        <w:t>合同模板</w:t>
      </w:r>
    </w:p>
    <w:p w14:paraId="27E07FD0">
      <w:pPr>
        <w:adjustRightInd w:val="0"/>
        <w:snapToGrid w:val="0"/>
        <w:spacing w:line="360" w:lineRule="auto"/>
        <w:ind w:firstLine="480" w:firstLineChars="200"/>
        <w:rPr>
          <w:rFonts w:eastAsia="仿宋"/>
          <w:color w:val="000000" w:themeColor="text1"/>
          <w:kern w:val="28"/>
          <w:sz w:val="24"/>
          <w:szCs w:val="24"/>
        </w:rPr>
      </w:pPr>
      <w:r>
        <w:rPr>
          <w:rFonts w:eastAsia="仿宋"/>
          <w:color w:val="000000" w:themeColor="text1"/>
          <w:kern w:val="28"/>
          <w:sz w:val="24"/>
          <w:szCs w:val="24"/>
        </w:rPr>
        <w:t>根据渭南师范学院计算机综合实验教学中心更新改造项目（项目编号：ZJZBSX-250726-10922）公开招标结果，经</w:t>
      </w:r>
      <w:r>
        <w:rPr>
          <w:rFonts w:eastAsia="仿宋"/>
          <w:b/>
          <w:color w:val="000000" w:themeColor="text1"/>
          <w:kern w:val="28"/>
          <w:sz w:val="24"/>
          <w:szCs w:val="24"/>
          <w:u w:val="single"/>
        </w:rPr>
        <w:t>渭南师范学院</w:t>
      </w:r>
      <w:r>
        <w:rPr>
          <w:rFonts w:eastAsia="仿宋"/>
          <w:color w:val="000000" w:themeColor="text1"/>
          <w:kern w:val="28"/>
          <w:sz w:val="24"/>
          <w:szCs w:val="24"/>
        </w:rPr>
        <w:t>（以下简称</w:t>
      </w:r>
      <w:r>
        <w:rPr>
          <w:rFonts w:eastAsia="仿宋"/>
          <w:b/>
          <w:bCs/>
          <w:color w:val="000000" w:themeColor="text1"/>
          <w:kern w:val="28"/>
          <w:sz w:val="24"/>
          <w:szCs w:val="24"/>
          <w:u w:val="single"/>
        </w:rPr>
        <w:t>甲方</w:t>
      </w:r>
      <w:r>
        <w:rPr>
          <w:rFonts w:eastAsia="仿宋"/>
          <w:color w:val="000000" w:themeColor="text1"/>
          <w:kern w:val="28"/>
          <w:sz w:val="24"/>
          <w:szCs w:val="24"/>
        </w:rPr>
        <w:t>）与成交供应商</w:t>
      </w:r>
      <w:r>
        <w:rPr>
          <w:rFonts w:eastAsia="仿宋"/>
          <w:b/>
          <w:color w:val="000000" w:themeColor="text1"/>
          <w:sz w:val="24"/>
          <w:szCs w:val="24"/>
          <w:u w:val="single"/>
        </w:rPr>
        <w:t xml:space="preserve">   </w:t>
      </w:r>
      <w:r>
        <w:rPr>
          <w:rFonts w:hint="eastAsia" w:eastAsia="仿宋"/>
          <w:b/>
          <w:color w:val="000000" w:themeColor="text1"/>
          <w:sz w:val="24"/>
          <w:szCs w:val="24"/>
          <w:u w:val="single"/>
        </w:rPr>
        <w:t xml:space="preserve">        </w:t>
      </w:r>
      <w:r>
        <w:rPr>
          <w:rFonts w:eastAsia="仿宋"/>
          <w:b/>
          <w:color w:val="000000" w:themeColor="text1"/>
          <w:sz w:val="24"/>
          <w:szCs w:val="24"/>
          <w:u w:val="single"/>
        </w:rPr>
        <w:t xml:space="preserve">  公司</w:t>
      </w:r>
      <w:r>
        <w:rPr>
          <w:rFonts w:eastAsia="仿宋"/>
          <w:color w:val="000000" w:themeColor="text1"/>
          <w:kern w:val="28"/>
          <w:sz w:val="24"/>
          <w:szCs w:val="24"/>
        </w:rPr>
        <w:t>（以下简称乙方）</w:t>
      </w:r>
      <w:r>
        <w:rPr>
          <w:rStyle w:val="9"/>
          <w:rFonts w:eastAsia="仿宋"/>
          <w:color w:val="000000" w:themeColor="text1"/>
          <w:sz w:val="24"/>
          <w:szCs w:val="24"/>
        </w:rPr>
        <w:t>根据《中华人民共和国民法典》的有关规定，经双方平等协商，达成如下协议：</w:t>
      </w:r>
    </w:p>
    <w:p w14:paraId="0F31BC0D">
      <w:pPr>
        <w:spacing w:line="360" w:lineRule="auto"/>
        <w:rPr>
          <w:rFonts w:eastAsia="仿宋"/>
          <w:b/>
          <w:color w:val="000000" w:themeColor="text1"/>
          <w:kern w:val="0"/>
          <w:sz w:val="24"/>
          <w:szCs w:val="24"/>
        </w:rPr>
      </w:pPr>
      <w:r>
        <w:rPr>
          <w:rFonts w:eastAsia="仿宋"/>
          <w:b/>
          <w:color w:val="000000" w:themeColor="text1"/>
          <w:kern w:val="0"/>
          <w:sz w:val="24"/>
          <w:szCs w:val="24"/>
        </w:rPr>
        <w:t xml:space="preserve">一、产品名称、数量、价格：                         </w:t>
      </w:r>
    </w:p>
    <w:tbl>
      <w:tblPr>
        <w:tblStyle w:val="7"/>
        <w:tblpPr w:leftFromText="180" w:rightFromText="180" w:vertAnchor="text" w:horzAnchor="margin" w:tblpXSpec="center" w:tblpY="15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759"/>
        <w:gridCol w:w="1370"/>
        <w:gridCol w:w="900"/>
        <w:gridCol w:w="1260"/>
        <w:gridCol w:w="900"/>
        <w:gridCol w:w="1080"/>
        <w:gridCol w:w="1260"/>
      </w:tblGrid>
      <w:tr w14:paraId="55943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646" w:type="dxa"/>
            <w:shd w:val="clear" w:color="auto" w:fill="D9D9D9"/>
            <w:vAlign w:val="center"/>
          </w:tcPr>
          <w:p w14:paraId="2A1310A5">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序号</w:t>
            </w:r>
          </w:p>
        </w:tc>
        <w:tc>
          <w:tcPr>
            <w:tcW w:w="1759" w:type="dxa"/>
            <w:shd w:val="clear" w:color="auto" w:fill="D9D9D9"/>
            <w:vAlign w:val="center"/>
          </w:tcPr>
          <w:p w14:paraId="23EBDA17">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货物名称</w:t>
            </w:r>
          </w:p>
        </w:tc>
        <w:tc>
          <w:tcPr>
            <w:tcW w:w="1370" w:type="dxa"/>
            <w:shd w:val="clear" w:color="auto" w:fill="D9D9D9"/>
            <w:vAlign w:val="center"/>
          </w:tcPr>
          <w:p w14:paraId="6ADDFDBF">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规格型号</w:t>
            </w:r>
          </w:p>
        </w:tc>
        <w:tc>
          <w:tcPr>
            <w:tcW w:w="900" w:type="dxa"/>
            <w:shd w:val="clear" w:color="auto" w:fill="D9D9D9"/>
            <w:vAlign w:val="center"/>
          </w:tcPr>
          <w:p w14:paraId="51FD14A2">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品牌</w:t>
            </w:r>
          </w:p>
        </w:tc>
        <w:tc>
          <w:tcPr>
            <w:tcW w:w="1260" w:type="dxa"/>
            <w:shd w:val="clear" w:color="auto" w:fill="D9D9D9"/>
            <w:vAlign w:val="center"/>
          </w:tcPr>
          <w:p w14:paraId="1BFEE8A9">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生产厂家</w:t>
            </w:r>
          </w:p>
        </w:tc>
        <w:tc>
          <w:tcPr>
            <w:tcW w:w="900" w:type="dxa"/>
            <w:shd w:val="clear" w:color="auto" w:fill="D9D9D9"/>
            <w:vAlign w:val="center"/>
          </w:tcPr>
          <w:p w14:paraId="43F69A36">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数量</w:t>
            </w:r>
          </w:p>
        </w:tc>
        <w:tc>
          <w:tcPr>
            <w:tcW w:w="1080" w:type="dxa"/>
            <w:shd w:val="clear" w:color="auto" w:fill="D9D9D9"/>
            <w:vAlign w:val="center"/>
          </w:tcPr>
          <w:p w14:paraId="6DDB6604">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单价</w:t>
            </w:r>
          </w:p>
          <w:p w14:paraId="326C7FED">
            <w:pPr>
              <w:adjustRightInd w:val="0"/>
              <w:snapToGrid w:val="0"/>
              <w:spacing w:line="360" w:lineRule="auto"/>
              <w:jc w:val="center"/>
              <w:rPr>
                <w:rFonts w:eastAsia="仿宋"/>
                <w:b/>
                <w:color w:val="000000" w:themeColor="text1"/>
                <w:sz w:val="24"/>
                <w:szCs w:val="24"/>
              </w:rPr>
            </w:pPr>
            <w:r>
              <w:rPr>
                <w:rFonts w:hint="eastAsia" w:eastAsia="仿宋"/>
                <w:b/>
                <w:color w:val="000000" w:themeColor="text1"/>
                <w:sz w:val="24"/>
                <w:szCs w:val="24"/>
              </w:rPr>
              <w:t>（元）</w:t>
            </w:r>
          </w:p>
        </w:tc>
        <w:tc>
          <w:tcPr>
            <w:tcW w:w="1260" w:type="dxa"/>
            <w:shd w:val="clear" w:color="auto" w:fill="D9D9D9"/>
            <w:vAlign w:val="center"/>
          </w:tcPr>
          <w:p w14:paraId="7CADCEE6">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合计</w:t>
            </w:r>
          </w:p>
          <w:p w14:paraId="0BD55A55">
            <w:pPr>
              <w:adjustRightInd w:val="0"/>
              <w:snapToGrid w:val="0"/>
              <w:spacing w:line="360" w:lineRule="auto"/>
              <w:jc w:val="center"/>
              <w:rPr>
                <w:rFonts w:eastAsia="仿宋"/>
                <w:b/>
                <w:color w:val="000000" w:themeColor="text1"/>
                <w:sz w:val="24"/>
                <w:szCs w:val="24"/>
              </w:rPr>
            </w:pPr>
            <w:r>
              <w:rPr>
                <w:rFonts w:hint="eastAsia" w:eastAsia="仿宋"/>
                <w:b/>
                <w:color w:val="000000" w:themeColor="text1"/>
                <w:sz w:val="24"/>
                <w:szCs w:val="24"/>
              </w:rPr>
              <w:t>（元）</w:t>
            </w:r>
          </w:p>
        </w:tc>
      </w:tr>
      <w:tr w14:paraId="392DB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554D46B2">
            <w:pPr>
              <w:adjustRightInd w:val="0"/>
              <w:snapToGrid w:val="0"/>
              <w:spacing w:line="360" w:lineRule="auto"/>
              <w:jc w:val="center"/>
              <w:rPr>
                <w:rFonts w:eastAsia="仿宋"/>
                <w:color w:val="000000" w:themeColor="text1"/>
                <w:sz w:val="24"/>
                <w:szCs w:val="24"/>
              </w:rPr>
            </w:pPr>
            <w:r>
              <w:rPr>
                <w:rFonts w:eastAsia="仿宋"/>
                <w:color w:val="000000" w:themeColor="text1"/>
                <w:sz w:val="24"/>
                <w:szCs w:val="24"/>
              </w:rPr>
              <w:t>1</w:t>
            </w:r>
          </w:p>
        </w:tc>
        <w:tc>
          <w:tcPr>
            <w:tcW w:w="1759" w:type="dxa"/>
            <w:vAlign w:val="center"/>
          </w:tcPr>
          <w:p w14:paraId="3430E6FF">
            <w:pPr>
              <w:adjustRightInd w:val="0"/>
              <w:snapToGrid w:val="0"/>
              <w:spacing w:line="360" w:lineRule="auto"/>
              <w:jc w:val="center"/>
              <w:rPr>
                <w:rFonts w:eastAsia="仿宋"/>
                <w:color w:val="000000" w:themeColor="text1"/>
                <w:sz w:val="24"/>
                <w:szCs w:val="24"/>
              </w:rPr>
            </w:pPr>
          </w:p>
        </w:tc>
        <w:tc>
          <w:tcPr>
            <w:tcW w:w="1370" w:type="dxa"/>
            <w:vAlign w:val="center"/>
          </w:tcPr>
          <w:p w14:paraId="63722E9D">
            <w:pPr>
              <w:adjustRightInd w:val="0"/>
              <w:snapToGrid w:val="0"/>
              <w:spacing w:line="360" w:lineRule="auto"/>
              <w:jc w:val="center"/>
              <w:rPr>
                <w:rFonts w:eastAsia="仿宋"/>
                <w:color w:val="000000" w:themeColor="text1"/>
                <w:sz w:val="24"/>
                <w:szCs w:val="24"/>
              </w:rPr>
            </w:pPr>
          </w:p>
        </w:tc>
        <w:tc>
          <w:tcPr>
            <w:tcW w:w="900" w:type="dxa"/>
          </w:tcPr>
          <w:p w14:paraId="2F807BD6">
            <w:pPr>
              <w:adjustRightInd w:val="0"/>
              <w:snapToGrid w:val="0"/>
              <w:spacing w:line="360" w:lineRule="auto"/>
              <w:jc w:val="center"/>
              <w:rPr>
                <w:rFonts w:eastAsia="仿宋"/>
                <w:color w:val="000000" w:themeColor="text1"/>
                <w:sz w:val="24"/>
                <w:szCs w:val="24"/>
              </w:rPr>
            </w:pPr>
          </w:p>
        </w:tc>
        <w:tc>
          <w:tcPr>
            <w:tcW w:w="1260" w:type="dxa"/>
            <w:vAlign w:val="center"/>
          </w:tcPr>
          <w:p w14:paraId="3F1C1943">
            <w:pPr>
              <w:adjustRightInd w:val="0"/>
              <w:snapToGrid w:val="0"/>
              <w:spacing w:line="360" w:lineRule="auto"/>
              <w:jc w:val="center"/>
              <w:rPr>
                <w:rFonts w:eastAsia="仿宋"/>
                <w:color w:val="000000" w:themeColor="text1"/>
                <w:sz w:val="24"/>
                <w:szCs w:val="24"/>
              </w:rPr>
            </w:pPr>
          </w:p>
        </w:tc>
        <w:tc>
          <w:tcPr>
            <w:tcW w:w="900" w:type="dxa"/>
            <w:vAlign w:val="center"/>
          </w:tcPr>
          <w:p w14:paraId="4CB2EB38">
            <w:pPr>
              <w:adjustRightInd w:val="0"/>
              <w:snapToGrid w:val="0"/>
              <w:spacing w:line="360" w:lineRule="auto"/>
              <w:jc w:val="center"/>
              <w:rPr>
                <w:rFonts w:eastAsia="仿宋"/>
                <w:color w:val="000000" w:themeColor="text1"/>
                <w:sz w:val="24"/>
                <w:szCs w:val="24"/>
              </w:rPr>
            </w:pPr>
          </w:p>
        </w:tc>
        <w:tc>
          <w:tcPr>
            <w:tcW w:w="1080" w:type="dxa"/>
            <w:vAlign w:val="center"/>
          </w:tcPr>
          <w:p w14:paraId="1EBC0B2B">
            <w:pPr>
              <w:adjustRightInd w:val="0"/>
              <w:snapToGrid w:val="0"/>
              <w:spacing w:line="360" w:lineRule="auto"/>
              <w:jc w:val="center"/>
              <w:rPr>
                <w:rFonts w:eastAsia="仿宋"/>
                <w:color w:val="000000" w:themeColor="text1"/>
                <w:sz w:val="24"/>
                <w:szCs w:val="24"/>
              </w:rPr>
            </w:pPr>
          </w:p>
        </w:tc>
        <w:tc>
          <w:tcPr>
            <w:tcW w:w="1260" w:type="dxa"/>
            <w:vAlign w:val="center"/>
          </w:tcPr>
          <w:p w14:paraId="069AAD85">
            <w:pPr>
              <w:adjustRightInd w:val="0"/>
              <w:snapToGrid w:val="0"/>
              <w:spacing w:line="360" w:lineRule="auto"/>
              <w:jc w:val="center"/>
              <w:rPr>
                <w:rFonts w:eastAsia="仿宋"/>
                <w:color w:val="000000" w:themeColor="text1"/>
                <w:sz w:val="24"/>
                <w:szCs w:val="24"/>
              </w:rPr>
            </w:pPr>
          </w:p>
        </w:tc>
      </w:tr>
      <w:tr w14:paraId="466B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14C5D289">
            <w:pPr>
              <w:adjustRightInd w:val="0"/>
              <w:snapToGrid w:val="0"/>
              <w:spacing w:line="360" w:lineRule="auto"/>
              <w:jc w:val="center"/>
              <w:rPr>
                <w:rFonts w:eastAsia="仿宋"/>
                <w:color w:val="000000" w:themeColor="text1"/>
                <w:sz w:val="24"/>
                <w:szCs w:val="24"/>
              </w:rPr>
            </w:pPr>
            <w:r>
              <w:rPr>
                <w:rFonts w:eastAsia="仿宋"/>
                <w:color w:val="000000" w:themeColor="text1"/>
                <w:sz w:val="24"/>
                <w:szCs w:val="24"/>
              </w:rPr>
              <w:t>2</w:t>
            </w:r>
          </w:p>
        </w:tc>
        <w:tc>
          <w:tcPr>
            <w:tcW w:w="1759" w:type="dxa"/>
            <w:vAlign w:val="center"/>
          </w:tcPr>
          <w:p w14:paraId="6B20B433">
            <w:pPr>
              <w:adjustRightInd w:val="0"/>
              <w:snapToGrid w:val="0"/>
              <w:spacing w:line="360" w:lineRule="auto"/>
              <w:jc w:val="center"/>
              <w:rPr>
                <w:rFonts w:eastAsia="仿宋"/>
                <w:color w:val="000000" w:themeColor="text1"/>
                <w:sz w:val="24"/>
                <w:szCs w:val="24"/>
              </w:rPr>
            </w:pPr>
          </w:p>
        </w:tc>
        <w:tc>
          <w:tcPr>
            <w:tcW w:w="1370" w:type="dxa"/>
            <w:vAlign w:val="center"/>
          </w:tcPr>
          <w:p w14:paraId="3F5EA3D6">
            <w:pPr>
              <w:adjustRightInd w:val="0"/>
              <w:snapToGrid w:val="0"/>
              <w:spacing w:line="360" w:lineRule="auto"/>
              <w:jc w:val="center"/>
              <w:rPr>
                <w:rFonts w:eastAsia="仿宋"/>
                <w:color w:val="000000" w:themeColor="text1"/>
                <w:sz w:val="24"/>
                <w:szCs w:val="24"/>
              </w:rPr>
            </w:pPr>
          </w:p>
        </w:tc>
        <w:tc>
          <w:tcPr>
            <w:tcW w:w="900" w:type="dxa"/>
          </w:tcPr>
          <w:p w14:paraId="7DD99F47">
            <w:pPr>
              <w:adjustRightInd w:val="0"/>
              <w:snapToGrid w:val="0"/>
              <w:spacing w:line="360" w:lineRule="auto"/>
              <w:jc w:val="center"/>
              <w:rPr>
                <w:rFonts w:eastAsia="仿宋"/>
                <w:color w:val="000000" w:themeColor="text1"/>
                <w:sz w:val="24"/>
                <w:szCs w:val="24"/>
              </w:rPr>
            </w:pPr>
          </w:p>
        </w:tc>
        <w:tc>
          <w:tcPr>
            <w:tcW w:w="1260" w:type="dxa"/>
            <w:vAlign w:val="center"/>
          </w:tcPr>
          <w:p w14:paraId="0F9DAEB8">
            <w:pPr>
              <w:adjustRightInd w:val="0"/>
              <w:snapToGrid w:val="0"/>
              <w:spacing w:line="360" w:lineRule="auto"/>
              <w:jc w:val="center"/>
              <w:rPr>
                <w:rFonts w:eastAsia="仿宋"/>
                <w:color w:val="000000" w:themeColor="text1"/>
                <w:sz w:val="24"/>
                <w:szCs w:val="24"/>
              </w:rPr>
            </w:pPr>
          </w:p>
        </w:tc>
        <w:tc>
          <w:tcPr>
            <w:tcW w:w="900" w:type="dxa"/>
            <w:vAlign w:val="center"/>
          </w:tcPr>
          <w:p w14:paraId="330D5A6D">
            <w:pPr>
              <w:adjustRightInd w:val="0"/>
              <w:snapToGrid w:val="0"/>
              <w:spacing w:line="360" w:lineRule="auto"/>
              <w:jc w:val="center"/>
              <w:rPr>
                <w:rFonts w:eastAsia="仿宋"/>
                <w:color w:val="000000" w:themeColor="text1"/>
                <w:sz w:val="24"/>
                <w:szCs w:val="24"/>
              </w:rPr>
            </w:pPr>
          </w:p>
        </w:tc>
        <w:tc>
          <w:tcPr>
            <w:tcW w:w="1080" w:type="dxa"/>
            <w:vAlign w:val="center"/>
          </w:tcPr>
          <w:p w14:paraId="3A38AC7E">
            <w:pPr>
              <w:adjustRightInd w:val="0"/>
              <w:snapToGrid w:val="0"/>
              <w:spacing w:line="360" w:lineRule="auto"/>
              <w:jc w:val="center"/>
              <w:rPr>
                <w:rFonts w:eastAsia="仿宋"/>
                <w:color w:val="000000" w:themeColor="text1"/>
                <w:sz w:val="24"/>
                <w:szCs w:val="24"/>
              </w:rPr>
            </w:pPr>
          </w:p>
        </w:tc>
        <w:tc>
          <w:tcPr>
            <w:tcW w:w="1260" w:type="dxa"/>
            <w:vAlign w:val="center"/>
          </w:tcPr>
          <w:p w14:paraId="7FFD8E02">
            <w:pPr>
              <w:adjustRightInd w:val="0"/>
              <w:snapToGrid w:val="0"/>
              <w:spacing w:line="360" w:lineRule="auto"/>
              <w:jc w:val="center"/>
              <w:rPr>
                <w:rFonts w:eastAsia="仿宋"/>
                <w:color w:val="000000" w:themeColor="text1"/>
                <w:sz w:val="24"/>
                <w:szCs w:val="24"/>
              </w:rPr>
            </w:pPr>
          </w:p>
        </w:tc>
      </w:tr>
      <w:tr w14:paraId="52A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646" w:type="dxa"/>
            <w:vAlign w:val="center"/>
          </w:tcPr>
          <w:p w14:paraId="06BC57C9">
            <w:pPr>
              <w:adjustRightInd w:val="0"/>
              <w:snapToGrid w:val="0"/>
              <w:spacing w:line="360" w:lineRule="auto"/>
              <w:jc w:val="center"/>
              <w:rPr>
                <w:rFonts w:eastAsia="仿宋"/>
                <w:color w:val="000000" w:themeColor="text1"/>
                <w:sz w:val="24"/>
                <w:szCs w:val="24"/>
              </w:rPr>
            </w:pPr>
          </w:p>
        </w:tc>
        <w:tc>
          <w:tcPr>
            <w:tcW w:w="1759" w:type="dxa"/>
            <w:vAlign w:val="center"/>
          </w:tcPr>
          <w:p w14:paraId="28205D3F">
            <w:pPr>
              <w:adjustRightInd w:val="0"/>
              <w:snapToGrid w:val="0"/>
              <w:spacing w:line="360" w:lineRule="auto"/>
              <w:jc w:val="center"/>
              <w:rPr>
                <w:rFonts w:eastAsia="仿宋"/>
                <w:color w:val="000000" w:themeColor="text1"/>
                <w:sz w:val="24"/>
                <w:szCs w:val="24"/>
              </w:rPr>
            </w:pPr>
          </w:p>
        </w:tc>
        <w:tc>
          <w:tcPr>
            <w:tcW w:w="1370" w:type="dxa"/>
            <w:vAlign w:val="center"/>
          </w:tcPr>
          <w:p w14:paraId="7CD519F5">
            <w:pPr>
              <w:adjustRightInd w:val="0"/>
              <w:snapToGrid w:val="0"/>
              <w:spacing w:line="360" w:lineRule="auto"/>
              <w:jc w:val="center"/>
              <w:rPr>
                <w:rFonts w:eastAsia="仿宋"/>
                <w:color w:val="000000" w:themeColor="text1"/>
                <w:sz w:val="24"/>
                <w:szCs w:val="24"/>
              </w:rPr>
            </w:pPr>
          </w:p>
        </w:tc>
        <w:tc>
          <w:tcPr>
            <w:tcW w:w="900" w:type="dxa"/>
          </w:tcPr>
          <w:p w14:paraId="5D54FF6D">
            <w:pPr>
              <w:adjustRightInd w:val="0"/>
              <w:snapToGrid w:val="0"/>
              <w:spacing w:line="360" w:lineRule="auto"/>
              <w:jc w:val="center"/>
              <w:rPr>
                <w:rFonts w:eastAsia="仿宋"/>
                <w:color w:val="000000" w:themeColor="text1"/>
                <w:sz w:val="24"/>
                <w:szCs w:val="24"/>
              </w:rPr>
            </w:pPr>
          </w:p>
        </w:tc>
        <w:tc>
          <w:tcPr>
            <w:tcW w:w="1260" w:type="dxa"/>
            <w:vAlign w:val="center"/>
          </w:tcPr>
          <w:p w14:paraId="76E1C83B">
            <w:pPr>
              <w:adjustRightInd w:val="0"/>
              <w:snapToGrid w:val="0"/>
              <w:spacing w:line="360" w:lineRule="auto"/>
              <w:jc w:val="center"/>
              <w:rPr>
                <w:rFonts w:eastAsia="仿宋"/>
                <w:color w:val="000000" w:themeColor="text1"/>
                <w:sz w:val="24"/>
                <w:szCs w:val="24"/>
              </w:rPr>
            </w:pPr>
          </w:p>
        </w:tc>
        <w:tc>
          <w:tcPr>
            <w:tcW w:w="900" w:type="dxa"/>
            <w:vAlign w:val="center"/>
          </w:tcPr>
          <w:p w14:paraId="061C84FE">
            <w:pPr>
              <w:adjustRightInd w:val="0"/>
              <w:snapToGrid w:val="0"/>
              <w:spacing w:line="360" w:lineRule="auto"/>
              <w:jc w:val="center"/>
              <w:rPr>
                <w:rFonts w:eastAsia="仿宋"/>
                <w:color w:val="000000" w:themeColor="text1"/>
                <w:sz w:val="24"/>
                <w:szCs w:val="24"/>
              </w:rPr>
            </w:pPr>
          </w:p>
        </w:tc>
        <w:tc>
          <w:tcPr>
            <w:tcW w:w="1080" w:type="dxa"/>
            <w:vAlign w:val="center"/>
          </w:tcPr>
          <w:p w14:paraId="2186AE21">
            <w:pPr>
              <w:adjustRightInd w:val="0"/>
              <w:snapToGrid w:val="0"/>
              <w:spacing w:line="360" w:lineRule="auto"/>
              <w:jc w:val="center"/>
              <w:rPr>
                <w:rFonts w:eastAsia="仿宋"/>
                <w:color w:val="000000" w:themeColor="text1"/>
                <w:sz w:val="24"/>
                <w:szCs w:val="24"/>
              </w:rPr>
            </w:pPr>
          </w:p>
        </w:tc>
        <w:tc>
          <w:tcPr>
            <w:tcW w:w="1260" w:type="dxa"/>
            <w:vAlign w:val="center"/>
          </w:tcPr>
          <w:p w14:paraId="4833BB74">
            <w:pPr>
              <w:adjustRightInd w:val="0"/>
              <w:snapToGrid w:val="0"/>
              <w:spacing w:line="360" w:lineRule="auto"/>
              <w:jc w:val="center"/>
              <w:rPr>
                <w:rFonts w:eastAsia="仿宋"/>
                <w:color w:val="000000" w:themeColor="text1"/>
                <w:sz w:val="24"/>
                <w:szCs w:val="24"/>
              </w:rPr>
            </w:pPr>
          </w:p>
        </w:tc>
      </w:tr>
      <w:tr w14:paraId="03FB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646" w:type="dxa"/>
            <w:vAlign w:val="center"/>
          </w:tcPr>
          <w:p w14:paraId="485AB68B">
            <w:pPr>
              <w:adjustRightInd w:val="0"/>
              <w:snapToGrid w:val="0"/>
              <w:spacing w:line="360" w:lineRule="auto"/>
              <w:jc w:val="center"/>
              <w:rPr>
                <w:rFonts w:eastAsia="仿宋"/>
                <w:b/>
                <w:color w:val="000000" w:themeColor="text1"/>
                <w:sz w:val="24"/>
                <w:szCs w:val="24"/>
              </w:rPr>
            </w:pPr>
            <w:r>
              <w:rPr>
                <w:rFonts w:eastAsia="仿宋"/>
                <w:b/>
                <w:color w:val="000000" w:themeColor="text1"/>
                <w:sz w:val="24"/>
                <w:szCs w:val="24"/>
              </w:rPr>
              <w:t>合计</w:t>
            </w:r>
          </w:p>
        </w:tc>
        <w:tc>
          <w:tcPr>
            <w:tcW w:w="7269" w:type="dxa"/>
            <w:gridSpan w:val="6"/>
            <w:vAlign w:val="center"/>
          </w:tcPr>
          <w:p w14:paraId="37B022AD">
            <w:pPr>
              <w:adjustRightInd w:val="0"/>
              <w:snapToGrid w:val="0"/>
              <w:spacing w:line="360" w:lineRule="auto"/>
              <w:rPr>
                <w:rFonts w:eastAsia="仿宋"/>
                <w:b/>
                <w:color w:val="000000" w:themeColor="text1"/>
                <w:sz w:val="24"/>
                <w:szCs w:val="24"/>
              </w:rPr>
            </w:pPr>
            <w:r>
              <w:rPr>
                <w:rFonts w:eastAsia="仿宋"/>
                <w:b/>
                <w:color w:val="000000" w:themeColor="text1"/>
                <w:sz w:val="24"/>
                <w:szCs w:val="24"/>
              </w:rPr>
              <w:t xml:space="preserve">大写：                                      </w:t>
            </w:r>
          </w:p>
        </w:tc>
        <w:tc>
          <w:tcPr>
            <w:tcW w:w="1260" w:type="dxa"/>
            <w:vAlign w:val="center"/>
          </w:tcPr>
          <w:p w14:paraId="5F60118F">
            <w:pPr>
              <w:adjustRightInd w:val="0"/>
              <w:snapToGrid w:val="0"/>
              <w:spacing w:line="360" w:lineRule="auto"/>
              <w:jc w:val="center"/>
              <w:rPr>
                <w:rFonts w:eastAsia="仿宋"/>
                <w:b/>
                <w:color w:val="000000" w:themeColor="text1"/>
                <w:sz w:val="24"/>
                <w:szCs w:val="24"/>
              </w:rPr>
            </w:pPr>
          </w:p>
        </w:tc>
      </w:tr>
    </w:tbl>
    <w:p w14:paraId="1DF614EA">
      <w:pPr>
        <w:widowControl/>
        <w:adjustRightInd w:val="0"/>
        <w:snapToGrid w:val="0"/>
        <w:spacing w:line="360" w:lineRule="auto"/>
        <w:jc w:val="left"/>
        <w:rPr>
          <w:rFonts w:eastAsia="仿宋"/>
          <w:color w:val="000000" w:themeColor="text1"/>
          <w:kern w:val="0"/>
          <w:sz w:val="24"/>
          <w:szCs w:val="24"/>
        </w:rPr>
      </w:pPr>
      <w:r>
        <w:rPr>
          <w:rFonts w:eastAsia="仿宋"/>
          <w:color w:val="000000" w:themeColor="text1"/>
          <w:kern w:val="0"/>
          <w:sz w:val="24"/>
          <w:szCs w:val="24"/>
        </w:rPr>
        <w:t>1</w:t>
      </w:r>
      <w:r>
        <w:rPr>
          <w:rFonts w:hint="eastAsia" w:eastAsia="仿宋"/>
          <w:color w:val="000000" w:themeColor="text1"/>
          <w:kern w:val="0"/>
          <w:sz w:val="24"/>
          <w:szCs w:val="24"/>
        </w:rPr>
        <w:t>.</w:t>
      </w:r>
      <w:r>
        <w:rPr>
          <w:rFonts w:eastAsia="仿宋"/>
          <w:color w:val="000000" w:themeColor="text1"/>
          <w:kern w:val="0"/>
          <w:sz w:val="24"/>
          <w:szCs w:val="24"/>
        </w:rPr>
        <w:t>合同总金额包括</w:t>
      </w:r>
      <w:r>
        <w:rPr>
          <w:rFonts w:eastAsia="仿宋"/>
          <w:color w:val="000000" w:themeColor="text1"/>
          <w:sz w:val="24"/>
          <w:szCs w:val="24"/>
        </w:rPr>
        <w:t>设备、安装、调试、技术服务、培训、验收、保修、税金等交钥匙</w:t>
      </w:r>
      <w:r>
        <w:rPr>
          <w:rFonts w:eastAsia="仿宋"/>
          <w:color w:val="000000" w:themeColor="text1"/>
          <w:kern w:val="0"/>
          <w:sz w:val="24"/>
          <w:szCs w:val="24"/>
        </w:rPr>
        <w:t>全部费用，如果公开招标对其另有规定的，从其规定。</w:t>
      </w:r>
    </w:p>
    <w:p w14:paraId="5F5D8453">
      <w:pPr>
        <w:spacing w:line="360" w:lineRule="auto"/>
        <w:rPr>
          <w:rFonts w:eastAsia="仿宋"/>
          <w:b/>
          <w:color w:val="000000" w:themeColor="text1"/>
          <w:kern w:val="0"/>
          <w:sz w:val="24"/>
          <w:szCs w:val="24"/>
        </w:rPr>
      </w:pPr>
      <w:r>
        <w:rPr>
          <w:rFonts w:eastAsia="仿宋"/>
          <w:b/>
          <w:color w:val="000000" w:themeColor="text1"/>
          <w:kern w:val="0"/>
          <w:sz w:val="24"/>
          <w:szCs w:val="24"/>
        </w:rPr>
        <w:t>二、质量标准：</w:t>
      </w:r>
    </w:p>
    <w:p w14:paraId="6D3805A7">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sz w:val="24"/>
          <w:szCs w:val="24"/>
        </w:rPr>
        <w:t>乙方提供的货物必须符合中华人民共和国国家安全环保标准，国家及有关行业产品质量认证标准。公开招标的质量要求及双方签字确认的技术协议</w:t>
      </w:r>
      <w:r>
        <w:rPr>
          <w:rFonts w:eastAsia="仿宋"/>
          <w:color w:val="000000" w:themeColor="text1"/>
          <w:kern w:val="0"/>
          <w:sz w:val="24"/>
          <w:szCs w:val="24"/>
        </w:rPr>
        <w:t>作为本合同的有效附件。</w:t>
      </w:r>
    </w:p>
    <w:p w14:paraId="7FFCE1A7">
      <w:pPr>
        <w:spacing w:line="360" w:lineRule="auto"/>
        <w:rPr>
          <w:rFonts w:eastAsia="仿宋"/>
          <w:b/>
          <w:color w:val="000000" w:themeColor="text1"/>
          <w:kern w:val="0"/>
          <w:sz w:val="24"/>
          <w:szCs w:val="24"/>
        </w:rPr>
      </w:pPr>
      <w:r>
        <w:rPr>
          <w:rFonts w:eastAsia="仿宋"/>
          <w:b/>
          <w:color w:val="000000" w:themeColor="text1"/>
          <w:kern w:val="0"/>
          <w:sz w:val="24"/>
          <w:szCs w:val="24"/>
        </w:rPr>
        <w:t>三、交货日期、方式及地点：</w:t>
      </w:r>
    </w:p>
    <w:p w14:paraId="6F2609F7">
      <w:pPr>
        <w:widowControl/>
        <w:adjustRightInd w:val="0"/>
        <w:snapToGrid w:val="0"/>
        <w:spacing w:line="360" w:lineRule="auto"/>
        <w:ind w:firstLine="470" w:firstLineChars="196"/>
        <w:jc w:val="left"/>
        <w:rPr>
          <w:rFonts w:eastAsia="仿宋"/>
          <w:color w:val="000000" w:themeColor="text1"/>
          <w:sz w:val="24"/>
          <w:szCs w:val="24"/>
        </w:rPr>
      </w:pPr>
      <w:r>
        <w:rPr>
          <w:rFonts w:eastAsia="仿宋"/>
          <w:bCs/>
          <w:color w:val="000000" w:themeColor="text1"/>
          <w:sz w:val="24"/>
          <w:szCs w:val="24"/>
        </w:rPr>
        <w:t>合同签订后</w:t>
      </w:r>
      <w:r>
        <w:rPr>
          <w:rFonts w:eastAsia="仿宋"/>
          <w:bCs/>
          <w:color w:val="000000" w:themeColor="text1"/>
          <w:sz w:val="24"/>
          <w:szCs w:val="24"/>
          <w:u w:val="single"/>
        </w:rPr>
        <w:t xml:space="preserve">  </w:t>
      </w:r>
      <w:r>
        <w:rPr>
          <w:rFonts w:eastAsia="仿宋"/>
          <w:color w:val="000000" w:themeColor="text1"/>
          <w:sz w:val="24"/>
          <w:szCs w:val="24"/>
          <w:u w:val="single"/>
        </w:rPr>
        <w:t xml:space="preserve">      </w:t>
      </w:r>
      <w:r>
        <w:rPr>
          <w:rFonts w:eastAsia="仿宋"/>
          <w:color w:val="000000" w:themeColor="text1"/>
          <w:sz w:val="24"/>
          <w:szCs w:val="24"/>
        </w:rPr>
        <w:t>日历</w:t>
      </w:r>
      <w:r>
        <w:rPr>
          <w:rFonts w:eastAsia="仿宋"/>
          <w:bCs/>
          <w:color w:val="000000" w:themeColor="text1"/>
          <w:sz w:val="24"/>
          <w:szCs w:val="24"/>
        </w:rPr>
        <w:t>天内完成交货及安装、调试达到验收合格标准。</w:t>
      </w:r>
    </w:p>
    <w:p w14:paraId="4CEA1092">
      <w:pPr>
        <w:spacing w:line="360" w:lineRule="auto"/>
        <w:rPr>
          <w:rFonts w:eastAsia="仿宋"/>
          <w:b/>
          <w:color w:val="000000" w:themeColor="text1"/>
          <w:kern w:val="0"/>
          <w:sz w:val="24"/>
          <w:szCs w:val="24"/>
        </w:rPr>
      </w:pPr>
      <w:r>
        <w:rPr>
          <w:rFonts w:eastAsia="仿宋"/>
          <w:b/>
          <w:color w:val="000000" w:themeColor="text1"/>
          <w:kern w:val="0"/>
          <w:sz w:val="24"/>
          <w:szCs w:val="24"/>
        </w:rPr>
        <w:t>四、乙方对质量保证的条件及期限：</w:t>
      </w:r>
    </w:p>
    <w:p w14:paraId="4D2BB14C">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 xml:space="preserve">1.验收合格通过之日起 </w:t>
      </w:r>
      <w:r>
        <w:rPr>
          <w:rFonts w:eastAsia="仿宋"/>
          <w:bCs/>
          <w:color w:val="000000" w:themeColor="text1"/>
          <w:sz w:val="24"/>
          <w:szCs w:val="24"/>
          <w:u w:val="single"/>
        </w:rPr>
        <w:t xml:space="preserve">       </w:t>
      </w:r>
      <w:r>
        <w:rPr>
          <w:rFonts w:eastAsia="仿宋"/>
          <w:bCs/>
          <w:color w:val="000000" w:themeColor="text1"/>
          <w:sz w:val="24"/>
          <w:szCs w:val="24"/>
        </w:rPr>
        <w:t>年。</w:t>
      </w:r>
    </w:p>
    <w:p w14:paraId="746F8D54">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2.售后服务响应时间（质保期内）：售后服务响应时间（质保期内）：即时响应（包括电话响应）；电话响应无法解决</w:t>
      </w:r>
      <w:r>
        <w:rPr>
          <w:rFonts w:eastAsia="仿宋"/>
          <w:bCs/>
          <w:color w:val="000000" w:themeColor="text1"/>
          <w:sz w:val="24"/>
          <w:szCs w:val="24"/>
          <w:u w:val="single"/>
        </w:rPr>
        <w:t xml:space="preserve">     </w:t>
      </w:r>
      <w:r>
        <w:rPr>
          <w:rFonts w:eastAsia="仿宋"/>
          <w:bCs/>
          <w:color w:val="000000" w:themeColor="text1"/>
          <w:sz w:val="24"/>
          <w:szCs w:val="24"/>
        </w:rPr>
        <w:t>小时内到达现场。修复时间</w:t>
      </w:r>
      <w:r>
        <w:rPr>
          <w:rFonts w:eastAsia="仿宋"/>
          <w:bCs/>
          <w:color w:val="000000" w:themeColor="text1"/>
          <w:sz w:val="24"/>
          <w:szCs w:val="24"/>
          <w:u w:val="single"/>
        </w:rPr>
        <w:t xml:space="preserve">    </w:t>
      </w:r>
      <w:r>
        <w:rPr>
          <w:rFonts w:eastAsia="仿宋"/>
          <w:bCs/>
          <w:color w:val="000000" w:themeColor="text1"/>
          <w:sz w:val="24"/>
          <w:szCs w:val="24"/>
        </w:rPr>
        <w:t>小时内解决；如在</w:t>
      </w:r>
      <w:r>
        <w:rPr>
          <w:rFonts w:eastAsia="仿宋"/>
          <w:bCs/>
          <w:color w:val="000000" w:themeColor="text1"/>
          <w:sz w:val="24"/>
          <w:szCs w:val="24"/>
          <w:u w:val="single"/>
        </w:rPr>
        <w:t xml:space="preserve">     </w:t>
      </w:r>
      <w:r>
        <w:rPr>
          <w:rFonts w:eastAsia="仿宋"/>
          <w:bCs/>
          <w:color w:val="000000" w:themeColor="text1"/>
          <w:sz w:val="24"/>
          <w:szCs w:val="24"/>
        </w:rPr>
        <w:t>小时内无法修复，则提供部件冗余服务或采取应急措施，提供相同产品或不低于故障产品规格档次的备用产品供采购人使用，以确保货物的正常用。</w:t>
      </w:r>
    </w:p>
    <w:p w14:paraId="3F8C56ED">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3.培训服务要求</w:t>
      </w:r>
    </w:p>
    <w:p w14:paraId="52100A81">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中标人须负责开展培训服务，包括但不限于对教师、教室设备管理人员等进行培训服务，并列出详细的培训计划，提供相关主要设备的操作流程及使用手册，维修手册等。</w:t>
      </w:r>
    </w:p>
    <w:p w14:paraId="3B5E65E8">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4.实施要求</w:t>
      </w:r>
    </w:p>
    <w:p w14:paraId="4B8B9D25">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（1）中标人签署合同后，及时与采购方进行相关问题的沟通，按照实施方案进行施工。</w:t>
      </w:r>
    </w:p>
    <w:p w14:paraId="3220D07F">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（2）中标人必须确保施工安全，不得损坏学校其他设施，遵守学校的相关政策，且不得影响学校正常教学生活秩序；必须保证项目完成后的使用安全。</w:t>
      </w:r>
    </w:p>
    <w:p w14:paraId="661DAC8B">
      <w:pPr>
        <w:widowControl/>
        <w:adjustRightInd w:val="0"/>
        <w:snapToGrid w:val="0"/>
        <w:spacing w:line="360" w:lineRule="auto"/>
        <w:ind w:firstLine="470" w:firstLineChars="196"/>
        <w:jc w:val="left"/>
        <w:rPr>
          <w:rFonts w:eastAsia="仿宋"/>
          <w:bCs/>
          <w:color w:val="000000" w:themeColor="text1"/>
          <w:sz w:val="24"/>
          <w:szCs w:val="24"/>
        </w:rPr>
      </w:pPr>
      <w:r>
        <w:rPr>
          <w:rFonts w:eastAsia="仿宋"/>
          <w:bCs/>
          <w:color w:val="000000" w:themeColor="text1"/>
          <w:sz w:val="24"/>
          <w:szCs w:val="24"/>
        </w:rPr>
        <w:t>（3）中标人施工结束后，必须将现场恢复原样，并将卫生打扫干净。</w:t>
      </w:r>
    </w:p>
    <w:p w14:paraId="17FBD714">
      <w:pPr>
        <w:spacing w:line="360" w:lineRule="auto"/>
        <w:rPr>
          <w:rFonts w:eastAsia="仿宋"/>
          <w:b/>
          <w:color w:val="000000" w:themeColor="text1"/>
          <w:kern w:val="0"/>
          <w:sz w:val="24"/>
          <w:szCs w:val="24"/>
        </w:rPr>
      </w:pPr>
      <w:r>
        <w:rPr>
          <w:rFonts w:eastAsia="仿宋"/>
          <w:b/>
          <w:color w:val="000000" w:themeColor="text1"/>
          <w:kern w:val="0"/>
          <w:sz w:val="24"/>
          <w:szCs w:val="24"/>
        </w:rPr>
        <w:t>五、货物的包装及运输：</w:t>
      </w:r>
    </w:p>
    <w:p w14:paraId="110527E7">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1.乙方应在货物发运前对其进行满足于运输距离、防震、防锈和防破损装卸要求的包装，以保证货物安全运输到达甲方指定地点。途中发生包装物破损的情况，甲方有权拒收货物。</w:t>
      </w:r>
    </w:p>
    <w:p w14:paraId="33B51C06">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2.包装上注明货物品种及数量。</w:t>
      </w:r>
    </w:p>
    <w:p w14:paraId="761B5E87">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3.使用说明书、质量检验证明书、随配附件和工具以及清单与货物一起发送。</w:t>
      </w:r>
    </w:p>
    <w:p w14:paraId="1D23A480">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4.运输方式：乙方负责运输并承担运输、装卸、倒运及运保费等费用。</w:t>
      </w:r>
    </w:p>
    <w:p w14:paraId="7CB87E11">
      <w:pPr>
        <w:spacing w:line="360" w:lineRule="auto"/>
        <w:rPr>
          <w:rFonts w:eastAsia="仿宋"/>
          <w:color w:val="000000" w:themeColor="text1"/>
          <w:kern w:val="0"/>
          <w:sz w:val="24"/>
          <w:szCs w:val="24"/>
        </w:rPr>
      </w:pPr>
      <w:r>
        <w:rPr>
          <w:rFonts w:eastAsia="仿宋"/>
          <w:b/>
          <w:color w:val="000000" w:themeColor="text1"/>
          <w:kern w:val="0"/>
          <w:sz w:val="24"/>
          <w:szCs w:val="24"/>
        </w:rPr>
        <w:t>六、货物的安装、调试及验收：</w:t>
      </w:r>
    </w:p>
    <w:p w14:paraId="2CBA1A7F">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1.甲方对乙方所交货物依照国家有关技术标准和双方确认的技术标准进行现场验收。性能达到技术要求的，验收通过；验收不合格的，限期整改；整改仍达不到要求的，作退货处理。</w:t>
      </w:r>
    </w:p>
    <w:p w14:paraId="7520560D">
      <w:pPr>
        <w:widowControl/>
        <w:adjustRightInd w:val="0"/>
        <w:snapToGrid w:val="0"/>
        <w:spacing w:line="360" w:lineRule="auto"/>
        <w:ind w:firstLine="480" w:firstLineChars="200"/>
        <w:jc w:val="left"/>
        <w:rPr>
          <w:rFonts w:eastAsia="仿宋"/>
          <w:color w:val="000000" w:themeColor="text1"/>
          <w:kern w:val="0"/>
          <w:sz w:val="24"/>
          <w:szCs w:val="24"/>
        </w:rPr>
      </w:pPr>
      <w:r>
        <w:rPr>
          <w:rFonts w:eastAsia="仿宋"/>
          <w:color w:val="000000" w:themeColor="text1"/>
          <w:kern w:val="0"/>
          <w:sz w:val="24"/>
          <w:szCs w:val="24"/>
        </w:rPr>
        <w:t>2.如因货物的质量问题发生争议，由甲方属地技术质量监督部门进行质量鉴定；货物符合质量标准的，鉴定费由甲方承担；货物不符合质量标准的，鉴定费由乙方承担，同时乙方必须无条件退回全部货款，并向甲方支付合同总价款10%的赔偿金。</w:t>
      </w:r>
    </w:p>
    <w:p w14:paraId="6B5C07DF">
      <w:pPr>
        <w:spacing w:line="360" w:lineRule="auto"/>
        <w:rPr>
          <w:rFonts w:eastAsia="仿宋"/>
          <w:b/>
          <w:color w:val="000000" w:themeColor="text1"/>
          <w:kern w:val="0"/>
          <w:sz w:val="24"/>
          <w:szCs w:val="24"/>
        </w:rPr>
      </w:pPr>
      <w:r>
        <w:rPr>
          <w:rFonts w:eastAsia="仿宋"/>
          <w:b/>
          <w:color w:val="000000" w:themeColor="text1"/>
          <w:kern w:val="0"/>
          <w:sz w:val="24"/>
          <w:szCs w:val="24"/>
        </w:rPr>
        <w:t>七、付款方式：</w:t>
      </w:r>
    </w:p>
    <w:p w14:paraId="6F9EC3F3">
      <w:pPr>
        <w:spacing w:line="360" w:lineRule="auto"/>
        <w:ind w:firstLine="480" w:firstLineChars="200"/>
        <w:rPr>
          <w:rFonts w:eastAsia="仿宋"/>
          <w:color w:val="000000" w:themeColor="text1"/>
          <w:sz w:val="24"/>
          <w:szCs w:val="24"/>
        </w:rPr>
      </w:pPr>
      <w:r>
        <w:rPr>
          <w:rFonts w:eastAsia="仿宋"/>
          <w:color w:val="000000" w:themeColor="text1"/>
          <w:sz w:val="24"/>
          <w:szCs w:val="24"/>
        </w:rPr>
        <w:t>供应商成交后凭成交通知书向采购人缴纳成交金额的</w:t>
      </w:r>
      <w:r>
        <w:rPr>
          <w:rFonts w:eastAsia="仿宋"/>
          <w:color w:val="000000" w:themeColor="text1"/>
          <w:sz w:val="24"/>
          <w:szCs w:val="24"/>
          <w:u w:val="single"/>
        </w:rPr>
        <w:t xml:space="preserve">     </w:t>
      </w:r>
      <w:r>
        <w:rPr>
          <w:rFonts w:eastAsia="仿宋"/>
          <w:color w:val="000000" w:themeColor="text1"/>
          <w:sz w:val="24"/>
          <w:szCs w:val="24"/>
        </w:rPr>
        <w:t>%作为履约保证金，验收合格支付货款后，</w:t>
      </w:r>
      <w:r>
        <w:rPr>
          <w:rFonts w:eastAsia="仿宋"/>
          <w:color w:val="000000" w:themeColor="text1"/>
          <w:sz w:val="24"/>
          <w:szCs w:val="24"/>
          <w:u w:val="single"/>
        </w:rPr>
        <w:t xml:space="preserve">      </w:t>
      </w:r>
      <w:r>
        <w:rPr>
          <w:rFonts w:eastAsia="仿宋"/>
          <w:color w:val="000000" w:themeColor="text1"/>
          <w:sz w:val="24"/>
          <w:szCs w:val="24"/>
        </w:rPr>
        <w:t>%履约保证金无质量问题一次性无息退还。产品安装调试经学校验收合格后，达到付款条件起</w:t>
      </w:r>
      <w:r>
        <w:rPr>
          <w:rFonts w:eastAsia="仿宋"/>
          <w:bCs/>
          <w:color w:val="000000" w:themeColor="text1"/>
          <w:sz w:val="24"/>
          <w:szCs w:val="24"/>
          <w:u w:val="single"/>
        </w:rPr>
        <w:t xml:space="preserve">     </w:t>
      </w:r>
      <w:r>
        <w:rPr>
          <w:rFonts w:eastAsia="仿宋"/>
          <w:color w:val="000000" w:themeColor="text1"/>
          <w:sz w:val="24"/>
          <w:szCs w:val="24"/>
        </w:rPr>
        <w:t>日内，支付合同总金额的</w:t>
      </w:r>
      <w:r>
        <w:rPr>
          <w:rFonts w:eastAsia="仿宋"/>
          <w:bCs/>
          <w:color w:val="000000" w:themeColor="text1"/>
          <w:sz w:val="24"/>
          <w:szCs w:val="24"/>
          <w:u w:val="single"/>
        </w:rPr>
        <w:t xml:space="preserve">     </w:t>
      </w:r>
      <w:r>
        <w:rPr>
          <w:rFonts w:eastAsia="仿宋"/>
          <w:color w:val="000000" w:themeColor="text1"/>
          <w:sz w:val="24"/>
          <w:szCs w:val="24"/>
        </w:rPr>
        <w:t>%。</w:t>
      </w:r>
    </w:p>
    <w:p w14:paraId="77F36571">
      <w:pPr>
        <w:spacing w:line="360" w:lineRule="auto"/>
        <w:rPr>
          <w:rFonts w:eastAsia="仿宋"/>
          <w:b/>
          <w:color w:val="000000" w:themeColor="text1"/>
          <w:kern w:val="0"/>
          <w:sz w:val="24"/>
          <w:szCs w:val="24"/>
        </w:rPr>
      </w:pPr>
      <w:r>
        <w:rPr>
          <w:rFonts w:eastAsia="仿宋"/>
          <w:b/>
          <w:color w:val="000000" w:themeColor="text1"/>
          <w:kern w:val="0"/>
          <w:sz w:val="24"/>
          <w:szCs w:val="24"/>
        </w:rPr>
        <w:t>八、违约责任：</w:t>
      </w:r>
    </w:p>
    <w:p w14:paraId="576C18E4">
      <w:pPr>
        <w:spacing w:line="360" w:lineRule="auto"/>
        <w:ind w:firstLine="480" w:firstLineChars="200"/>
        <w:rPr>
          <w:rFonts w:eastAsia="仿宋"/>
          <w:color w:val="000000" w:themeColor="text1"/>
          <w:sz w:val="24"/>
          <w:szCs w:val="24"/>
        </w:rPr>
      </w:pPr>
      <w:r>
        <w:rPr>
          <w:rFonts w:eastAsia="仿宋"/>
          <w:color w:val="000000" w:themeColor="text1"/>
          <w:sz w:val="24"/>
          <w:szCs w:val="24"/>
        </w:rPr>
        <w:t>1.乙方逾期交货，每天应按合同总价的千分之一向甲方支付违约金。如乙方逾期三十天仍未交齐货物的，甲方有权终止合同，乙方须按合同总价的百分之十计算，向甲方支付违约赔偿金，并全额退还甲方已付给乙方的货款。</w:t>
      </w:r>
    </w:p>
    <w:p w14:paraId="6EA1BB65">
      <w:pPr>
        <w:spacing w:line="360" w:lineRule="auto"/>
        <w:ind w:firstLine="480" w:firstLineChars="200"/>
        <w:rPr>
          <w:rFonts w:eastAsia="仿宋"/>
          <w:color w:val="000000" w:themeColor="text1"/>
          <w:sz w:val="24"/>
          <w:szCs w:val="24"/>
        </w:rPr>
      </w:pPr>
      <w:r>
        <w:rPr>
          <w:rFonts w:eastAsia="仿宋"/>
          <w:color w:val="000000" w:themeColor="text1"/>
          <w:sz w:val="24"/>
          <w:szCs w:val="24"/>
        </w:rPr>
        <w:t>2.甲方无正当理由拒收货物，应向乙方支付合同总价款10%的违约金。</w:t>
      </w:r>
    </w:p>
    <w:p w14:paraId="4C8D2763">
      <w:pPr>
        <w:spacing w:line="360" w:lineRule="auto"/>
        <w:ind w:firstLine="480" w:firstLineChars="200"/>
        <w:rPr>
          <w:rFonts w:eastAsia="仿宋"/>
          <w:color w:val="000000" w:themeColor="text1"/>
          <w:sz w:val="24"/>
          <w:szCs w:val="24"/>
        </w:rPr>
      </w:pPr>
      <w:r>
        <w:rPr>
          <w:rFonts w:eastAsia="仿宋"/>
          <w:color w:val="000000" w:themeColor="text1"/>
          <w:sz w:val="24"/>
          <w:szCs w:val="24"/>
        </w:rPr>
        <w:t>3.乙方所交的货物品种、型号、规格、质量不符合合同约定、国家标准，所供货物达不到约定技术要求的，乙方必须无条件退回全部货款，并向甲方支付合同总价款10%的赔偿金。</w:t>
      </w:r>
    </w:p>
    <w:p w14:paraId="61315E24">
      <w:pPr>
        <w:spacing w:line="360" w:lineRule="auto"/>
        <w:ind w:firstLine="480" w:firstLineChars="200"/>
        <w:rPr>
          <w:rFonts w:eastAsia="仿宋"/>
          <w:color w:val="000000" w:themeColor="text1"/>
          <w:sz w:val="24"/>
          <w:szCs w:val="24"/>
        </w:rPr>
      </w:pPr>
      <w:r>
        <w:rPr>
          <w:rFonts w:eastAsia="仿宋"/>
          <w:color w:val="000000" w:themeColor="text1"/>
          <w:sz w:val="24"/>
          <w:szCs w:val="24"/>
        </w:rPr>
        <w:t>4.因本合同而发生的争议或纠纷，甲乙双方应先协商解决，协商不成时可向甲方所在地的人民法院提起诉讼。</w:t>
      </w:r>
    </w:p>
    <w:p w14:paraId="2BB91EE7">
      <w:pPr>
        <w:spacing w:line="360" w:lineRule="auto"/>
        <w:rPr>
          <w:rFonts w:eastAsia="仿宋"/>
          <w:b/>
          <w:color w:val="000000" w:themeColor="text1"/>
          <w:kern w:val="0"/>
          <w:sz w:val="24"/>
          <w:szCs w:val="24"/>
        </w:rPr>
      </w:pPr>
      <w:r>
        <w:rPr>
          <w:rFonts w:eastAsia="仿宋"/>
          <w:b/>
          <w:color w:val="000000" w:themeColor="text1"/>
          <w:kern w:val="0"/>
          <w:sz w:val="24"/>
          <w:szCs w:val="24"/>
        </w:rPr>
        <w:t>九、争议解决方式：</w:t>
      </w:r>
    </w:p>
    <w:p w14:paraId="19C419C4">
      <w:pPr>
        <w:widowControl/>
        <w:adjustRightInd w:val="0"/>
        <w:snapToGrid w:val="0"/>
        <w:spacing w:line="360" w:lineRule="auto"/>
        <w:ind w:firstLine="480" w:firstLineChars="200"/>
        <w:jc w:val="left"/>
        <w:rPr>
          <w:rFonts w:eastAsia="仿宋"/>
          <w:b/>
          <w:color w:val="000000" w:themeColor="text1"/>
          <w:kern w:val="0"/>
          <w:sz w:val="24"/>
          <w:szCs w:val="24"/>
        </w:rPr>
      </w:pPr>
      <w:r>
        <w:rPr>
          <w:rFonts w:eastAsia="仿宋"/>
          <w:color w:val="000000" w:themeColor="text1"/>
          <w:kern w:val="0"/>
          <w:sz w:val="24"/>
          <w:szCs w:val="24"/>
        </w:rPr>
        <w:t>本合同在履行过程中，如发生争议，双方友好协商解决，如协商不成，双方同意向签约地法院起诉解决。</w:t>
      </w:r>
    </w:p>
    <w:p w14:paraId="35F07F59">
      <w:pPr>
        <w:spacing w:line="360" w:lineRule="auto"/>
        <w:jc w:val="left"/>
        <w:textAlignment w:val="center"/>
        <w:rPr>
          <w:rFonts w:eastAsia="仿宋"/>
          <w:b/>
          <w:color w:val="000000" w:themeColor="text1"/>
          <w:sz w:val="24"/>
          <w:szCs w:val="24"/>
        </w:rPr>
      </w:pPr>
      <w:r>
        <w:rPr>
          <w:rFonts w:eastAsia="仿宋"/>
          <w:b/>
          <w:color w:val="000000" w:themeColor="text1"/>
          <w:sz w:val="24"/>
          <w:szCs w:val="24"/>
        </w:rPr>
        <w:t>十、账户信息</w:t>
      </w:r>
    </w:p>
    <w:p w14:paraId="21E0C7B5">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hint="eastAsia" w:ascii="Times New Roman" w:hAnsi="Times New Roman" w:eastAsia="仿宋" w:cs="Times New Roman"/>
          <w:color w:val="000000" w:themeColor="text1"/>
          <w:kern w:val="2"/>
          <w:sz w:val="24"/>
          <w:szCs w:val="32"/>
        </w:rPr>
        <w:t>1.甲方账户信息</w:t>
      </w:r>
    </w:p>
    <w:p w14:paraId="52409BC9">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单位名称：</w:t>
      </w:r>
    </w:p>
    <w:p w14:paraId="3EB83CBA">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纳税人识别号：</w:t>
      </w:r>
    </w:p>
    <w:p w14:paraId="68781A52">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地</w:t>
      </w:r>
      <w:r>
        <w:rPr>
          <w:rFonts w:hint="eastAsia" w:ascii="Times New Roman" w:hAnsi="Times New Roman" w:eastAsia="仿宋" w:cs="Times New Roman"/>
          <w:color w:val="000000" w:themeColor="text1"/>
          <w:kern w:val="2"/>
          <w:sz w:val="24"/>
          <w:szCs w:val="32"/>
        </w:rPr>
        <w:t xml:space="preserve">  </w:t>
      </w:r>
      <w:r>
        <w:rPr>
          <w:rFonts w:ascii="Times New Roman" w:hAnsi="Times New Roman" w:eastAsia="仿宋" w:cs="Times New Roman"/>
          <w:color w:val="000000" w:themeColor="text1"/>
          <w:kern w:val="2"/>
          <w:sz w:val="24"/>
          <w:szCs w:val="32"/>
        </w:rPr>
        <w:t>址：</w:t>
      </w:r>
    </w:p>
    <w:p w14:paraId="18AE9FD4">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电</w:t>
      </w:r>
      <w:r>
        <w:rPr>
          <w:rFonts w:hint="eastAsia" w:ascii="Times New Roman" w:hAnsi="Times New Roman" w:eastAsia="仿宋" w:cs="Times New Roman"/>
          <w:color w:val="000000" w:themeColor="text1"/>
          <w:kern w:val="2"/>
          <w:sz w:val="24"/>
          <w:szCs w:val="32"/>
        </w:rPr>
        <w:t xml:space="preserve">  </w:t>
      </w:r>
      <w:r>
        <w:rPr>
          <w:rFonts w:ascii="Times New Roman" w:hAnsi="Times New Roman" w:eastAsia="仿宋" w:cs="Times New Roman"/>
          <w:color w:val="000000" w:themeColor="text1"/>
          <w:kern w:val="2"/>
          <w:sz w:val="24"/>
          <w:szCs w:val="32"/>
        </w:rPr>
        <w:t>话：</w:t>
      </w:r>
    </w:p>
    <w:p w14:paraId="67DE8A67">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开户行：</w:t>
      </w:r>
    </w:p>
    <w:p w14:paraId="6FE06F93">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账  号：</w:t>
      </w:r>
    </w:p>
    <w:p w14:paraId="02A6FFC1">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2.乙方指定以下账户为唯一收款账户（与发票账户信息一致）：</w:t>
      </w:r>
    </w:p>
    <w:p w14:paraId="326583D7">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账户名称：</w:t>
      </w:r>
    </w:p>
    <w:p w14:paraId="162EA555">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开户银行：</w:t>
      </w:r>
    </w:p>
    <w:p w14:paraId="3D5D730C">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银行账号：</w:t>
      </w:r>
    </w:p>
    <w:p w14:paraId="7877CC4A">
      <w:pPr>
        <w:pStyle w:val="5"/>
        <w:spacing w:line="360" w:lineRule="auto"/>
        <w:ind w:firstLine="480" w:firstLineChars="200"/>
        <w:rPr>
          <w:rFonts w:ascii="Times New Roman" w:hAnsi="Times New Roman" w:eastAsia="仿宋" w:cs="Times New Roman"/>
          <w:color w:val="000000" w:themeColor="text1"/>
          <w:kern w:val="2"/>
          <w:sz w:val="24"/>
          <w:szCs w:val="32"/>
        </w:rPr>
      </w:pPr>
      <w:r>
        <w:rPr>
          <w:rFonts w:ascii="Times New Roman" w:hAnsi="Times New Roman" w:eastAsia="仿宋" w:cs="Times New Roman"/>
          <w:color w:val="000000" w:themeColor="text1"/>
          <w:kern w:val="2"/>
          <w:sz w:val="24"/>
          <w:szCs w:val="32"/>
        </w:rPr>
        <w:t>甲方向上述账户汇出款项或向有关部门递交款项申请后，即视为已履行付款义务，在汇款过程中，因乙方账户的原因（包括但不限于账号被注销、被冻结等）导致其无法收取款项的，由乙方承担相应后果。如乙方存在违约行为，甲方有权直接在应付费用中扣除乙方应承担违约金或赔偿金等。</w:t>
      </w:r>
    </w:p>
    <w:p w14:paraId="2CA0D614">
      <w:pPr>
        <w:spacing w:line="360" w:lineRule="auto"/>
        <w:jc w:val="left"/>
        <w:textAlignment w:val="center"/>
        <w:rPr>
          <w:rFonts w:eastAsia="仿宋"/>
          <w:b/>
          <w:color w:val="000000" w:themeColor="text1"/>
          <w:sz w:val="24"/>
          <w:szCs w:val="24"/>
        </w:rPr>
      </w:pPr>
      <w:r>
        <w:rPr>
          <w:rFonts w:eastAsia="仿宋"/>
          <w:b/>
          <w:color w:val="000000" w:themeColor="text1"/>
          <w:sz w:val="24"/>
          <w:szCs w:val="24"/>
        </w:rPr>
        <w:t>十一、合同解除和终止</w:t>
      </w:r>
    </w:p>
    <w:p w14:paraId="1DFDAC25">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甲乙双方各自完成合同规定的责任和义务，合同自然终止。</w:t>
      </w:r>
    </w:p>
    <w:p w14:paraId="4F91F167">
      <w:pPr>
        <w:spacing w:line="360" w:lineRule="auto"/>
        <w:jc w:val="left"/>
        <w:textAlignment w:val="center"/>
        <w:rPr>
          <w:rFonts w:eastAsia="仿宋"/>
          <w:b/>
          <w:color w:val="000000" w:themeColor="text1"/>
          <w:sz w:val="24"/>
          <w:szCs w:val="24"/>
        </w:rPr>
      </w:pPr>
      <w:r>
        <w:rPr>
          <w:rFonts w:eastAsia="仿宋"/>
          <w:b/>
          <w:color w:val="000000" w:themeColor="text1"/>
          <w:sz w:val="24"/>
          <w:szCs w:val="24"/>
        </w:rPr>
        <w:t>十二、其它</w:t>
      </w:r>
    </w:p>
    <w:p w14:paraId="585A7755">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本合同乙方在任何情况下都不得全部或部分转让其应履行的合同义务，乙方不得将本合同分包给他人。</w:t>
      </w:r>
    </w:p>
    <w:p w14:paraId="0F179AE0">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在执行本合同的过程中，所有经双方签署确认的文件（包括会议纪要、补充合同、合同修改书、往来信函等）均为本合同的有效组成部分，其生效日期为双方签字盖章或确认之日期。</w:t>
      </w:r>
    </w:p>
    <w:p w14:paraId="7C3DF50B">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本合同一式   份，甲方   份，乙方   份，招标代理机构壹份。</w:t>
      </w:r>
    </w:p>
    <w:p w14:paraId="0E473F0F">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合同经双方授权代表签字、盖章后生效，生效日以签字日为准。</w:t>
      </w:r>
    </w:p>
    <w:p w14:paraId="25800A01">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本合同页眉页脚标有页码，加盖骑缝章，缺页之合同为无效合同。</w:t>
      </w:r>
    </w:p>
    <w:p w14:paraId="7EC24FBE">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一方在本合同履行过程中向对方发出或者提供的所有通知、文件、文书、资料等，均以本合同所列明的地址送达。一方如果迁址、变更电话，应当书面通知对方，未履行书面通知义务的，一方按原地址邮寄相关材料或通知相关信息即视为已履行送达义务。当面交付上述材料的，在交付之时视为送达；以邮寄方式交付的，寄出、发出或者投邮后即视为送达。</w:t>
      </w:r>
    </w:p>
    <w:p w14:paraId="6CFDBBF0">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由于不能预见、不能避免和不能克服的客观的自然原因或社会原因，致使本合同不能履行或者不能完全履行时，遇到上述不可抗力事件的一方，应立即书面通知合同其他方，并应在不可抗力事件发生后十五天内，向合同其他方提供经不可抗力事件发生地区县级以上政府部门出具的证明合同不能履行或需要延期履行、部分履行的有效证明文件原件，由合同各方按事件对履行合同影响的程度协商决定是否解除合同、或者部分或全部免除履行合同的责任、或者延期履行合同。遭受不可抗力的一方未履行上述义务的，不能免除其违约责任。</w:t>
      </w:r>
    </w:p>
    <w:p w14:paraId="06354222">
      <w:pPr>
        <w:snapToGrid w:val="0"/>
        <w:spacing w:line="360" w:lineRule="auto"/>
        <w:ind w:firstLine="480" w:firstLineChars="200"/>
        <w:rPr>
          <w:rFonts w:eastAsia="仿宋"/>
          <w:color w:val="000000" w:themeColor="text1"/>
          <w:sz w:val="24"/>
          <w:szCs w:val="24"/>
        </w:rPr>
      </w:pPr>
      <w:r>
        <w:rPr>
          <w:rFonts w:eastAsia="仿宋"/>
          <w:color w:val="000000" w:themeColor="text1"/>
          <w:sz w:val="24"/>
          <w:szCs w:val="24"/>
        </w:rPr>
        <w:t>未详尽之处双方协商解决。</w:t>
      </w:r>
    </w:p>
    <w:tbl>
      <w:tblPr>
        <w:tblStyle w:val="7"/>
        <w:tblW w:w="8887"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51"/>
        <w:gridCol w:w="4336"/>
      </w:tblGrid>
      <w:tr w14:paraId="093B62C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5BDDC558">
            <w:pPr>
              <w:spacing w:line="360" w:lineRule="auto"/>
              <w:rPr>
                <w:rFonts w:eastAsia="仿宋"/>
                <w:color w:val="000000" w:themeColor="text1"/>
                <w:sz w:val="24"/>
                <w:szCs w:val="24"/>
              </w:rPr>
            </w:pPr>
            <w:bookmarkStart w:id="0" w:name="_GoBack"/>
            <w:bookmarkEnd w:id="0"/>
            <w:r>
              <w:rPr>
                <w:rFonts w:eastAsia="仿宋"/>
                <w:color w:val="000000" w:themeColor="text1"/>
                <w:sz w:val="24"/>
                <w:szCs w:val="24"/>
              </w:rPr>
              <w:t>甲  方</w:t>
            </w:r>
          </w:p>
        </w:tc>
        <w:tc>
          <w:tcPr>
            <w:tcW w:w="4336" w:type="dxa"/>
            <w:vAlign w:val="center"/>
          </w:tcPr>
          <w:p w14:paraId="01CA8718">
            <w:pPr>
              <w:spacing w:line="360" w:lineRule="auto"/>
              <w:rPr>
                <w:rFonts w:eastAsia="仿宋"/>
                <w:color w:val="000000" w:themeColor="text1"/>
                <w:sz w:val="24"/>
                <w:szCs w:val="24"/>
              </w:rPr>
            </w:pPr>
            <w:r>
              <w:rPr>
                <w:rFonts w:eastAsia="仿宋"/>
                <w:color w:val="000000" w:themeColor="text1"/>
                <w:sz w:val="24"/>
                <w:szCs w:val="24"/>
              </w:rPr>
              <w:t>乙  方</w:t>
            </w:r>
          </w:p>
        </w:tc>
      </w:tr>
      <w:tr w14:paraId="5B4B593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34" w:hRule="atLeast"/>
          <w:jc w:val="center"/>
        </w:trPr>
        <w:tc>
          <w:tcPr>
            <w:tcW w:w="4551" w:type="dxa"/>
            <w:vAlign w:val="center"/>
          </w:tcPr>
          <w:p w14:paraId="5C01EFA9">
            <w:pPr>
              <w:spacing w:line="360" w:lineRule="auto"/>
              <w:rPr>
                <w:rFonts w:eastAsia="仿宋"/>
                <w:color w:val="000000" w:themeColor="text1"/>
                <w:sz w:val="24"/>
                <w:szCs w:val="24"/>
              </w:rPr>
            </w:pPr>
            <w:r>
              <w:rPr>
                <w:rFonts w:eastAsia="仿宋"/>
                <w:b/>
                <w:color w:val="000000" w:themeColor="text1"/>
                <w:sz w:val="24"/>
                <w:szCs w:val="24"/>
              </w:rPr>
              <w:t>渭南师范学院</w:t>
            </w:r>
            <w:r>
              <w:rPr>
                <w:rFonts w:eastAsia="仿宋"/>
                <w:color w:val="000000" w:themeColor="text1"/>
                <w:sz w:val="24"/>
                <w:szCs w:val="24"/>
              </w:rPr>
              <w:t>（盖章）</w:t>
            </w:r>
          </w:p>
        </w:tc>
        <w:tc>
          <w:tcPr>
            <w:tcW w:w="4336" w:type="dxa"/>
            <w:vAlign w:val="center"/>
          </w:tcPr>
          <w:p w14:paraId="46D97C3D">
            <w:pPr>
              <w:spacing w:line="360" w:lineRule="auto"/>
              <w:jc w:val="right"/>
              <w:rPr>
                <w:rFonts w:eastAsia="仿宋"/>
                <w:color w:val="000000" w:themeColor="text1"/>
                <w:sz w:val="24"/>
                <w:szCs w:val="24"/>
              </w:rPr>
            </w:pPr>
            <w:r>
              <w:rPr>
                <w:rFonts w:eastAsia="仿宋"/>
                <w:color w:val="000000" w:themeColor="text1"/>
                <w:sz w:val="24"/>
                <w:szCs w:val="24"/>
              </w:rPr>
              <w:t>（盖章）</w:t>
            </w:r>
          </w:p>
        </w:tc>
      </w:tr>
      <w:tr w14:paraId="33FAEE7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E9BEB00">
            <w:pPr>
              <w:spacing w:line="360" w:lineRule="auto"/>
              <w:rPr>
                <w:rFonts w:eastAsia="仿宋"/>
                <w:color w:val="000000" w:themeColor="text1"/>
                <w:sz w:val="24"/>
                <w:szCs w:val="24"/>
              </w:rPr>
            </w:pPr>
            <w:r>
              <w:rPr>
                <w:rFonts w:eastAsia="仿宋"/>
                <w:color w:val="000000" w:themeColor="text1"/>
                <w:sz w:val="24"/>
                <w:szCs w:val="24"/>
              </w:rPr>
              <w:t>地址：</w:t>
            </w:r>
          </w:p>
        </w:tc>
        <w:tc>
          <w:tcPr>
            <w:tcW w:w="4336" w:type="dxa"/>
            <w:vAlign w:val="center"/>
          </w:tcPr>
          <w:p w14:paraId="462059FC">
            <w:pPr>
              <w:spacing w:line="360" w:lineRule="auto"/>
              <w:rPr>
                <w:rFonts w:eastAsia="仿宋"/>
                <w:color w:val="000000" w:themeColor="text1"/>
                <w:sz w:val="24"/>
                <w:szCs w:val="24"/>
              </w:rPr>
            </w:pPr>
            <w:r>
              <w:rPr>
                <w:rFonts w:eastAsia="仿宋"/>
                <w:color w:val="000000" w:themeColor="text1"/>
                <w:sz w:val="24"/>
                <w:szCs w:val="24"/>
              </w:rPr>
              <w:t>地址：</w:t>
            </w:r>
          </w:p>
        </w:tc>
      </w:tr>
      <w:tr w14:paraId="4E21770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3A133F60">
            <w:pPr>
              <w:spacing w:line="360" w:lineRule="auto"/>
              <w:rPr>
                <w:rFonts w:eastAsia="仿宋"/>
                <w:color w:val="000000" w:themeColor="text1"/>
                <w:sz w:val="24"/>
                <w:szCs w:val="24"/>
              </w:rPr>
            </w:pPr>
            <w:r>
              <w:rPr>
                <w:rFonts w:eastAsia="仿宋"/>
                <w:color w:val="000000" w:themeColor="text1"/>
                <w:sz w:val="24"/>
                <w:szCs w:val="24"/>
              </w:rPr>
              <w:t>邮编：</w:t>
            </w:r>
          </w:p>
        </w:tc>
        <w:tc>
          <w:tcPr>
            <w:tcW w:w="4336" w:type="dxa"/>
            <w:vAlign w:val="center"/>
          </w:tcPr>
          <w:p w14:paraId="7C98526C">
            <w:pPr>
              <w:spacing w:line="360" w:lineRule="auto"/>
              <w:rPr>
                <w:rFonts w:eastAsia="仿宋"/>
                <w:color w:val="000000" w:themeColor="text1"/>
                <w:sz w:val="24"/>
                <w:szCs w:val="24"/>
              </w:rPr>
            </w:pPr>
            <w:r>
              <w:rPr>
                <w:rFonts w:eastAsia="仿宋"/>
                <w:color w:val="000000" w:themeColor="text1"/>
                <w:sz w:val="24"/>
                <w:szCs w:val="24"/>
              </w:rPr>
              <w:t>邮编：</w:t>
            </w:r>
          </w:p>
        </w:tc>
      </w:tr>
      <w:tr w14:paraId="24DD30A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45B84082">
            <w:pPr>
              <w:spacing w:line="360" w:lineRule="auto"/>
              <w:rPr>
                <w:rFonts w:eastAsia="仿宋"/>
                <w:color w:val="000000" w:themeColor="text1"/>
                <w:sz w:val="24"/>
                <w:szCs w:val="24"/>
              </w:rPr>
            </w:pPr>
            <w:r>
              <w:rPr>
                <w:rFonts w:eastAsia="仿宋"/>
                <w:color w:val="000000" w:themeColor="text1"/>
                <w:sz w:val="24"/>
                <w:szCs w:val="24"/>
              </w:rPr>
              <w:t>法定代表人：</w:t>
            </w:r>
          </w:p>
        </w:tc>
        <w:tc>
          <w:tcPr>
            <w:tcW w:w="4336" w:type="dxa"/>
            <w:vAlign w:val="center"/>
          </w:tcPr>
          <w:p w14:paraId="54E00631">
            <w:pPr>
              <w:spacing w:line="360" w:lineRule="auto"/>
              <w:rPr>
                <w:rFonts w:eastAsia="仿宋"/>
                <w:color w:val="000000" w:themeColor="text1"/>
                <w:sz w:val="24"/>
                <w:szCs w:val="24"/>
              </w:rPr>
            </w:pPr>
            <w:r>
              <w:rPr>
                <w:rFonts w:eastAsia="仿宋"/>
                <w:color w:val="000000" w:themeColor="text1"/>
                <w:sz w:val="24"/>
                <w:szCs w:val="24"/>
              </w:rPr>
              <w:t>法定代表人：</w:t>
            </w:r>
          </w:p>
        </w:tc>
      </w:tr>
      <w:tr w14:paraId="7210A1B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1E039526">
            <w:pPr>
              <w:spacing w:line="360" w:lineRule="auto"/>
              <w:rPr>
                <w:rFonts w:eastAsia="仿宋"/>
                <w:color w:val="000000" w:themeColor="text1"/>
                <w:sz w:val="24"/>
                <w:szCs w:val="24"/>
              </w:rPr>
            </w:pPr>
            <w:r>
              <w:rPr>
                <w:rFonts w:eastAsia="仿宋"/>
                <w:color w:val="000000" w:themeColor="text1"/>
                <w:sz w:val="24"/>
                <w:szCs w:val="24"/>
              </w:rPr>
              <w:t>被授权代表：（签字）</w:t>
            </w:r>
          </w:p>
        </w:tc>
        <w:tc>
          <w:tcPr>
            <w:tcW w:w="4336" w:type="dxa"/>
            <w:vAlign w:val="center"/>
          </w:tcPr>
          <w:p w14:paraId="6BCA9B94">
            <w:pPr>
              <w:spacing w:line="360" w:lineRule="auto"/>
              <w:rPr>
                <w:rFonts w:eastAsia="仿宋"/>
                <w:color w:val="000000" w:themeColor="text1"/>
                <w:sz w:val="24"/>
                <w:szCs w:val="24"/>
              </w:rPr>
            </w:pPr>
            <w:r>
              <w:rPr>
                <w:rFonts w:eastAsia="仿宋"/>
                <w:color w:val="000000" w:themeColor="text1"/>
                <w:sz w:val="24"/>
                <w:szCs w:val="24"/>
              </w:rPr>
              <w:t>被授权代表：（签字）</w:t>
            </w:r>
          </w:p>
        </w:tc>
      </w:tr>
      <w:tr w14:paraId="55CAB78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vAlign w:val="center"/>
          </w:tcPr>
          <w:p w14:paraId="676DBA29">
            <w:pPr>
              <w:spacing w:line="360" w:lineRule="auto"/>
              <w:rPr>
                <w:rFonts w:eastAsia="仿宋"/>
                <w:color w:val="000000" w:themeColor="text1"/>
                <w:sz w:val="24"/>
                <w:szCs w:val="24"/>
              </w:rPr>
            </w:pPr>
            <w:r>
              <w:rPr>
                <w:rFonts w:eastAsia="仿宋"/>
                <w:color w:val="000000" w:themeColor="text1"/>
                <w:sz w:val="24"/>
                <w:szCs w:val="24"/>
              </w:rPr>
              <w:t>电话：</w:t>
            </w:r>
          </w:p>
        </w:tc>
        <w:tc>
          <w:tcPr>
            <w:tcW w:w="4336" w:type="dxa"/>
            <w:vAlign w:val="center"/>
          </w:tcPr>
          <w:p w14:paraId="5E3309DE">
            <w:pPr>
              <w:spacing w:line="360" w:lineRule="auto"/>
              <w:rPr>
                <w:rFonts w:eastAsia="仿宋"/>
                <w:color w:val="000000" w:themeColor="text1"/>
                <w:sz w:val="24"/>
                <w:szCs w:val="24"/>
              </w:rPr>
            </w:pPr>
            <w:r>
              <w:rPr>
                <w:rFonts w:eastAsia="仿宋"/>
                <w:color w:val="000000" w:themeColor="text1"/>
                <w:sz w:val="24"/>
                <w:szCs w:val="24"/>
              </w:rPr>
              <w:t>电话：</w:t>
            </w:r>
          </w:p>
        </w:tc>
      </w:tr>
      <w:tr w14:paraId="2C5BDB4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bottom w:val="single" w:color="auto" w:sz="4" w:space="0"/>
            </w:tcBorders>
            <w:vAlign w:val="center"/>
          </w:tcPr>
          <w:p w14:paraId="0FCA96AC">
            <w:pPr>
              <w:spacing w:line="360" w:lineRule="auto"/>
              <w:rPr>
                <w:rFonts w:eastAsia="仿宋"/>
                <w:color w:val="000000" w:themeColor="text1"/>
                <w:sz w:val="24"/>
                <w:szCs w:val="24"/>
              </w:rPr>
            </w:pPr>
            <w:r>
              <w:rPr>
                <w:rFonts w:eastAsia="仿宋"/>
                <w:color w:val="000000" w:themeColor="text1"/>
                <w:sz w:val="24"/>
                <w:szCs w:val="24"/>
              </w:rPr>
              <w:t>传真：</w:t>
            </w:r>
          </w:p>
        </w:tc>
        <w:tc>
          <w:tcPr>
            <w:tcW w:w="4336" w:type="dxa"/>
            <w:vAlign w:val="center"/>
          </w:tcPr>
          <w:p w14:paraId="38B55AD5">
            <w:pPr>
              <w:spacing w:line="360" w:lineRule="auto"/>
              <w:rPr>
                <w:rFonts w:eastAsia="仿宋"/>
                <w:color w:val="000000" w:themeColor="text1"/>
                <w:sz w:val="24"/>
                <w:szCs w:val="24"/>
              </w:rPr>
            </w:pPr>
            <w:r>
              <w:rPr>
                <w:rFonts w:eastAsia="仿宋"/>
                <w:color w:val="000000" w:themeColor="text1"/>
                <w:sz w:val="24"/>
                <w:szCs w:val="24"/>
              </w:rPr>
              <w:t>传真：</w:t>
            </w:r>
          </w:p>
        </w:tc>
      </w:tr>
      <w:tr w14:paraId="1C1E61E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2EB1B6EF">
            <w:pPr>
              <w:spacing w:line="360" w:lineRule="auto"/>
              <w:rPr>
                <w:rFonts w:eastAsia="仿宋"/>
                <w:color w:val="000000" w:themeColor="text1"/>
                <w:sz w:val="24"/>
                <w:szCs w:val="24"/>
              </w:rPr>
            </w:pPr>
            <w:r>
              <w:rPr>
                <w:rFonts w:eastAsia="仿宋"/>
                <w:color w:val="000000" w:themeColor="text1"/>
                <w:sz w:val="24"/>
                <w:szCs w:val="24"/>
              </w:rPr>
              <w:t>开户银行：</w:t>
            </w:r>
          </w:p>
        </w:tc>
        <w:tc>
          <w:tcPr>
            <w:tcW w:w="4336" w:type="dxa"/>
            <w:vAlign w:val="center"/>
          </w:tcPr>
          <w:p w14:paraId="1BEB667B">
            <w:pPr>
              <w:spacing w:line="360" w:lineRule="auto"/>
              <w:rPr>
                <w:rFonts w:eastAsia="仿宋"/>
                <w:color w:val="000000" w:themeColor="text1"/>
                <w:sz w:val="24"/>
                <w:szCs w:val="24"/>
              </w:rPr>
            </w:pPr>
            <w:r>
              <w:rPr>
                <w:rFonts w:eastAsia="仿宋"/>
                <w:color w:val="000000" w:themeColor="text1"/>
                <w:sz w:val="24"/>
                <w:szCs w:val="24"/>
              </w:rPr>
              <w:t>开户银行：</w:t>
            </w:r>
          </w:p>
        </w:tc>
      </w:tr>
      <w:tr w14:paraId="201CFF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bottom w:val="single" w:color="auto" w:sz="4" w:space="0"/>
            </w:tcBorders>
            <w:vAlign w:val="center"/>
          </w:tcPr>
          <w:p w14:paraId="0F32A289">
            <w:pPr>
              <w:spacing w:line="360" w:lineRule="auto"/>
              <w:rPr>
                <w:rFonts w:eastAsia="仿宋"/>
                <w:color w:val="000000" w:themeColor="text1"/>
                <w:sz w:val="24"/>
                <w:szCs w:val="24"/>
              </w:rPr>
            </w:pPr>
            <w:r>
              <w:rPr>
                <w:rFonts w:eastAsia="仿宋"/>
                <w:color w:val="000000" w:themeColor="text1"/>
                <w:sz w:val="24"/>
                <w:szCs w:val="24"/>
              </w:rPr>
              <w:t>账户名称：</w:t>
            </w:r>
          </w:p>
        </w:tc>
        <w:tc>
          <w:tcPr>
            <w:tcW w:w="4336" w:type="dxa"/>
            <w:tcBorders>
              <w:bottom w:val="single" w:color="auto" w:sz="4" w:space="0"/>
            </w:tcBorders>
            <w:vAlign w:val="center"/>
          </w:tcPr>
          <w:p w14:paraId="793FD241">
            <w:pPr>
              <w:spacing w:line="360" w:lineRule="auto"/>
              <w:rPr>
                <w:rFonts w:eastAsia="仿宋"/>
                <w:color w:val="000000" w:themeColor="text1"/>
                <w:sz w:val="24"/>
                <w:szCs w:val="24"/>
              </w:rPr>
            </w:pPr>
            <w:r>
              <w:rPr>
                <w:rFonts w:eastAsia="仿宋"/>
                <w:color w:val="000000" w:themeColor="text1"/>
                <w:sz w:val="24"/>
                <w:szCs w:val="24"/>
              </w:rPr>
              <w:t>账户名称：</w:t>
            </w:r>
          </w:p>
        </w:tc>
      </w:tr>
      <w:tr w14:paraId="581108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4" w:hRule="atLeast"/>
          <w:jc w:val="center"/>
        </w:trPr>
        <w:tc>
          <w:tcPr>
            <w:tcW w:w="4551" w:type="dxa"/>
            <w:tcBorders>
              <w:top w:val="single" w:color="auto" w:sz="4" w:space="0"/>
            </w:tcBorders>
            <w:vAlign w:val="center"/>
          </w:tcPr>
          <w:p w14:paraId="4F206E09">
            <w:pPr>
              <w:spacing w:line="360" w:lineRule="auto"/>
              <w:rPr>
                <w:rFonts w:eastAsia="仿宋"/>
                <w:color w:val="000000" w:themeColor="text1"/>
                <w:sz w:val="24"/>
                <w:szCs w:val="24"/>
              </w:rPr>
            </w:pPr>
            <w:r>
              <w:rPr>
                <w:rFonts w:eastAsia="仿宋"/>
                <w:color w:val="000000" w:themeColor="text1"/>
                <w:sz w:val="24"/>
                <w:szCs w:val="24"/>
              </w:rPr>
              <w:t>账号:</w:t>
            </w:r>
          </w:p>
        </w:tc>
        <w:tc>
          <w:tcPr>
            <w:tcW w:w="4336" w:type="dxa"/>
            <w:tcBorders>
              <w:top w:val="single" w:color="auto" w:sz="4" w:space="0"/>
            </w:tcBorders>
            <w:vAlign w:val="center"/>
          </w:tcPr>
          <w:p w14:paraId="504CFF2A">
            <w:pPr>
              <w:spacing w:line="360" w:lineRule="auto"/>
              <w:rPr>
                <w:rFonts w:eastAsia="仿宋"/>
                <w:color w:val="000000" w:themeColor="text1"/>
                <w:sz w:val="24"/>
                <w:szCs w:val="24"/>
              </w:rPr>
            </w:pPr>
            <w:r>
              <w:rPr>
                <w:rFonts w:eastAsia="仿宋"/>
                <w:color w:val="000000" w:themeColor="text1"/>
                <w:sz w:val="24"/>
                <w:szCs w:val="24"/>
              </w:rPr>
              <w:t>账号:</w:t>
            </w:r>
          </w:p>
        </w:tc>
      </w:tr>
    </w:tbl>
    <w:p w14:paraId="206EE2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66195"/>
    <w:rsid w:val="00666195"/>
    <w:rsid w:val="007F2EE6"/>
    <w:rsid w:val="00E5505C"/>
    <w:rsid w:val="0DB9113A"/>
    <w:rsid w:val="2E46110A"/>
    <w:rsid w:val="51CB3974"/>
    <w:rsid w:val="54234DA9"/>
    <w:rsid w:val="5D332A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2"/>
    <w:semiHidden/>
    <w:unhideWhenUsed/>
    <w:qFormat/>
    <w:uiPriority w:val="99"/>
    <w:pPr>
      <w:spacing w:after="120"/>
      <w:ind w:left="420" w:leftChars="200"/>
    </w:pPr>
  </w:style>
  <w:style w:type="paragraph" w:styleId="3">
    <w:name w:val="footer"/>
    <w:basedOn w:val="1"/>
    <w:link w:val="10"/>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widowControl/>
      <w:spacing w:before="100" w:beforeAutospacing="1" w:after="100" w:afterAutospacing="1"/>
    </w:pPr>
    <w:rPr>
      <w:rFonts w:ascii="宋体" w:hAnsi="宋体" w:cs="宋体"/>
      <w:kern w:val="0"/>
      <w:sz w:val="24"/>
      <w:szCs w:val="24"/>
    </w:rPr>
  </w:style>
  <w:style w:type="paragraph" w:styleId="6">
    <w:name w:val="Body Text First Indent 2"/>
    <w:basedOn w:val="2"/>
    <w:link w:val="13"/>
    <w:qFormat/>
    <w:uiPriority w:val="99"/>
    <w:pPr>
      <w:spacing w:after="0" w:line="360" w:lineRule="auto"/>
      <w:ind w:left="0" w:leftChars="0" w:firstLine="570"/>
    </w:pPr>
    <w:rPr>
      <w:rFonts w:ascii="Times New Roman" w:hAnsi="Times New Roman"/>
    </w:rPr>
  </w:style>
  <w:style w:type="character" w:styleId="9">
    <w:name w:val="page number"/>
    <w:qFormat/>
    <w:uiPriority w:val="0"/>
    <w:rPr>
      <w:rFonts w:ascii="Times New Roman" w:hAnsi="Times New Roman" w:eastAsia="宋体" w:cs="Times New Roman"/>
    </w:rPr>
  </w:style>
  <w:style w:type="character" w:customStyle="1" w:styleId="10">
    <w:name w:val="页脚 Char"/>
    <w:basedOn w:val="8"/>
    <w:link w:val="3"/>
    <w:semiHidden/>
    <w:qFormat/>
    <w:uiPriority w:val="99"/>
    <w:rPr>
      <w:sz w:val="18"/>
      <w:szCs w:val="18"/>
    </w:rPr>
  </w:style>
  <w:style w:type="character" w:customStyle="1" w:styleId="11">
    <w:name w:val="页眉 Char"/>
    <w:basedOn w:val="8"/>
    <w:link w:val="4"/>
    <w:semiHidden/>
    <w:qFormat/>
    <w:uiPriority w:val="99"/>
    <w:rPr>
      <w:sz w:val="18"/>
      <w:szCs w:val="18"/>
    </w:rPr>
  </w:style>
  <w:style w:type="character" w:customStyle="1" w:styleId="12">
    <w:name w:val="正文文本缩进 Char"/>
    <w:basedOn w:val="8"/>
    <w:link w:val="2"/>
    <w:semiHidden/>
    <w:qFormat/>
    <w:uiPriority w:val="99"/>
    <w:rPr>
      <w:rFonts w:ascii="Calibri" w:hAnsi="Calibri" w:eastAsia="宋体" w:cs="Times New Roman"/>
    </w:rPr>
  </w:style>
  <w:style w:type="character" w:customStyle="1" w:styleId="13">
    <w:name w:val="正文首行缩进 2 Char"/>
    <w:basedOn w:val="12"/>
    <w:link w:val="6"/>
    <w:qFormat/>
    <w:uiPriority w:val="99"/>
    <w:rPr>
      <w:rFonts w:ascii="Times New Roman" w:hAnsi="Times New Roman"/>
    </w:rPr>
  </w:style>
  <w:style w:type="paragraph" w:customStyle="1" w:styleId="14">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1464</Words>
  <Characters>1471</Characters>
  <Lines>20</Lines>
  <Paragraphs>5</Paragraphs>
  <TotalTime>0</TotalTime>
  <ScaleCrop>false</ScaleCrop>
  <LinksUpToDate>false</LinksUpToDate>
  <CharactersWithSpaces>1850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2023-12-12T07:30:00Z</dcterms:created>
  <dc:creator>Administrator</dc:creator>
  <cp:lastModifiedBy>中经招标</cp:lastModifiedBy>
  <dcterms:modified xsi:type="dcterms:W3CDTF">2025-08-11T05:53:10Z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eyJoZGlkIjoiOWJlNDY3NTNiN2U3N2MxMDhiMGU5MzkyYmQzNThmMzYifQ==</vt:lpwstr>
  </property>
  <property fmtid="{D5CDD505-2E9C-101B-9397-08002B2CF9AE}" pid="3" name="KSOProductBuildVer">
    <vt:lpwstr>2052-12.1.0.21915</vt:lpwstr>
  </property>
  <property fmtid="{D5CDD505-2E9C-101B-9397-08002B2CF9AE}" pid="4" name="ICV">
    <vt:lpwstr>621804E321B24F6A8D8AB526A67B352F_12</vt:lpwstr>
  </property>
</Properties>
</file>