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EB9BBE">
      <w:pPr>
        <w:rPr>
          <w:rFonts w:ascii="黑体" w:hAnsi="黑体" w:eastAsia="黑体"/>
          <w:sz w:val="32"/>
          <w:szCs w:val="32"/>
        </w:rPr>
      </w:pPr>
      <w:bookmarkStart w:id="0" w:name="_GoBack"/>
      <w:bookmarkEnd w:id="0"/>
      <w:r>
        <w:rPr>
          <w:rFonts w:hint="eastAsia" w:ascii="黑体" w:hAnsi="黑体" w:eastAsia="黑体"/>
          <w:sz w:val="32"/>
          <w:szCs w:val="32"/>
        </w:rPr>
        <w:t xml:space="preserve">合同编号: </w:t>
      </w:r>
      <w:r>
        <w:rPr>
          <w:rFonts w:hint="eastAsia" w:ascii="黑体" w:hAnsi="黑体" w:eastAsia="黑体"/>
          <w:sz w:val="32"/>
          <w:szCs w:val="32"/>
          <w:u w:val="single"/>
        </w:rPr>
        <w:t>货物类（20   ）     号</w:t>
      </w:r>
      <w:r>
        <w:rPr>
          <w:rFonts w:hint="eastAsia" w:ascii="黑体" w:hAnsi="黑体" w:eastAsia="黑体"/>
          <w:sz w:val="32"/>
          <w:szCs w:val="32"/>
        </w:rPr>
        <w:t xml:space="preserve">                              </w:t>
      </w:r>
    </w:p>
    <w:p w14:paraId="2CFE5606">
      <w:pPr>
        <w:rPr>
          <w:rFonts w:hint="eastAsia" w:ascii="宋体" w:hAnsi="宋体"/>
          <w:sz w:val="24"/>
          <w:szCs w:val="20"/>
        </w:rPr>
      </w:pPr>
      <w:r>
        <w:rPr>
          <w:rFonts w:hint="eastAsia" w:ascii="宋体" w:hAnsi="宋体"/>
          <w:sz w:val="24"/>
          <w:szCs w:val="20"/>
        </w:rPr>
        <w:t xml:space="preserve">              </w:t>
      </w:r>
    </w:p>
    <w:p w14:paraId="3BC24BA5">
      <w:pPr>
        <w:jc w:val="center"/>
        <w:rPr>
          <w:rFonts w:hint="eastAsia" w:ascii="宋体" w:hAnsi="宋体"/>
          <w:sz w:val="24"/>
          <w:szCs w:val="20"/>
        </w:rPr>
      </w:pPr>
    </w:p>
    <w:p w14:paraId="26A220DA">
      <w:pPr>
        <w:jc w:val="center"/>
        <w:rPr>
          <w:rFonts w:hint="eastAsia" w:ascii="宋体" w:hAnsi="宋体"/>
          <w:sz w:val="24"/>
          <w:szCs w:val="20"/>
        </w:rPr>
      </w:pPr>
    </w:p>
    <w:p w14:paraId="16B8E630">
      <w:pPr>
        <w:jc w:val="center"/>
        <w:rPr>
          <w:rFonts w:hint="eastAsia" w:ascii="宋体" w:hAnsi="宋体"/>
          <w:sz w:val="24"/>
          <w:szCs w:val="20"/>
        </w:rPr>
      </w:pPr>
    </w:p>
    <w:p w14:paraId="0AF4878C">
      <w:pPr>
        <w:jc w:val="center"/>
        <w:rPr>
          <w:rFonts w:hint="eastAsia" w:ascii="黑体" w:hAnsi="黑体" w:eastAsia="黑体" w:cs="宋体"/>
          <w:b/>
          <w:sz w:val="72"/>
          <w:szCs w:val="72"/>
          <w:lang w:val="zh-CN"/>
        </w:rPr>
      </w:pPr>
      <w:r>
        <w:rPr>
          <w:rFonts w:hint="eastAsia" w:ascii="黑体" w:hAnsi="黑体" w:eastAsia="黑体" w:cs="宋体"/>
          <w:b/>
          <w:sz w:val="72"/>
          <w:szCs w:val="72"/>
          <w:lang w:val="zh-CN"/>
        </w:rPr>
        <w:t>陕西省人民医院</w:t>
      </w:r>
    </w:p>
    <w:p w14:paraId="538711BA">
      <w:pPr>
        <w:jc w:val="center"/>
        <w:rPr>
          <w:rFonts w:hint="eastAsia" w:ascii="黑体" w:hAnsi="黑体" w:eastAsia="黑体"/>
          <w:b/>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sz w:val="72"/>
          <w:szCs w:val="72"/>
          <w:lang w:val="zh-CN"/>
        </w:rPr>
        <w:t>货物采购项目供货合同</w:t>
      </w:r>
    </w:p>
    <w:p w14:paraId="06C56BE2">
      <w:pPr>
        <w:rPr>
          <w:rFonts w:hint="eastAsia" w:ascii="宋体" w:hAnsi="宋体"/>
          <w:sz w:val="24"/>
          <w:szCs w:val="20"/>
        </w:rPr>
      </w:pPr>
    </w:p>
    <w:p w14:paraId="263A4C23">
      <w:pPr>
        <w:rPr>
          <w:rFonts w:hint="eastAsia" w:ascii="宋体" w:hAnsi="宋体"/>
          <w:sz w:val="24"/>
          <w:szCs w:val="20"/>
        </w:rPr>
      </w:pPr>
    </w:p>
    <w:p w14:paraId="0C0D4FD1">
      <w:pPr>
        <w:rPr>
          <w:rFonts w:hint="eastAsia" w:ascii="宋体" w:hAnsi="宋体"/>
          <w:sz w:val="24"/>
          <w:szCs w:val="20"/>
        </w:rPr>
      </w:pPr>
    </w:p>
    <w:p w14:paraId="1E8CAFED">
      <w:pPr>
        <w:rPr>
          <w:rFonts w:hint="eastAsia" w:ascii="宋体" w:hAnsi="宋体"/>
          <w:sz w:val="24"/>
          <w:szCs w:val="20"/>
        </w:rPr>
      </w:pPr>
    </w:p>
    <w:p w14:paraId="6BC898AB">
      <w:pPr>
        <w:rPr>
          <w:rFonts w:hint="eastAsia" w:ascii="宋体" w:hAnsi="宋体"/>
          <w:sz w:val="24"/>
          <w:szCs w:val="20"/>
        </w:rPr>
      </w:pPr>
    </w:p>
    <w:p w14:paraId="673EB414">
      <w:pPr>
        <w:rPr>
          <w:rFonts w:hint="eastAsia" w:ascii="宋体" w:hAnsi="宋体"/>
          <w:sz w:val="24"/>
          <w:szCs w:val="20"/>
        </w:rPr>
      </w:pPr>
    </w:p>
    <w:p w14:paraId="085BAA62">
      <w:pPr>
        <w:rPr>
          <w:rFonts w:hint="eastAsia" w:ascii="宋体" w:hAnsi="宋体"/>
          <w:sz w:val="24"/>
          <w:szCs w:val="20"/>
        </w:rPr>
      </w:pPr>
    </w:p>
    <w:p w14:paraId="5A784BAA">
      <w:pPr>
        <w:rPr>
          <w:rFonts w:hint="eastAsia" w:ascii="宋体" w:hAnsi="宋体"/>
          <w:sz w:val="24"/>
          <w:szCs w:val="20"/>
        </w:rPr>
      </w:pPr>
    </w:p>
    <w:p w14:paraId="680F15A8">
      <w:pPr>
        <w:ind w:firstLine="2393" w:firstLineChars="745"/>
        <w:jc w:val="left"/>
        <w:rPr>
          <w:rFonts w:hint="default" w:ascii="宋体" w:hAnsi="宋体" w:eastAsia="宋体"/>
          <w:b/>
          <w:sz w:val="32"/>
          <w:szCs w:val="32"/>
          <w:highlight w:val="yellow"/>
          <w:lang w:val="en-US" w:eastAsia="zh-CN"/>
        </w:rPr>
      </w:pPr>
      <w:r>
        <w:rPr>
          <w:rFonts w:hint="eastAsia" w:ascii="宋体" w:hAnsi="宋体"/>
          <w:b/>
          <w:sz w:val="32"/>
          <w:szCs w:val="32"/>
        </w:rPr>
        <w:t>项目编号：</w:t>
      </w:r>
      <w:r>
        <w:rPr>
          <w:rFonts w:hint="eastAsia" w:ascii="宋体" w:hAnsi="宋体" w:eastAsia="宋体" w:cs="宋体"/>
          <w:b/>
          <w:sz w:val="28"/>
        </w:rPr>
        <w:t>2025-HZZB-</w:t>
      </w:r>
      <w:r>
        <w:rPr>
          <w:rFonts w:hint="eastAsia" w:ascii="宋体" w:hAnsi="宋体" w:eastAsia="宋体" w:cs="宋体"/>
          <w:b/>
          <w:sz w:val="28"/>
          <w:lang w:val="en-US" w:eastAsia="zh-CN"/>
        </w:rPr>
        <w:t>066</w:t>
      </w:r>
      <w:r>
        <w:rPr>
          <w:rFonts w:hint="eastAsia" w:ascii="宋体" w:hAnsi="宋体"/>
          <w:b/>
          <w:sz w:val="32"/>
          <w:szCs w:val="32"/>
          <w:highlight w:val="yellow"/>
          <w:lang w:val="en-US" w:eastAsia="zh-CN"/>
        </w:rPr>
        <w:t xml:space="preserve">   </w:t>
      </w:r>
    </w:p>
    <w:p w14:paraId="2AB3090B">
      <w:pPr>
        <w:ind w:firstLine="2393" w:firstLineChars="745"/>
        <w:jc w:val="left"/>
        <w:rPr>
          <w:rFonts w:hint="default" w:ascii="宋体" w:hAnsi="宋体" w:eastAsia="宋体"/>
          <w:b/>
          <w:sz w:val="32"/>
          <w:szCs w:val="32"/>
          <w:highlight w:val="yellow"/>
          <w:lang w:val="en-US" w:eastAsia="zh-CN"/>
        </w:rPr>
      </w:pPr>
      <w:r>
        <w:rPr>
          <w:rFonts w:hint="eastAsia" w:ascii="宋体" w:hAnsi="宋体"/>
          <w:b/>
          <w:sz w:val="32"/>
          <w:szCs w:val="32"/>
        </w:rPr>
        <w:t>采购项目：</w:t>
      </w:r>
      <w:r>
        <w:rPr>
          <w:rFonts w:hint="eastAsia"/>
          <w:b/>
          <w:sz w:val="28"/>
          <w:lang w:eastAsia="zh-CN"/>
        </w:rPr>
        <w:t>全院办公及日杂用品采购项目</w:t>
      </w:r>
      <w:r>
        <w:rPr>
          <w:rFonts w:hint="eastAsia" w:ascii="宋体" w:hAnsi="宋体"/>
          <w:b/>
          <w:sz w:val="32"/>
          <w:szCs w:val="32"/>
          <w:highlight w:val="yellow"/>
          <w:lang w:val="en-US" w:eastAsia="zh-CN"/>
        </w:rPr>
        <w:t xml:space="preserve">    </w:t>
      </w:r>
    </w:p>
    <w:p w14:paraId="38202947">
      <w:pPr>
        <w:ind w:firstLine="2393" w:firstLineChars="745"/>
        <w:rPr>
          <w:rFonts w:hint="eastAsia" w:ascii="宋体" w:hAnsi="宋体"/>
          <w:b/>
          <w:sz w:val="32"/>
          <w:szCs w:val="32"/>
        </w:rPr>
      </w:pPr>
      <w:r>
        <w:rPr>
          <w:rFonts w:hint="eastAsia" w:ascii="宋体" w:hAnsi="宋体"/>
          <w:b/>
          <w:sz w:val="32"/>
          <w:szCs w:val="32"/>
        </w:rPr>
        <w:t>采购单位：陕西省人民医院</w:t>
      </w:r>
    </w:p>
    <w:p w14:paraId="3E0C5ABB">
      <w:pPr>
        <w:ind w:firstLine="2393" w:firstLineChars="745"/>
        <w:rPr>
          <w:rFonts w:hint="default" w:ascii="宋体" w:hAnsi="宋体" w:eastAsia="宋体"/>
          <w:b/>
          <w:sz w:val="32"/>
          <w:szCs w:val="32"/>
          <w:highlight w:val="yellow"/>
          <w:lang w:val="en-US" w:eastAsia="zh-CN"/>
        </w:rPr>
      </w:pPr>
      <w:r>
        <w:rPr>
          <w:rFonts w:hint="eastAsia" w:ascii="宋体" w:hAnsi="宋体"/>
          <w:b/>
          <w:sz w:val="32"/>
          <w:szCs w:val="32"/>
        </w:rPr>
        <w:t>供货单位：</w:t>
      </w:r>
      <w:r>
        <w:rPr>
          <w:rFonts w:hint="eastAsia" w:ascii="宋体" w:hAnsi="宋体"/>
          <w:b/>
          <w:sz w:val="32"/>
          <w:szCs w:val="32"/>
          <w:highlight w:val="yellow"/>
          <w:lang w:val="en-US" w:eastAsia="zh-CN"/>
        </w:rPr>
        <w:t xml:space="preserve">    </w:t>
      </w:r>
    </w:p>
    <w:p w14:paraId="49B97C0E">
      <w:pPr>
        <w:ind w:firstLine="2393" w:firstLineChars="745"/>
        <w:rPr>
          <w:rFonts w:hint="default" w:ascii="宋体" w:hAnsi="宋体" w:eastAsia="宋体"/>
          <w:b/>
          <w:sz w:val="32"/>
          <w:szCs w:val="32"/>
          <w:highlight w:val="yellow"/>
          <w:lang w:val="en-US" w:eastAsia="zh-CN"/>
        </w:rPr>
      </w:pPr>
      <w:r>
        <w:rPr>
          <w:rFonts w:hint="eastAsia" w:ascii="宋体" w:hAnsi="宋体"/>
          <w:b/>
          <w:sz w:val="32"/>
          <w:szCs w:val="32"/>
        </w:rPr>
        <w:t>招标代理：</w:t>
      </w:r>
      <w:r>
        <w:rPr>
          <w:rFonts w:hint="eastAsia"/>
          <w:b/>
          <w:sz w:val="28"/>
          <w:lang w:eastAsia="zh-CN"/>
        </w:rPr>
        <w:t>衡正国际工程咨询有限公司</w:t>
      </w:r>
      <w:r>
        <w:rPr>
          <w:rFonts w:hint="eastAsia" w:ascii="宋体" w:hAnsi="宋体"/>
          <w:b/>
          <w:sz w:val="32"/>
          <w:szCs w:val="32"/>
          <w:highlight w:val="yellow"/>
          <w:lang w:val="en-US" w:eastAsia="zh-CN"/>
        </w:rPr>
        <w:t xml:space="preserve">    </w:t>
      </w:r>
    </w:p>
    <w:p w14:paraId="53BB0F25">
      <w:pPr>
        <w:jc w:val="center"/>
        <w:rPr>
          <w:rFonts w:hint="eastAsia" w:ascii="宋体" w:hAnsi="宋体"/>
          <w:b/>
          <w:sz w:val="32"/>
          <w:szCs w:val="32"/>
        </w:rPr>
      </w:pPr>
    </w:p>
    <w:p w14:paraId="12F45BDB">
      <w:pPr>
        <w:jc w:val="center"/>
        <w:rPr>
          <w:rFonts w:hint="eastAsia" w:ascii="宋体" w:hAnsi="宋体"/>
          <w:b/>
          <w:sz w:val="32"/>
          <w:szCs w:val="32"/>
        </w:rPr>
      </w:pPr>
    </w:p>
    <w:p w14:paraId="3DB65A2C">
      <w:pPr>
        <w:jc w:val="center"/>
        <w:rPr>
          <w:rFonts w:hint="eastAsia" w:ascii="宋体" w:hAnsi="宋体"/>
          <w:b/>
          <w:sz w:val="32"/>
          <w:szCs w:val="32"/>
        </w:rPr>
      </w:pPr>
    </w:p>
    <w:p w14:paraId="172087CD">
      <w:pPr>
        <w:jc w:val="center"/>
        <w:rPr>
          <w:rFonts w:hint="eastAsia" w:ascii="宋体" w:hAnsi="宋体"/>
          <w:b/>
          <w:sz w:val="32"/>
          <w:szCs w:val="32"/>
        </w:rPr>
      </w:pPr>
      <w:r>
        <w:rPr>
          <w:rFonts w:hint="eastAsia" w:ascii="宋体" w:hAnsi="宋体"/>
          <w:b/>
          <w:sz w:val="32"/>
          <w:szCs w:val="32"/>
        </w:rPr>
        <w:t xml:space="preserve">    </w:t>
      </w:r>
    </w:p>
    <w:p w14:paraId="5B6651C0">
      <w:pPr>
        <w:jc w:val="center"/>
        <w:rPr>
          <w:rFonts w:hint="eastAsia" w:ascii="宋体" w:hAnsi="宋体"/>
          <w:b/>
          <w:sz w:val="32"/>
          <w:szCs w:val="32"/>
        </w:rPr>
      </w:pPr>
      <w:r>
        <w:rPr>
          <w:rFonts w:hint="eastAsia" w:ascii="宋体" w:hAnsi="宋体"/>
          <w:b/>
          <w:sz w:val="32"/>
          <w:szCs w:val="32"/>
        </w:rPr>
        <w:t xml:space="preserve">   年 </w:t>
      </w:r>
      <w:r>
        <w:rPr>
          <w:rFonts w:hint="eastAsia" w:ascii="宋体" w:hAnsi="宋体"/>
          <w:b/>
          <w:sz w:val="32"/>
          <w:szCs w:val="32"/>
          <w:lang w:val="en-US" w:eastAsia="zh-CN"/>
        </w:rPr>
        <w:t xml:space="preserve">  </w:t>
      </w:r>
      <w:r>
        <w:rPr>
          <w:rFonts w:hint="eastAsia" w:ascii="宋体" w:hAnsi="宋体"/>
          <w:b/>
          <w:sz w:val="32"/>
          <w:szCs w:val="32"/>
        </w:rPr>
        <w:t>月</w:t>
      </w:r>
      <w:r>
        <w:rPr>
          <w:rFonts w:hint="eastAsia" w:ascii="宋体" w:hAnsi="宋体"/>
          <w:b/>
          <w:sz w:val="32"/>
          <w:szCs w:val="32"/>
          <w:lang w:val="en-US" w:eastAsia="zh-CN"/>
        </w:rPr>
        <w:t xml:space="preserve">   </w:t>
      </w:r>
      <w:r>
        <w:rPr>
          <w:rFonts w:hint="eastAsia" w:ascii="宋体" w:hAnsi="宋体"/>
          <w:b/>
          <w:sz w:val="32"/>
          <w:szCs w:val="32"/>
        </w:rPr>
        <w:t>日</w:t>
      </w:r>
    </w:p>
    <w:p w14:paraId="260FDF99">
      <w:pPr>
        <w:rPr>
          <w:rFonts w:hint="eastAsia" w:ascii="宋体" w:hAnsi="宋体"/>
          <w:b/>
          <w:sz w:val="24"/>
        </w:rPr>
      </w:pPr>
    </w:p>
    <w:p w14:paraId="15E4D492">
      <w:pPr>
        <w:jc w:val="center"/>
        <w:rPr>
          <w:rFonts w:hint="eastAsia" w:ascii="宋体" w:hAnsi="宋体"/>
          <w:b/>
          <w:sz w:val="48"/>
          <w:szCs w:val="48"/>
        </w:rPr>
        <w:sectPr>
          <w:headerReference r:id="rId3" w:type="default"/>
          <w:footerReference r:id="rId4" w:type="default"/>
          <w:pgSz w:w="11906" w:h="16838"/>
          <w:pgMar w:top="1247" w:right="1588" w:bottom="1361" w:left="1474" w:header="851" w:footer="992" w:gutter="0"/>
          <w:pgNumType w:start="1"/>
          <w:cols w:space="720" w:num="1"/>
          <w:docGrid w:type="lines" w:linePitch="498" w:charSpace="0"/>
        </w:sectPr>
      </w:pPr>
    </w:p>
    <w:p w14:paraId="2CAFF683">
      <w:pPr>
        <w:jc w:val="center"/>
        <w:rPr>
          <w:rFonts w:hint="eastAsia" w:ascii="宋体" w:hAnsi="宋体"/>
          <w:b/>
          <w:sz w:val="48"/>
          <w:szCs w:val="48"/>
        </w:rPr>
      </w:pPr>
      <w:r>
        <w:rPr>
          <w:rFonts w:hint="eastAsia" w:ascii="宋体" w:hAnsi="宋体"/>
          <w:b/>
          <w:sz w:val="48"/>
          <w:szCs w:val="48"/>
        </w:rPr>
        <w:t>供 货 合 同</w:t>
      </w:r>
    </w:p>
    <w:p w14:paraId="677A380B">
      <w:pPr>
        <w:spacing w:line="460" w:lineRule="exact"/>
        <w:rPr>
          <w:rFonts w:hint="eastAsia" w:ascii="宋体" w:hAnsi="宋体" w:cs="宋体"/>
          <w:sz w:val="24"/>
        </w:rPr>
      </w:pPr>
      <w:r>
        <w:rPr>
          <w:rFonts w:hint="eastAsia" w:ascii="宋体" w:hAnsi="宋体" w:cs="宋体"/>
          <w:sz w:val="24"/>
          <w:lang w:val="zh-CN"/>
        </w:rPr>
        <w:t>甲方：陕西省人民医院</w:t>
      </w:r>
      <w:r>
        <w:rPr>
          <w:rFonts w:hint="eastAsia" w:ascii="宋体" w:hAnsi="宋体" w:cs="宋体"/>
          <w:sz w:val="24"/>
        </w:rPr>
        <w:t xml:space="preserve">           </w:t>
      </w:r>
    </w:p>
    <w:p w14:paraId="0C383F3D">
      <w:pPr>
        <w:spacing w:line="460" w:lineRule="exact"/>
        <w:rPr>
          <w:rFonts w:hint="eastAsia" w:ascii="宋体" w:hAnsi="宋体" w:cs="宋体"/>
          <w:sz w:val="24"/>
          <w:lang w:val="zh-CN"/>
        </w:rPr>
      </w:pPr>
      <w:r>
        <w:rPr>
          <w:rFonts w:hint="eastAsia" w:ascii="宋体" w:hAnsi="宋体" w:cs="宋体"/>
          <w:sz w:val="24"/>
        </w:rPr>
        <w:t xml:space="preserve">      </w:t>
      </w:r>
      <w:r>
        <w:rPr>
          <w:rFonts w:hint="eastAsia" w:ascii="宋体" w:hAnsi="宋体" w:cs="宋体"/>
          <w:sz w:val="24"/>
          <w:lang w:val="zh-CN"/>
        </w:rPr>
        <w:t xml:space="preserve">法定代表人:宋张骏      </w:t>
      </w:r>
      <w:r>
        <w:rPr>
          <w:rFonts w:hint="eastAsia" w:ascii="宋体" w:hAnsi="宋体" w:cs="宋体"/>
          <w:sz w:val="24"/>
        </w:rPr>
        <w:t xml:space="preserve">   </w:t>
      </w:r>
      <w:r>
        <w:rPr>
          <w:rFonts w:hint="eastAsia" w:ascii="宋体" w:hAnsi="宋体" w:cs="宋体"/>
          <w:sz w:val="24"/>
          <w:lang w:val="zh-CN"/>
        </w:rPr>
        <w:t>住所地：西安</w:t>
      </w:r>
      <w:r>
        <w:rPr>
          <w:rFonts w:hint="eastAsia" w:ascii="宋体" w:hAnsi="宋体" w:cs="宋体"/>
          <w:sz w:val="24"/>
        </w:rPr>
        <w:t>市碑林区</w:t>
      </w:r>
      <w:r>
        <w:rPr>
          <w:rFonts w:hint="eastAsia" w:ascii="宋体" w:hAnsi="宋体" w:cs="宋体"/>
          <w:sz w:val="24"/>
          <w:lang w:val="zh-CN"/>
        </w:rPr>
        <w:t>友谊西路256号</w:t>
      </w:r>
      <w:r>
        <w:rPr>
          <w:rFonts w:hint="eastAsia" w:ascii="宋体" w:hAnsi="宋体" w:cs="宋体"/>
          <w:sz w:val="24"/>
        </w:rPr>
        <w:t xml:space="preserve">             </w:t>
      </w:r>
    </w:p>
    <w:p w14:paraId="7F2F4D68">
      <w:pPr>
        <w:spacing w:line="460" w:lineRule="exact"/>
        <w:rPr>
          <w:rFonts w:hint="default" w:ascii="宋体" w:hAnsi="宋体" w:eastAsia="宋体" w:cs="宋体"/>
          <w:sz w:val="24"/>
          <w:highlight w:val="yellow"/>
          <w:lang w:val="en-US" w:eastAsia="zh-CN"/>
        </w:rPr>
      </w:pPr>
      <w:r>
        <w:rPr>
          <w:rFonts w:hint="eastAsia" w:ascii="宋体" w:hAnsi="宋体" w:cs="宋体"/>
          <w:sz w:val="24"/>
          <w:lang w:val="zh-CN"/>
        </w:rPr>
        <w:t>乙方：</w:t>
      </w:r>
      <w:r>
        <w:rPr>
          <w:rFonts w:hint="eastAsia" w:ascii="宋体" w:hAnsi="宋体" w:cs="宋体"/>
          <w:sz w:val="24"/>
          <w:highlight w:val="yellow"/>
          <w:lang w:val="en-US" w:eastAsia="zh-CN"/>
        </w:rPr>
        <w:t xml:space="preserve">    </w:t>
      </w:r>
    </w:p>
    <w:p w14:paraId="25CEF1AA">
      <w:pPr>
        <w:spacing w:line="460" w:lineRule="exact"/>
        <w:ind w:left="4800" w:hanging="4800" w:hangingChars="2000"/>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zh-CN"/>
        </w:rPr>
        <w:t>法定代表人:</w:t>
      </w:r>
      <w:r>
        <w:rPr>
          <w:rFonts w:hint="eastAsia" w:ascii="宋体" w:hAnsi="宋体" w:cs="宋体"/>
          <w:sz w:val="24"/>
          <w:highlight w:val="yellow"/>
        </w:rPr>
        <w:t xml:space="preserve">           </w:t>
      </w:r>
      <w:r>
        <w:rPr>
          <w:rFonts w:hint="eastAsia" w:ascii="宋体" w:hAnsi="宋体" w:cs="宋体"/>
          <w:sz w:val="24"/>
          <w:lang w:val="zh-CN"/>
        </w:rPr>
        <w:t>住所地：</w:t>
      </w:r>
      <w:r>
        <w:rPr>
          <w:rFonts w:hint="eastAsia" w:ascii="宋体" w:hAnsi="宋体" w:cs="宋体"/>
          <w:sz w:val="24"/>
          <w:highlight w:val="yellow"/>
        </w:rPr>
        <w:t xml:space="preserve">                              </w:t>
      </w:r>
      <w:r>
        <w:rPr>
          <w:rFonts w:hint="eastAsia" w:ascii="宋体" w:hAnsi="宋体" w:cs="宋体"/>
          <w:sz w:val="24"/>
        </w:rPr>
        <w:t xml:space="preserve">  </w:t>
      </w:r>
    </w:p>
    <w:p w14:paraId="0958538E">
      <w:pPr>
        <w:spacing w:line="460" w:lineRule="exact"/>
        <w:rPr>
          <w:rFonts w:hint="eastAsia" w:ascii="宋体" w:hAnsi="宋体"/>
          <w:sz w:val="24"/>
          <w:u w:val="single"/>
        </w:rPr>
      </w:pPr>
      <w:r>
        <w:rPr>
          <w:rFonts w:hint="eastAsia" w:ascii="宋体" w:hAnsi="宋体" w:cs="宋体"/>
          <w:sz w:val="24"/>
        </w:rPr>
        <w:t xml:space="preserve">    </w:t>
      </w:r>
      <w:r>
        <w:rPr>
          <w:rFonts w:hint="eastAsia" w:ascii="宋体" w:hAnsi="宋体" w:cs="宋体"/>
          <w:sz w:val="24"/>
          <w:lang w:val="zh-CN"/>
        </w:rPr>
        <w:t>陕西省人民医院</w:t>
      </w:r>
      <w:r>
        <w:rPr>
          <w:rFonts w:hint="eastAsia" w:ascii="宋体" w:hAnsi="宋体" w:cs="宋体"/>
          <w:sz w:val="24"/>
          <w:u w:val="single"/>
          <w:lang w:val="zh-CN"/>
        </w:rPr>
        <w:t>全院办公及日杂用品</w:t>
      </w:r>
      <w:r>
        <w:rPr>
          <w:rFonts w:hint="eastAsia" w:ascii="宋体" w:hAnsi="宋体" w:cs="宋体"/>
          <w:sz w:val="24"/>
          <w:u w:val="single"/>
          <w:lang w:val="en-US" w:eastAsia="zh-CN"/>
        </w:rPr>
        <w:t xml:space="preserve"> </w:t>
      </w:r>
      <w:r>
        <w:rPr>
          <w:rFonts w:hint="eastAsia" w:ascii="宋体" w:hAnsi="宋体" w:cs="宋体"/>
          <w:sz w:val="24"/>
          <w:lang w:val="zh-CN"/>
        </w:rPr>
        <w:t>采购项目</w:t>
      </w:r>
      <w:r>
        <w:rPr>
          <w:rFonts w:hint="eastAsia" w:ascii="宋体" w:hAnsi="宋体"/>
          <w:sz w:val="24"/>
        </w:rPr>
        <w:t>，由</w:t>
      </w:r>
      <w:r>
        <w:rPr>
          <w:rFonts w:hint="eastAsia" w:ascii="宋体" w:hAnsi="宋体"/>
          <w:sz w:val="24"/>
          <w:highlight w:val="yellow"/>
          <w:u w:val="single"/>
        </w:rPr>
        <w:t xml:space="preserve"> </w:t>
      </w:r>
      <w:r>
        <w:rPr>
          <w:rFonts w:hint="eastAsia" w:ascii="宋体" w:hAnsi="宋体"/>
          <w:sz w:val="24"/>
          <w:highlight w:val="yellow"/>
          <w:u w:val="single"/>
          <w:lang w:eastAsia="zh-CN"/>
        </w:rPr>
        <w:t>衡正国际工程咨询有限公司</w:t>
      </w:r>
      <w:r>
        <w:rPr>
          <w:rFonts w:hint="eastAsia" w:ascii="宋体" w:hAnsi="宋体"/>
          <w:sz w:val="24"/>
          <w:highlight w:val="yellow"/>
          <w:u w:val="single"/>
          <w:lang w:val="en-US" w:eastAsia="zh-CN"/>
        </w:rPr>
        <w:t xml:space="preserve"> </w:t>
      </w:r>
      <w:r>
        <w:rPr>
          <w:rFonts w:hint="eastAsia" w:ascii="宋体" w:hAnsi="宋体"/>
          <w:sz w:val="24"/>
        </w:rPr>
        <w:t>组织</w:t>
      </w:r>
      <w:r>
        <w:rPr>
          <w:rFonts w:hint="eastAsia" w:ascii="宋体" w:hAnsi="宋体"/>
          <w:sz w:val="24"/>
          <w:highlight w:val="yellow"/>
          <w:u w:val="single"/>
        </w:rPr>
        <w:t xml:space="preserve">   </w:t>
      </w:r>
      <w:r>
        <w:rPr>
          <w:rFonts w:hint="eastAsia" w:ascii="宋体" w:hAnsi="宋体"/>
          <w:sz w:val="24"/>
          <w:highlight w:val="yellow"/>
          <w:u w:val="single"/>
          <w:lang w:eastAsia="zh-CN"/>
        </w:rPr>
        <w:t>公开</w:t>
      </w:r>
      <w:r>
        <w:rPr>
          <w:rFonts w:hint="eastAsia" w:ascii="宋体" w:hAnsi="宋体"/>
          <w:sz w:val="24"/>
          <w:highlight w:val="yellow"/>
          <w:u w:val="single"/>
        </w:rPr>
        <w:t xml:space="preserve">   </w:t>
      </w:r>
      <w:r>
        <w:rPr>
          <w:rFonts w:hint="eastAsia" w:ascii="宋体" w:hAnsi="宋体"/>
          <w:sz w:val="24"/>
          <w:u w:val="single"/>
        </w:rPr>
        <w:t xml:space="preserve"> </w:t>
      </w:r>
      <w:r>
        <w:rPr>
          <w:rFonts w:hint="eastAsia" w:ascii="宋体" w:hAnsi="宋体"/>
          <w:sz w:val="24"/>
        </w:rPr>
        <w:t>招标，选定</w:t>
      </w:r>
      <w:r>
        <w:rPr>
          <w:rFonts w:hint="eastAsia" w:ascii="宋体" w:hAnsi="宋体"/>
          <w:sz w:val="24"/>
          <w:highlight w:val="yellow"/>
          <w:u w:val="single"/>
        </w:rPr>
        <w:t xml:space="preserve">     </w:t>
      </w:r>
      <w:r>
        <w:rPr>
          <w:rFonts w:hint="eastAsia" w:ascii="宋体" w:hAnsi="宋体"/>
          <w:sz w:val="24"/>
        </w:rPr>
        <w:t>公司为中标单位。经陕西省人民医院（以下简称甲方）与</w:t>
      </w:r>
      <w:r>
        <w:rPr>
          <w:rFonts w:hint="eastAsia" w:ascii="宋体" w:hAnsi="宋体"/>
          <w:sz w:val="24"/>
          <w:highlight w:val="yellow"/>
          <w:u w:val="single"/>
        </w:rPr>
        <w:t xml:space="preserve">    </w:t>
      </w:r>
      <w:r>
        <w:rPr>
          <w:rFonts w:hint="eastAsia" w:ascii="宋体" w:hAnsi="宋体"/>
          <w:sz w:val="24"/>
        </w:rPr>
        <w:t>公司（以下简称乙方）共同协商，达成如下合同条款。</w:t>
      </w:r>
    </w:p>
    <w:p w14:paraId="38A5C0C9">
      <w:pPr>
        <w:numPr>
          <w:ilvl w:val="0"/>
          <w:numId w:val="1"/>
        </w:numPr>
        <w:spacing w:line="460" w:lineRule="exact"/>
        <w:ind w:left="0" w:firstLine="482" w:firstLineChars="200"/>
        <w:rPr>
          <w:rFonts w:hint="eastAsia" w:ascii="宋体" w:hAnsi="宋体"/>
          <w:b/>
          <w:sz w:val="24"/>
        </w:rPr>
      </w:pPr>
      <w:r>
        <w:rPr>
          <w:rFonts w:hint="eastAsia" w:ascii="宋体" w:hAnsi="宋体"/>
          <w:b/>
          <w:sz w:val="24"/>
        </w:rPr>
        <w:t xml:space="preserve"> 合同内容及价款（单位：元）</w:t>
      </w:r>
    </w:p>
    <w:p w14:paraId="358BB204">
      <w:pPr>
        <w:numPr>
          <w:ilvl w:val="0"/>
          <w:numId w:val="2"/>
        </w:numPr>
        <w:ind w:left="120" w:leftChars="0" w:firstLine="0" w:firstLineChars="0"/>
        <w:rPr>
          <w:rFonts w:hint="eastAsia" w:ascii="宋体" w:hAnsi="宋体"/>
          <w:sz w:val="24"/>
        </w:rPr>
      </w:pPr>
      <w:r>
        <w:rPr>
          <w:rFonts w:hint="eastAsia" w:ascii="宋体" w:hAnsi="宋体"/>
          <w:sz w:val="24"/>
        </w:rPr>
        <w:t>中标货物品牌、规格、产地、数量、单价：</w:t>
      </w:r>
    </w:p>
    <w:tbl>
      <w:tblPr>
        <w:tblStyle w:val="13"/>
        <w:tblW w:w="85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15"/>
        <w:gridCol w:w="660"/>
        <w:gridCol w:w="1210"/>
        <w:gridCol w:w="4350"/>
        <w:gridCol w:w="700"/>
        <w:gridCol w:w="1063"/>
      </w:tblGrid>
      <w:tr w14:paraId="2CBF1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0" w:hRule="atLeast"/>
          <w:jc w:val="center"/>
        </w:trPr>
        <w:tc>
          <w:tcPr>
            <w:tcW w:w="35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5EE6E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分类</w:t>
            </w: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4F5A3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序号</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D272E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物资名称</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71230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规格/材质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058B80">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单位</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71E3B15">
            <w:pPr>
              <w:keepNext w:val="0"/>
              <w:keepLines w:val="0"/>
              <w:widowControl/>
              <w:suppressLineNumbers w:val="0"/>
              <w:jc w:val="center"/>
              <w:textAlignment w:val="center"/>
              <w:rPr>
                <w:rFonts w:hint="eastAsia" w:ascii="宋体" w:hAnsi="宋体" w:eastAsia="宋体" w:cs="宋体"/>
                <w:b/>
                <w:bCs/>
                <w:i w:val="0"/>
                <w:iCs w:val="0"/>
                <w:snapToGrid w:val="0"/>
                <w:color w:val="000000"/>
                <w:kern w:val="0"/>
                <w:sz w:val="20"/>
                <w:szCs w:val="20"/>
                <w:u w:val="none"/>
                <w:lang w:val="en-US" w:eastAsia="zh-CN" w:bidi="ar"/>
              </w:rPr>
            </w:pPr>
            <w:r>
              <w:rPr>
                <w:rFonts w:hint="eastAsia" w:ascii="宋体" w:hAnsi="宋体" w:eastAsia="宋体" w:cs="宋体"/>
                <w:b/>
                <w:bCs/>
                <w:i w:val="0"/>
                <w:iCs w:val="0"/>
                <w:snapToGrid w:val="0"/>
                <w:color w:val="000000"/>
                <w:kern w:val="0"/>
                <w:sz w:val="20"/>
                <w:szCs w:val="20"/>
                <w:u w:val="none"/>
                <w:lang w:val="en-US" w:eastAsia="zh-CN" w:bidi="ar"/>
              </w:rPr>
              <w:t>单价</w:t>
            </w:r>
          </w:p>
          <w:p w14:paraId="7D0EA1E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（元）</w:t>
            </w:r>
          </w:p>
        </w:tc>
      </w:tr>
      <w:tr w14:paraId="3648B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restart"/>
            <w:tcBorders>
              <w:top w:val="single" w:color="000000" w:sz="4" w:space="0"/>
              <w:left w:val="single" w:color="000000" w:sz="4" w:space="0"/>
              <w:bottom w:val="nil"/>
              <w:right w:val="single" w:color="000000" w:sz="4" w:space="0"/>
            </w:tcBorders>
            <w:shd w:val="clear" w:color="auto" w:fill="auto"/>
            <w:noWrap w:val="0"/>
            <w:vAlign w:val="center"/>
          </w:tcPr>
          <w:p w14:paraId="1B5A00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办公用品</w:t>
            </w: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C05B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D053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中性笔</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256B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蓝、黑、红色，0.5mm，按压式、国内知名一线品牌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B262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1CBFB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30619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003EDFD4">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7E27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E5EF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中性笔芯</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EE8BD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蓝、黑、红色，0.5mm，同品牌配套更换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C224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0D6759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36BA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1CFF934">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D47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95E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签字笔</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DBD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黑色、0.7-1.0mm，拔冒，国内知名一线品牌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B13F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43DDC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326E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7B5CC75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F32B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881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圆珠笔</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7362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塑料笔筒，0.5mm中油，蓝、红色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3289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5CC8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E8E1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4F8024E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3F5D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F338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圆珠笔芯</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8862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配套圆珠笔更换、0.5mm中油、蓝色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BEDF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B01F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E166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03C0F3B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EBDC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0D53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记号笔</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69AF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塑料笔杆双头、黑色、红色、书写端0.7mm，国内知名一线品牌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0A5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69391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FC6F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7F49F31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0AAC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5AA2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白板笔</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7795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国内知名品牌、易写易擦</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DDA1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4039FF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E995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4839ED8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E474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055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铅笔</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988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HB</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F45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根</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BA7F6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95B9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2EFEF6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53F8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62BD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钢笔</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AB5D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金属笔身</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6A9C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C931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8F47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0DC2F27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1FC5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C5AE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墨水</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06F7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墨蓝色、55ml</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576B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49046E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66B6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89DC6D0">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E75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5055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美工刀</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C91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210*79*26，不锈钢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2FA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把</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BF9BB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F267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B4F275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6C5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5A2E7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美工刀片</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2E9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适配美工刀更换刀片（10片）</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B44D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CA93F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3AB1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4CD36F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4B09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82C2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铁剪刀</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56AD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全长215mm，柄宽95mm、刃长64mm、不锈钢材质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F6E1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把</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17173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2CEB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1C10DE6">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CC70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9E40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办公剪刀</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B694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全长180mm，塑料手柄、钢制刀刃、国内一线品牌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7080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把</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ADD9A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1693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0F06580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4A77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4C3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宽胶带</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3B6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60mm*60y*50um，透明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3A54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卷</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E8A62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86CD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414EDE5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40FF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91D2E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小胶带</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CB21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12mm*30y*38um，透明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6DD1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卷</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1B920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91F5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58FD41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7FC6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313F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印台</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4238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138*86mm  红、蓝色快干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906B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0064D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DCD4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5F71A7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5BD4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356E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印油</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506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40ml，红、蓝色快干、与印台配合使用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23CC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1B57FB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1A39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1D5C63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39B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F78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原子印油</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01D5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10ml，红、蓝色快干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6641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CC47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E51E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AA348D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F45E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7BFD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光敏印油</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2793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10ml，红、蓝色快干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4BA1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6C7E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39D3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1E249F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0A67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2A78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双文件夹</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6183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蓝色、红色，A4双强力夹、合格PP材质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CDCB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4AE52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F3F6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05BD4E1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F22A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4E1A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资料册1</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760A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蓝色、红色，A4、40页合格PP材质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767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FAEB3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875F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0D64FA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D27D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23</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D597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资料册2</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1A1E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蓝色、红色，A4、80页合格PP材质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8D0C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1BB9C0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F3B1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48BD7072">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218C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5A4A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文件盒1</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7A36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蓝色、红色，合格PP材质、适合A4纸张，55mm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ED88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DC99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A247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10D335C6">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8BFB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907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文件盒2</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558B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蓝色、红色，合格PP材质、适合A4纸张，75mm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055C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DEE1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D4F5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05C49D7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5961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91FC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档案盒</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018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A4牛皮纸板30mm档案盒</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EC9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93CA3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ED58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8F53976">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9D2A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D6C3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文件架</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66AB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三联、320*265*260mm、加厚3mm板、优质PP材质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CF53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637FD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4595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652B192">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F05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71B7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A4拉杆夹</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6BBB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310*220mm、可夹30张、透明、优质PP材质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D701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D8600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B53C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298A11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C7EA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14E2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板夹（输液牌）</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E201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A5书写板、透明有机塑料</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2EC5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752A2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FA6CF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561DCC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3313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30</w:t>
            </w:r>
          </w:p>
        </w:tc>
        <w:tc>
          <w:tcPr>
            <w:tcW w:w="703" w:type="pct"/>
            <w:tcBorders>
              <w:top w:val="single" w:color="000000" w:sz="4" w:space="0"/>
              <w:left w:val="single" w:color="000000" w:sz="4" w:space="0"/>
              <w:bottom w:val="single" w:color="000000" w:sz="4" w:space="0"/>
              <w:right w:val="single" w:color="000000" w:sz="4" w:space="0"/>
            </w:tcBorders>
            <w:noWrap w:val="0"/>
            <w:vAlign w:val="center"/>
          </w:tcPr>
          <w:p w14:paraId="1B02A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A4板夹</w:t>
            </w:r>
          </w:p>
        </w:tc>
        <w:tc>
          <w:tcPr>
            <w:tcW w:w="2529" w:type="pct"/>
            <w:tcBorders>
              <w:top w:val="single" w:color="000000" w:sz="4" w:space="0"/>
              <w:left w:val="single" w:color="000000" w:sz="4" w:space="0"/>
              <w:bottom w:val="single" w:color="000000" w:sz="4" w:space="0"/>
              <w:right w:val="single" w:color="000000" w:sz="4" w:space="0"/>
            </w:tcBorders>
            <w:noWrap w:val="0"/>
            <w:vAlign w:val="center"/>
          </w:tcPr>
          <w:p w14:paraId="20124A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A4 半透明PP材质，带刻度</w:t>
            </w:r>
          </w:p>
        </w:tc>
        <w:tc>
          <w:tcPr>
            <w:tcW w:w="407" w:type="pct"/>
            <w:tcBorders>
              <w:top w:val="single" w:color="000000" w:sz="4" w:space="0"/>
              <w:left w:val="single" w:color="000000" w:sz="4" w:space="0"/>
              <w:bottom w:val="single" w:color="000000" w:sz="4" w:space="0"/>
              <w:right w:val="single" w:color="000000" w:sz="4" w:space="0"/>
            </w:tcBorders>
            <w:noWrap w:val="0"/>
            <w:vAlign w:val="center"/>
          </w:tcPr>
          <w:p w14:paraId="095ADE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004BF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A830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A646AF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44BB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31</w:t>
            </w:r>
          </w:p>
        </w:tc>
        <w:tc>
          <w:tcPr>
            <w:tcW w:w="703" w:type="pct"/>
            <w:tcBorders>
              <w:top w:val="single" w:color="000000" w:sz="4" w:space="0"/>
              <w:left w:val="single" w:color="000000" w:sz="4" w:space="0"/>
              <w:bottom w:val="single" w:color="000000" w:sz="4" w:space="0"/>
              <w:right w:val="single" w:color="000000" w:sz="4" w:space="0"/>
            </w:tcBorders>
            <w:noWrap w:val="0"/>
            <w:vAlign w:val="center"/>
          </w:tcPr>
          <w:p w14:paraId="2EC2C7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A4折页板夹</w:t>
            </w:r>
          </w:p>
        </w:tc>
        <w:tc>
          <w:tcPr>
            <w:tcW w:w="2529" w:type="pct"/>
            <w:tcBorders>
              <w:top w:val="single" w:color="000000" w:sz="4" w:space="0"/>
              <w:left w:val="single" w:color="000000" w:sz="4" w:space="0"/>
              <w:bottom w:val="single" w:color="000000" w:sz="4" w:space="0"/>
              <w:right w:val="single" w:color="000000" w:sz="4" w:space="0"/>
            </w:tcBorders>
            <w:noWrap w:val="0"/>
            <w:vAlign w:val="center"/>
          </w:tcPr>
          <w:p w14:paraId="73BFEE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A4 发泡PP材质，双强力夹，各种颜色</w:t>
            </w:r>
          </w:p>
        </w:tc>
        <w:tc>
          <w:tcPr>
            <w:tcW w:w="407" w:type="pct"/>
            <w:tcBorders>
              <w:top w:val="single" w:color="000000" w:sz="4" w:space="0"/>
              <w:left w:val="single" w:color="000000" w:sz="4" w:space="0"/>
              <w:bottom w:val="single" w:color="000000" w:sz="4" w:space="0"/>
              <w:right w:val="single" w:color="000000" w:sz="4" w:space="0"/>
            </w:tcBorders>
            <w:noWrap w:val="0"/>
            <w:vAlign w:val="center"/>
          </w:tcPr>
          <w:p w14:paraId="4B042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0A35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AF3A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0F7CF8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D663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AC1C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拉链文件袋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4F0D9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可收集A4纸张文件、柔韧防水、PVC网格材质，印字</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1DA0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4D0981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EA33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7C398EE">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1BD4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3329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按扣文件袋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CE3D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可收集A4纸张文件、磨砂半透明、环保PP材质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38E8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E5F43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3A32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A98B14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61B1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34</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9D51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绕绳文件袋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B1BF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可收集A4纸张文件、透明、环保PP材质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0FD7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607C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0B33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1ADDE46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C10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D7B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档案袋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F49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240*338*42mm、≥230g牛皮纸、适合A4纸</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F558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5BF6A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3218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C53DFD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2E5A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36</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615A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笔筒</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460F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90*100mm，金属材质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3B77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1E9DD0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5C0C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821D27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311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014F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复写纸</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8EA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16开双面，蓝、红色，100张</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C08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44EC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48EA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645F58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872D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6036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黑皮本</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7288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16K、人造皮面、80g，≥120页</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3EF0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4246FA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B127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463508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C66C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775B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硬皮本</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AC66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A5 60页，硬壳线装，不渗透</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7E3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0C038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EEC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62A08F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3FB5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401A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软皮本</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7E3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A5 30页，原木浆纸，不渗透</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5DF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1EA181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2199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CC4BED2">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BF51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A429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工作手册</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0218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A6 60张，原木浆纸，不渗透</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1D5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782D5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F9E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9"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140132D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1337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42</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3F64E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B5会议本替换芯</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6AC0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80g护眼纸、9孔、240页/本</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5C1E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w:t>
            </w:r>
          </w:p>
        </w:tc>
        <w:tc>
          <w:tcPr>
            <w:tcW w:w="618"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8DE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385A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9238E90">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C40E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D2C7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电池</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29A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1#、2#、5#、7#国内一线品牌，碱性电池</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6205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节</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8660F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5D84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3E6DE8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93DD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44</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4259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9V电池</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C90A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9V，国内知名品牌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E519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C7F99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82CC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5C28A5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8DB0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45</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96E33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12V电池</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53F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12V 23A碱性电池，国内一线品牌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EEB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节</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1FB63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1D7F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4A23BAB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C38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46</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E4D1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充电电池</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DF6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5#、7#,900mah，国内一线品牌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6F0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节</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84ED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F553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278505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639A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47</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6063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纽扣电池</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A8A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各种常用规格，国内一线品牌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B283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粒</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88A2E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FF0B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C8E158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D046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F41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直尺1</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71BE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20cm，透明塑料</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9652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681B3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7EEC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4CF5314">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8537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49</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5C5E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直尺2</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40C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30cm，透明塑料</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4276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93091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917C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EE3B42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E7C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AE28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胶水</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8362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50ml、刷头式</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3B02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3DFFD5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E1B5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4D765CF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F851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51</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D865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双面胶</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A5D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9mm*10y,粘力持久，耐老化性好</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96D8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卷</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BC05B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B257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052127D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BF93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12C8E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计算器</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17E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147*119*37、12位语音款带退位键</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A74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03CD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13A5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1A3208E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8440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CD72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订书机</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8A63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装订50张70克纸、国内知名品牌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3761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4117C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FB9E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7AE3044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947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EF5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订书针</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AC7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24/6、1000枚、防锈</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502F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9FA73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9E5A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4E9897E">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73F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A92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加厚订书机</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C12F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黑色、装订100页70g纸、国内知名品牌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3D03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0ABE9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BF5C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75DFE0D0">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5B42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56</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EAAB4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电动订书机</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2004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装订50张70克纸、国内知名品牌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2AFF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FD452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2633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15A8A74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483D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959E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加厚订书针1</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8D6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23/13、1000枚、不锈钢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6148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2808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3FFD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48971E72">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DC42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F8A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加厚订书针2</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D13E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23/10、500枚、不锈钢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58BB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48CE9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3D89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DF8786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774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6061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加厚订书针3</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2C9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23/23、1000枚，不锈钢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D69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D45A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10ED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443E5C14">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DDE6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D1E2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回形针</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32EB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3#、100只装、金属镀镍防锈</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AC5F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1577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EA35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13AC67E">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547F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F9F0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起钉器</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5A90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适用于 24/6 ～26/6 订书钉起钉</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0F8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CC51B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75E2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31CC180">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7223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EEEE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铅笔刀</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F2C0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3.2*2.3*1.3cm 双头</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CEF1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14DECB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9307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AEBBB9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5C06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BB9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橡皮</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762E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4B</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ED21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20079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2172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1227A78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964C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3965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橡皮筋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057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黄色直径5.5cm、200克装</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829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袋</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74F815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9BEF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7B17700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7940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C9FA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铁夹X</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6E6B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不锈钢4cm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3083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1E8BBE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EBCE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1A3B046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90B3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945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铁夹Z</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D9A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不锈钢8cm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46AA7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BDF9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5CFF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7A60FEB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A4EB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67</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5695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铁夹D</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A1ED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不锈钢15cm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1752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2D5D8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8DF7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A2162F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0CE2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88F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长尾夹</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D46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钢制、各种规格（1#～6#）</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171E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05D25B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2CF8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7A3171E">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71D9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5C9A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装订线</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F55C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φ1mm ，150米/卷，加强尼龙</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459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卷</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22456B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8569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7054579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80DF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F010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白板</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C158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600*900mm、磁性面，带板擦、笔托</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EE0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418370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9B0B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481EC9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5F8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8DF11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白板</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515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900*1200mm、磁性双面，带板擦、笔托</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9A8E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5AA2D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E777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02D2451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970E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C1F4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白板</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1B38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1000*2000mm，磁性双面，带板擦、笔托</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491C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63168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4BA9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24CACAA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66D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73</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1FDFD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白板擦</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868D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面料绒布，把手舒适的PP材质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A862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EBF78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80FA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B672F7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173C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410B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标签</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B905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24*28mm、红蓝两色，不干胶</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1948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张</w:t>
            </w: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4A5119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2A78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895AA52">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57E3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7369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标签</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0BCC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53*33mm、红蓝两色，不干胶</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F5F7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张</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C9AF4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E26B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1A9161D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A089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76</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3DD7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公文包</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5E48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适合A4文件材料收纳、牛津尼龙布、涤纶短纤帆布</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3672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A454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BB5F7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6F92CEA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98D1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77</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C5BB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装订夹条</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F72D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A4,10孔，厚度10mm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3563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根</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B4D76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5916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2A22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清洁用品</w:t>
            </w: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4160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641C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输液绳</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C63E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丙纶绳、直径2mm、每根5米</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5D93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根</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5765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DE96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3C945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DC9A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79</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B16C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塑料绳</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EC64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尼龙、白色、20斤一盘</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BF2D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盘</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67539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0D0D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C184D6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FE89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020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卫生纸</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DEE6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160*95mm、不少于140节、三层，无芯卷纸、10卷每提、原生木浆、无尘、白色，独立包装</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74AE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3897A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1902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D4B8B3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AE33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1842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方巾纸</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4A40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230*230mm双层加厚、原木浆白色、四边压花、无香型、≥12000张</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E018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箱</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E40A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948B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BB645C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E2FB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B89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软包抽纸</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B609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185*195mm三层、原木浆白色、无香型、≥420张</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ADAB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包</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746EE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76C4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328920">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8220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83</w:t>
            </w:r>
          </w:p>
        </w:tc>
        <w:tc>
          <w:tcPr>
            <w:tcW w:w="703" w:type="pct"/>
            <w:tcBorders>
              <w:top w:val="single" w:color="000000" w:sz="4" w:space="0"/>
              <w:left w:val="single" w:color="000000" w:sz="4" w:space="0"/>
              <w:bottom w:val="single" w:color="000000" w:sz="4" w:space="0"/>
              <w:right w:val="single" w:color="000000" w:sz="4" w:space="0"/>
            </w:tcBorders>
            <w:noWrap w:val="0"/>
            <w:vAlign w:val="center"/>
          </w:tcPr>
          <w:p w14:paraId="7F0A9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硬盒抽纸</w:t>
            </w:r>
          </w:p>
        </w:tc>
        <w:tc>
          <w:tcPr>
            <w:tcW w:w="2529" w:type="pct"/>
            <w:tcBorders>
              <w:top w:val="single" w:color="000000" w:sz="4" w:space="0"/>
              <w:left w:val="single" w:color="000000" w:sz="4" w:space="0"/>
              <w:bottom w:val="single" w:color="000000" w:sz="4" w:space="0"/>
              <w:right w:val="single" w:color="000000" w:sz="4" w:space="0"/>
            </w:tcBorders>
            <w:noWrap w:val="0"/>
            <w:vAlign w:val="center"/>
          </w:tcPr>
          <w:p w14:paraId="33DC45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190*21.50mm 三层，可湿水，国内知名品牌</w:t>
            </w:r>
          </w:p>
        </w:tc>
        <w:tc>
          <w:tcPr>
            <w:tcW w:w="407" w:type="pct"/>
            <w:tcBorders>
              <w:top w:val="single" w:color="000000" w:sz="4" w:space="0"/>
              <w:left w:val="single" w:color="000000" w:sz="4" w:space="0"/>
              <w:bottom w:val="single" w:color="000000" w:sz="4" w:space="0"/>
              <w:right w:val="single" w:color="000000" w:sz="4" w:space="0"/>
            </w:tcBorders>
            <w:noWrap w:val="0"/>
            <w:vAlign w:val="center"/>
          </w:tcPr>
          <w:p w14:paraId="2E20A1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8F5C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0211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3D216E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111D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84</w:t>
            </w:r>
          </w:p>
        </w:tc>
        <w:tc>
          <w:tcPr>
            <w:tcW w:w="703" w:type="pct"/>
            <w:tcBorders>
              <w:top w:val="single" w:color="000000" w:sz="4" w:space="0"/>
              <w:left w:val="single" w:color="000000" w:sz="4" w:space="0"/>
              <w:bottom w:val="single" w:color="000000" w:sz="4" w:space="0"/>
              <w:right w:val="single" w:color="000000" w:sz="4" w:space="0"/>
            </w:tcBorders>
            <w:noWrap w:val="0"/>
            <w:vAlign w:val="center"/>
          </w:tcPr>
          <w:p w14:paraId="302167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B超擦拭纸</w:t>
            </w:r>
          </w:p>
        </w:tc>
        <w:tc>
          <w:tcPr>
            <w:tcW w:w="2529" w:type="pct"/>
            <w:tcBorders>
              <w:top w:val="single" w:color="000000" w:sz="4" w:space="0"/>
              <w:left w:val="single" w:color="000000" w:sz="4" w:space="0"/>
              <w:bottom w:val="single" w:color="000000" w:sz="4" w:space="0"/>
              <w:right w:val="single" w:color="000000" w:sz="4" w:space="0"/>
            </w:tcBorders>
            <w:noWrap w:val="0"/>
            <w:vAlign w:val="center"/>
          </w:tcPr>
          <w:p w14:paraId="51F79A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2层，≥500张，230*230cm，压花可湿水</w:t>
            </w:r>
          </w:p>
        </w:tc>
        <w:tc>
          <w:tcPr>
            <w:tcW w:w="407" w:type="pct"/>
            <w:tcBorders>
              <w:top w:val="single" w:color="000000" w:sz="4" w:space="0"/>
              <w:left w:val="single" w:color="000000" w:sz="4" w:space="0"/>
              <w:bottom w:val="single" w:color="000000" w:sz="4" w:space="0"/>
              <w:right w:val="single" w:color="000000" w:sz="4" w:space="0"/>
            </w:tcBorders>
            <w:noWrap w:val="0"/>
            <w:vAlign w:val="center"/>
          </w:tcPr>
          <w:p w14:paraId="5F8DF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包</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CA5C6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F9F8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6C8288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933D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44A1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肥皂</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7D3D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208g一块、无磷,独立包装，国内一线品牌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971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680F2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B198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203F8C4">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E696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6F35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洗衣粉</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174B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226g，无磷，国内一线品牌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6E8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袋</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E66CD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28C1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04A144">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5D7A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B546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去污粉</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D9D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450g</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BB45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袋</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E98D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8F38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ED784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38CE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352C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除胶剂</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AA97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420ml自喷式、安全环保</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8C8D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17228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1D92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5A705D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CF9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10FC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杀虫剂</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4982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600ml，钢瓶装</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8411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D7951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7378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DAB4A2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0D82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705F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蚊香</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EF1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120mm、无烟型</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4791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3C89F2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93DB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3C8BAE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F188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2A74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蚊香器</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8CE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电蚊香片加热器、连续时间120小时以下、电线可隐藏收回</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F292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003C4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FD38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2BA2D80">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6400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068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蚊香片</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090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配套用蚊香片，30片每盒装</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2CB7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86AEB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84A4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89E10C2">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46F0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8BD6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蚊香液1</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EF23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母婴专用，45ml</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8910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39D026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64CE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0337C0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366A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F51F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蚊香液2</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9DC5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无香型，45ml</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0C16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2DD9D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9D3F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0299810">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09C9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D7D7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蚊香液加热器</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391C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蚊香液配套加热器、连续工作时间≥120小时</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707A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60913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99D4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B0B402">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0E89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F08A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泡泡洗手液</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BB01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500mL，国内知名品牌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948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瓶</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9A3FC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57E1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A3E41E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26AE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CCD1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毛巾</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8235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350mm*75mm加厚纯棉毛巾,独立包装，≥120g，国内知名品牌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F222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D7102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CB6F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526B1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D44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DE39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鞋刷</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E553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塑料杆、尼龙丝、20.5mm*3.5mm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CF3D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C317C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DD77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8AE796">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1004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0B6F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指甲刀</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4E3F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72mm，国内知名品牌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59B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997F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443C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754143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1ACB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6E52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不锈钢指甲刀</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2E0E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810mm,4202不锈钢,带磨甲搓</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12D8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7FB79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8006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CC501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B19C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11DC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皮尺</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305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150cm、食品级PE、背面市尺刻度</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5F4A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4E56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CFD3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F64ADE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F320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8F1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缝纫线</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C37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缝纫线、白绿蓝等色，带工具</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F8E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盒</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E62EA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9BDA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840D08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7048C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3ABFF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扫床笤帚</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7342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塑料杆、尼龙丝、31*3.5cm、刷毛长5cm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E09A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7D8C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6729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8146A4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33E2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104</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00F8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大喷壶</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F025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压式喷水壶、优质PP、PET材质、2L、透明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788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E475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914F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5692D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B7E7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9ABC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喷壶</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5930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手压式喷水壶、优质PP、PET材质、500ML、透明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E0E8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8005F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3279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D2D839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ADEF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8DBD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小毛巾</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07A6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30*30cm纯棉、白色，加厚不掉毛，知名品牌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5E8AF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47D98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BC0F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9B76C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FE29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3A82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抹布</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F47B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40cm*20cm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F84D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B049E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0751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063B5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665F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108</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8C442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无纺抹布</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E8CB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40*40cm，防静电，防尘，≥100g</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7E7A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块</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13AD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FAFA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6FE326">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31C9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109</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BAC0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一次性无纺布</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3354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25*25cm、100张/卷</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2755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73926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34C2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36733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1A649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110</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4118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量杯</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5B6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优质PP、1000ml，带盖</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4842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7DE79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62B8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9EC8AD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8A4E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111</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2E2D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尿壶</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0274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优质PP、1200ml</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542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44291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9804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45EB9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2323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112</w:t>
            </w:r>
          </w:p>
        </w:tc>
        <w:tc>
          <w:tcPr>
            <w:tcW w:w="703" w:type="pct"/>
            <w:tcBorders>
              <w:top w:val="single" w:color="000000" w:sz="4" w:space="0"/>
              <w:left w:val="single" w:color="000000" w:sz="4" w:space="0"/>
              <w:bottom w:val="single" w:color="000000" w:sz="4" w:space="0"/>
              <w:right w:val="single" w:color="000000" w:sz="4" w:space="0"/>
            </w:tcBorders>
            <w:noWrap w:val="0"/>
            <w:vAlign w:val="center"/>
          </w:tcPr>
          <w:p w14:paraId="2C2A43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钢丝球</w:t>
            </w:r>
          </w:p>
        </w:tc>
        <w:tc>
          <w:tcPr>
            <w:tcW w:w="2529" w:type="pct"/>
            <w:tcBorders>
              <w:top w:val="single" w:color="000000" w:sz="4" w:space="0"/>
              <w:left w:val="single" w:color="000000" w:sz="4" w:space="0"/>
              <w:bottom w:val="single" w:color="000000" w:sz="4" w:space="0"/>
              <w:right w:val="single" w:color="000000" w:sz="4" w:space="0"/>
            </w:tcBorders>
            <w:noWrap w:val="0"/>
            <w:vAlign w:val="center"/>
          </w:tcPr>
          <w:p w14:paraId="58C86A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独立包装，不锈钢材质</w:t>
            </w:r>
          </w:p>
        </w:tc>
        <w:tc>
          <w:tcPr>
            <w:tcW w:w="407" w:type="pct"/>
            <w:tcBorders>
              <w:top w:val="single" w:color="000000" w:sz="4" w:space="0"/>
              <w:left w:val="single" w:color="000000" w:sz="4" w:space="0"/>
              <w:bottom w:val="single" w:color="000000" w:sz="4" w:space="0"/>
              <w:right w:val="single" w:color="000000" w:sz="4" w:space="0"/>
            </w:tcBorders>
            <w:noWrap w:val="0"/>
            <w:vAlign w:val="center"/>
          </w:tcPr>
          <w:p w14:paraId="32BB65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65C6C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A7D0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2C3EDB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4FFE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113</w:t>
            </w:r>
          </w:p>
        </w:tc>
        <w:tc>
          <w:tcPr>
            <w:tcW w:w="703" w:type="pct"/>
            <w:tcBorders>
              <w:top w:val="single" w:color="000000" w:sz="4" w:space="0"/>
              <w:left w:val="single" w:color="000000" w:sz="4" w:space="0"/>
              <w:bottom w:val="single" w:color="000000" w:sz="4" w:space="0"/>
              <w:right w:val="single" w:color="000000" w:sz="4" w:space="0"/>
            </w:tcBorders>
            <w:noWrap w:val="0"/>
            <w:vAlign w:val="center"/>
          </w:tcPr>
          <w:p w14:paraId="088C4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手电筒</w:t>
            </w:r>
          </w:p>
        </w:tc>
        <w:tc>
          <w:tcPr>
            <w:tcW w:w="2529" w:type="pct"/>
            <w:tcBorders>
              <w:top w:val="single" w:color="000000" w:sz="4" w:space="0"/>
              <w:left w:val="single" w:color="000000" w:sz="4" w:space="0"/>
              <w:bottom w:val="single" w:color="000000" w:sz="4" w:space="0"/>
              <w:right w:val="single" w:color="000000" w:sz="4" w:space="0"/>
            </w:tcBorders>
            <w:noWrap w:val="0"/>
            <w:vAlign w:val="center"/>
          </w:tcPr>
          <w:p w14:paraId="3EEE6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装1节5号碱性电池，LED、5W</w:t>
            </w:r>
          </w:p>
        </w:tc>
        <w:tc>
          <w:tcPr>
            <w:tcW w:w="407" w:type="pct"/>
            <w:tcBorders>
              <w:top w:val="single" w:color="000000" w:sz="4" w:space="0"/>
              <w:left w:val="single" w:color="000000" w:sz="4" w:space="0"/>
              <w:bottom w:val="single" w:color="000000" w:sz="4" w:space="0"/>
              <w:right w:val="single" w:color="000000" w:sz="4" w:space="0"/>
            </w:tcBorders>
            <w:noWrap w:val="0"/>
            <w:vAlign w:val="center"/>
          </w:tcPr>
          <w:p w14:paraId="3ECA90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4A0F1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EC10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25530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891E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114</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8D63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手提灯</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EF4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电量≥8000mAH,强光连续使用10小时，充电款</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8533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6EE3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9066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368D40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74EE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06A2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笤帚</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12A6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糜子/高粱杆</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24B5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把</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23428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1117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C2DD5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E4C0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FDC6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簸箕</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F1E11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白铁皮</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B30C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C2675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6ACB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D3800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FCA5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B2D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纸篓</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1810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25*27cm、纯色镂空、PP塑料材质</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E898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56316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9EF4F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E7EC0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8DE3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118</w:t>
            </w:r>
          </w:p>
        </w:tc>
        <w:tc>
          <w:tcPr>
            <w:tcW w:w="703" w:type="pct"/>
            <w:tcBorders>
              <w:top w:val="single" w:color="000000" w:sz="4" w:space="0"/>
              <w:left w:val="single" w:color="000000" w:sz="4" w:space="0"/>
              <w:bottom w:val="single" w:color="000000" w:sz="4" w:space="0"/>
              <w:right w:val="single" w:color="000000" w:sz="4" w:space="0"/>
            </w:tcBorders>
            <w:noWrap w:val="0"/>
            <w:vAlign w:val="center"/>
          </w:tcPr>
          <w:p w14:paraId="40745D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拖把</w:t>
            </w:r>
          </w:p>
        </w:tc>
        <w:tc>
          <w:tcPr>
            <w:tcW w:w="2529" w:type="pct"/>
            <w:tcBorders>
              <w:top w:val="single" w:color="000000" w:sz="4" w:space="0"/>
              <w:left w:val="single" w:color="000000" w:sz="4" w:space="0"/>
              <w:bottom w:val="single" w:color="000000" w:sz="4" w:space="0"/>
              <w:right w:val="single" w:color="000000" w:sz="4" w:space="0"/>
            </w:tcBorders>
            <w:noWrap w:val="0"/>
            <w:vAlign w:val="center"/>
          </w:tcPr>
          <w:p w14:paraId="1CBC0B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木杆直径3cm、棉线头40cm，全新料，不掉棉纱</w:t>
            </w:r>
          </w:p>
        </w:tc>
        <w:tc>
          <w:tcPr>
            <w:tcW w:w="407" w:type="pct"/>
            <w:tcBorders>
              <w:top w:val="single" w:color="000000" w:sz="4" w:space="0"/>
              <w:left w:val="single" w:color="000000" w:sz="4" w:space="0"/>
              <w:bottom w:val="single" w:color="000000" w:sz="4" w:space="0"/>
              <w:right w:val="single" w:color="000000" w:sz="4" w:space="0"/>
            </w:tcBorders>
            <w:noWrap w:val="0"/>
            <w:vAlign w:val="center"/>
          </w:tcPr>
          <w:p w14:paraId="0EDFF5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把</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93D86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BCAA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E18B93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7FD4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119</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7089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胶棉拖把</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F60C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38CM  胶棉、PP  不锈钢，知名品牌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0A1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把</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6D3CC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A44A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011EF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037D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120</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16656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尘推</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14A0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拖头90cm，不锈钢杆</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FE86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把</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9258C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EDA0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864E2A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1C3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121</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52D54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尘推头</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295B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适配尘推跟换的，加厚帆布优质棉线，可机洗</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C735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75B8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96E7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19BFC7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8024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726E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塑料套扫</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79CD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环保PP材料、不锈钢杆</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1067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AB15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401C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restart"/>
            <w:tcBorders>
              <w:top w:val="single" w:color="000000" w:sz="4" w:space="0"/>
              <w:left w:val="single" w:color="000000" w:sz="4" w:space="0"/>
              <w:bottom w:val="nil"/>
              <w:right w:val="single" w:color="000000" w:sz="4" w:space="0"/>
            </w:tcBorders>
            <w:shd w:val="clear" w:color="auto" w:fill="auto"/>
            <w:noWrap w:val="0"/>
            <w:vAlign w:val="center"/>
          </w:tcPr>
          <w:p w14:paraId="10FE3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防护用品</w:t>
            </w: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0D3B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5612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皮手套</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CB49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橡胶加厚、红黄两色、大号</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46F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双</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00282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AB33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0D836C1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F1E5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0DD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单拖鞋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0BEF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环保简约一字托，塑胶，男、女及儿童各型号，防滑设计</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E4B4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双</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AD0BA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DBDB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5E67EC7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5200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4AEFE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鞋套</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449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一次性鞋套，通用码</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A1DB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双</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8F5C0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445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3C1A495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378C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1267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织带</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6904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1.5cm、45米一盘、漂白，纯棉</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C484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盘</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68AF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D811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7F9BE6C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5A9A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1010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线手套</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4126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棉线劳保手套</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FDB3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双</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25222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19BF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nil"/>
              <w:right w:val="single" w:color="000000" w:sz="4" w:space="0"/>
            </w:tcBorders>
            <w:shd w:val="clear" w:color="auto" w:fill="auto"/>
            <w:noWrap w:val="0"/>
            <w:vAlign w:val="center"/>
          </w:tcPr>
          <w:p w14:paraId="75AE0DE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BBB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128</w:t>
            </w:r>
          </w:p>
        </w:tc>
        <w:tc>
          <w:tcPr>
            <w:tcW w:w="703" w:type="pct"/>
            <w:tcBorders>
              <w:top w:val="single" w:color="000000" w:sz="4" w:space="0"/>
              <w:left w:val="single" w:color="000000" w:sz="4" w:space="0"/>
              <w:bottom w:val="single" w:color="000000" w:sz="4" w:space="0"/>
              <w:right w:val="single" w:color="000000" w:sz="4" w:space="0"/>
            </w:tcBorders>
            <w:noWrap w:val="0"/>
            <w:vAlign w:val="center"/>
          </w:tcPr>
          <w:p w14:paraId="7586E8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湿巾</w:t>
            </w:r>
          </w:p>
        </w:tc>
        <w:tc>
          <w:tcPr>
            <w:tcW w:w="2529" w:type="pct"/>
            <w:tcBorders>
              <w:top w:val="single" w:color="000000" w:sz="4" w:space="0"/>
              <w:left w:val="single" w:color="000000" w:sz="4" w:space="0"/>
              <w:bottom w:val="single" w:color="000000" w:sz="4" w:space="0"/>
              <w:right w:val="single" w:color="000000" w:sz="4" w:space="0"/>
            </w:tcBorders>
            <w:noWrap w:val="0"/>
            <w:vAlign w:val="center"/>
          </w:tcPr>
          <w:p w14:paraId="712342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200*160mm，≥80张/包</w:t>
            </w:r>
          </w:p>
        </w:tc>
        <w:tc>
          <w:tcPr>
            <w:tcW w:w="407" w:type="pct"/>
            <w:tcBorders>
              <w:top w:val="single" w:color="000000" w:sz="4" w:space="0"/>
              <w:left w:val="single" w:color="000000" w:sz="4" w:space="0"/>
              <w:bottom w:val="single" w:color="000000" w:sz="4" w:space="0"/>
              <w:right w:val="single" w:color="000000" w:sz="4" w:space="0"/>
            </w:tcBorders>
            <w:noWrap w:val="0"/>
            <w:vAlign w:val="center"/>
          </w:tcPr>
          <w:p w14:paraId="447663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包</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57997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0240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restart"/>
            <w:tcBorders>
              <w:top w:val="nil"/>
              <w:left w:val="single" w:color="000000" w:sz="4" w:space="0"/>
              <w:bottom w:val="single" w:color="000000" w:sz="4" w:space="0"/>
              <w:right w:val="single" w:color="000000" w:sz="4" w:space="0"/>
            </w:tcBorders>
            <w:shd w:val="clear" w:color="auto" w:fill="auto"/>
            <w:noWrap w:val="0"/>
            <w:vAlign w:val="center"/>
          </w:tcPr>
          <w:p w14:paraId="796EF244">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9FEE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BFD0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粘尘垫</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ABB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手术室用，70*120cm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60AE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页</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5E04D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7C92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65C3A1CE">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592B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130</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BA06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衣架</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E0A6E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43*3.5*21cm，加厚PP材质，防滑</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B9C3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43DD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F2F2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330A196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9EE4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A772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挂锁D</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07A5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63mm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095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F6A56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AB10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00DDA31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337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1D1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挂锁Z</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502D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50mm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1D86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93A15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87E4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1DBFC2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C98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A05D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挂锁X</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3AA3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28mm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E657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B5C7A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1362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62F206F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37B3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CE1C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链锁</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5AFA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镀锌铁链锁、锁头一体、100cm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315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条</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CF2FD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3183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1BBA1636">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2DFC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431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U形锁</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46BE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16mm一体式碳钢、全铜锁芯、锁定距离390mm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AD8F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F5A82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AB5D9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2BB25C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8ABF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0CD35D">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输液盒</w:t>
            </w:r>
          </w:p>
          <w:p w14:paraId="7F7DB8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（摆药盒）</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BF1A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41cm*11cm*7.5cm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8E09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858F0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08FE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132CFE3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50D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72344D">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输液盒</w:t>
            </w:r>
          </w:p>
          <w:p w14:paraId="4BD8C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（摆药盒）</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8880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30cm*13cm*8.5cm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D0C8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F658D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C3F1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6190C4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ADDF9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D86E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一次性挂锁</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F6F3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3*4cm、标牌2.4*1.3cm、黄色、聚丙烯、100个包装、印“陕西省人民医院、编号”等字样</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F8A3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7630D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D435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EC374A2">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AED4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139</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3AE6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纸杯</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B422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245ml原纸、符合国家食品级安全标准，印制我院指定图案</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913B1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3DCDF0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0144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4FE7390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7DD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140</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CBEC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保温壶</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EEE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不锈钢材质，双层食品级，容量≥2.0L ,出水防烫措施，刻“陕西省人民医院”字样</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C69A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CDDA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3625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3971F26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E1D0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2DB50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塑料水桶D</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B701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16L带盖手提、桶口直径32cm、PP树脂加厚</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512A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77D31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C604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4537071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2AD0A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8CC8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塑料水桶Z</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199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10L带盖手提、桶口直径24cm、PP树脂加厚</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1C9E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835C3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046F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1F6F6F2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49D0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A0EC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塑料水桶X</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2BA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4L带盖手提、桶口直径20cm、PP树脂加厚</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E453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2547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9C96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F18A70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D8F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F04D0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塑料筐X</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BD57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35*27*10cm±2cm加密网格、食品级PP熟胶、白色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E9DA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A42D8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A4B4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1D0F431E">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105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F484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塑料筐Z</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CFEC3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45*31*12cm±2cm加密网格、食品级PP熟胶、白色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0638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D0F8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D267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F2D9D46">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AA1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22F6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塑料筐D</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833C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55*41*12cm±2cm加密网格、食品级PP熟胶、白色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CE95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1571E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B6E9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7FACDEF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FC0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9A01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塑料筐D（配送）</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95131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47*30*13cm±2cm加密网格、食品级PP熟胶加厚、蓝色、带手把</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A3C23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EBE82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083C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F2B5E3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EF045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148</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D213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整理箱1</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ABC1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长38、宽28、高21、±2cmPP塑料透明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2443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A3741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C13A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DCB57B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F8F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149</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33168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整理箱2</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E643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长55、宽40、高33、±2cmPP塑料透明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E6B2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5CAC9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C75E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2AC81D9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982F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150</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6A6C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整理箱3</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27054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长72、宽52、高42、±2cmPP塑料透明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519F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1C138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C08D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2A7FD8C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7C2B0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151</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EA1E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物流箱</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A0F0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600*400*320mm，翻盖式</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D74B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3C9D17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1827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3DA30BB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FFA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152</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BAB35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折叠梯子</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FBCF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不锈钢材质，人字梯，1.7M</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E1C2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A876E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9C05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6A12870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5D44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153</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AD193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塑料凳子</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5253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280*460*370mm，加厚PP胶材质，各种颜色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70DA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4076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C352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3C06509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2766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154</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9B87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平板车</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6056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塑钢600*900mm，静音4轮，底部加钢槽</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DA97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2887E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0CE0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071E1BB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1D6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155</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FB6A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托盘1</w:t>
            </w:r>
          </w:p>
        </w:tc>
        <w:tc>
          <w:tcPr>
            <w:tcW w:w="25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5B812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30*40cm，平板4脚加钢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DD5B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D02D1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A484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3D1036F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D53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156</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E795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托盘2</w:t>
            </w:r>
          </w:p>
        </w:tc>
        <w:tc>
          <w:tcPr>
            <w:tcW w:w="25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BB6F4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40*60cm，平板6脚加钢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47D2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F8076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D081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00935037">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07634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157</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9ABB3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托盘3</w:t>
            </w:r>
          </w:p>
        </w:tc>
        <w:tc>
          <w:tcPr>
            <w:tcW w:w="25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70DB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60*80cm，平板4脚加钢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A9BE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69713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E33A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3C5C3B7B">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A51B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158</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62D0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托盘4</w:t>
            </w:r>
          </w:p>
        </w:tc>
        <w:tc>
          <w:tcPr>
            <w:tcW w:w="25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DC432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80*100cm，平板9脚加钢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8E164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65B4C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4CC8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73F9D10">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D741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159</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8C2A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托盘5</w:t>
            </w:r>
          </w:p>
        </w:tc>
        <w:tc>
          <w:tcPr>
            <w:tcW w:w="2529"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CB42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100*120cm，平板9脚加钢</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2E923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F15BD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6E62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4E856AB4">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B47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E272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蓝垃圾袋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8F1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宽86*高95cm双折边（单边13cm），平口</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低密度PE、厚7丝</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7229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33235A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9F31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49DE52F3">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9CD35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126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黄垃圾袋1</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3DE4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32cm*38cm,厚7丝、背心式手提，黄色，印医废和生物标识</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0C5F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099CB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325D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E5C8C84">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C050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52C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黄垃圾袋2</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6904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42cm*48cm,厚7丝、背心式手提、黄色，印医废和生物标识</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359AD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9B318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1977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1A5BD7AA">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03E4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163</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793A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黄垃圾袋3</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3185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宽86高95cm双折边（单边13cm），平口</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低密度PE、厚7丝，印制生物标识和医废垃圾字样</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93CB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E86B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4DE3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538859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F1B5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164</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F7C5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黑垃圾袋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0A3E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宽35*高55cm双折边（单边8cm），背心式手提，</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低密度PE、厚4丝、黑色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AC06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E556B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8018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7"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13F1EB5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3F36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C281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中黑垃圾袋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D4AF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宽60*高70cm双折边（单边8cm），背心式手提</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低密度PE、厚5丝、黑色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0105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4CC24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B53B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1B92E86D">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DC223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372E8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厨余垃圾袋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BD84B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宽60*高80cm双折边（单边8cm），背心式手提</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低密度PE、厚5丝、黑色</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511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38EBE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CD36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6C3E2E4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50C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0763E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自封口塑料袋1</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3AF6D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宽7*高10cm，自封口1.3cm、低密度PE、厚7丝、透明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C4CA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006A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4372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9"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6694380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F1C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168</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A1AC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自封口塑料袋2</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65E0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宽10*高15cm，自封口1.3cm、低密度PE、厚7丝、透明，印生物标识</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C0BE3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D8ED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250C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2EB3653C">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E5A2A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169</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4940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自封口塑料袋3</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7674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宽14*高20cm，自封口1.3cm、低密度PE、厚13丝、透明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6C38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60C80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9BF0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7"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0C41B92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B2DD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170</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6D70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泡脚袋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BCD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宽48*高75cm双折边（单边8cm），背心式手提</w:t>
            </w:r>
            <w:r>
              <w:rPr>
                <w:rFonts w:hint="eastAsia" w:ascii="宋体" w:hAnsi="宋体" w:eastAsia="宋体" w:cs="宋体"/>
                <w:i w:val="0"/>
                <w:iCs w:val="0"/>
                <w:snapToGrid w:val="0"/>
                <w:color w:val="000000"/>
                <w:kern w:val="0"/>
                <w:sz w:val="20"/>
                <w:szCs w:val="20"/>
                <w:u w:val="none"/>
                <w:lang w:val="en-US" w:eastAsia="zh-CN" w:bidi="ar"/>
              </w:rPr>
              <w:br w:type="textWrapping"/>
            </w:r>
            <w:r>
              <w:rPr>
                <w:rFonts w:hint="eastAsia" w:ascii="宋体" w:hAnsi="宋体" w:eastAsia="宋体" w:cs="宋体"/>
                <w:i w:val="0"/>
                <w:iCs w:val="0"/>
                <w:snapToGrid w:val="0"/>
                <w:color w:val="000000"/>
                <w:kern w:val="0"/>
                <w:sz w:val="20"/>
                <w:szCs w:val="20"/>
                <w:u w:val="none"/>
                <w:lang w:val="en-US" w:eastAsia="zh-CN" w:bidi="ar"/>
              </w:rPr>
              <w:t>低密度PE、厚7丝、白、红色、印字</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F3DDC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F88D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FEB3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483B7CC6">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AD19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171</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AAA55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塑料袋（大）</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CCF4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宽50*高42cm、平口、高密度PE、厚13丝、透明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7E32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02888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84C5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2518F8AE">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30A8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172</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F2E28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塑料袋（小）</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ADCC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宽30*高42cm、平口、高密度PE、厚13丝、透明</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9E769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61999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098E0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317FF5DF">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FAB6F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173</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BB703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保鲜袋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70A63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25*35cm，厚6丝，背心式手提白色，100个/包</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DB16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1EC51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FBB8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450938F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478DA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174</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3E0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保鲜膜</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D49F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35cm*300米，食品级</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B9A9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2EB7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A520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jc w:val="center"/>
        </w:trPr>
        <w:tc>
          <w:tcPr>
            <w:tcW w:w="357" w:type="pct"/>
            <w:vMerge w:val="continue"/>
            <w:tcBorders>
              <w:top w:val="nil"/>
              <w:left w:val="single" w:color="000000" w:sz="4" w:space="0"/>
              <w:bottom w:val="single" w:color="000000" w:sz="4" w:space="0"/>
              <w:right w:val="single" w:color="000000" w:sz="4" w:space="0"/>
            </w:tcBorders>
            <w:shd w:val="clear" w:color="auto" w:fill="auto"/>
            <w:noWrap w:val="0"/>
            <w:vAlign w:val="center"/>
          </w:tcPr>
          <w:p w14:paraId="57FA5A36">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568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175</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B6A9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冰袋</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4A62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20*30cm点断手撕式、低密度PE、厚7丝、乳白色，不少于400个</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83FF2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卷</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41C23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4A65D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restar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A7D63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电器设备</w:t>
            </w: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0B90B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176</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A3169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烧水壶</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661AC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1.7L/2000w    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CB69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把</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6A6EE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3D9A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E87079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49F6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177</w:t>
            </w:r>
          </w:p>
        </w:tc>
        <w:tc>
          <w:tcPr>
            <w:tcW w:w="70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B38B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微波炉</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78D6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24L/220V/50HZ  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1FF1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B2088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A834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2F8DB2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ED3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178</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BBBEE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碎纸机</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89C3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16张、30L容量、可碎卡、国内知名品牌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D0BDB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5C710A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6F9E3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20BB8D1">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7802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179</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B24D1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台灯</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FDE0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灯光LED、功率15W、国内知名品牌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B39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3FFA0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B33F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4F9E1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868CE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180</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3EADC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挂表</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0B3C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φ38cm  年月日显示，国内知名品牌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A8F9B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1277A4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2549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E84A38">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2871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181</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936E5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电子温湿度计</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B63F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145*32mm,国内知名品牌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31270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9A98D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895C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7060B89">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D8195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182</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C6B57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物理温湿度计</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40F6E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205*205,国内知名品牌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8FF12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D684D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525BF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FCE397E">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54590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183</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B102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物理水温计</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7E3DE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参考量程-30℃-100℃，国内知名品牌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CAB3C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2A2EE8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B3A0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AD5175">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6A22A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184</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0FBF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电子水温计</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C30D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参考量程-30℃-100℃，国内知名品牌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56B69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0EA6D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26EF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5"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8C9329E">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F1DF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185</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5766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电蚊拍</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B7A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充电款，加大网面，LED灯，国内知名品牌</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17D0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668907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3A164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jc w:val="center"/>
        </w:trPr>
        <w:tc>
          <w:tcPr>
            <w:tcW w:w="357" w:type="pct"/>
            <w:vMerge w:val="continue"/>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4047170">
            <w:pPr>
              <w:jc w:val="center"/>
              <w:rPr>
                <w:rFonts w:hint="eastAsia" w:ascii="宋体" w:hAnsi="宋体" w:eastAsia="宋体" w:cs="宋体"/>
                <w:i w:val="0"/>
                <w:iCs w:val="0"/>
                <w:color w:val="000000"/>
                <w:sz w:val="20"/>
                <w:szCs w:val="20"/>
                <w:u w:val="none"/>
              </w:rPr>
            </w:pPr>
          </w:p>
        </w:tc>
        <w:tc>
          <w:tcPr>
            <w:tcW w:w="383"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D5F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186</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C127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电子万年历</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B31D1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48*35cm，LED显示温湿度，断电记忆功能，自动更新</w:t>
            </w: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A8F9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个</w:t>
            </w:r>
          </w:p>
        </w:tc>
        <w:tc>
          <w:tcPr>
            <w:tcW w:w="1063" w:type="dxa"/>
            <w:tcBorders>
              <w:top w:val="single" w:color="000000" w:sz="4" w:space="0"/>
              <w:left w:val="single" w:color="000000" w:sz="4" w:space="0"/>
              <w:bottom w:val="single" w:color="000000" w:sz="4" w:space="0"/>
              <w:right w:val="single" w:color="000000" w:sz="4" w:space="0"/>
            </w:tcBorders>
            <w:noWrap w:val="0"/>
            <w:vAlign w:val="center"/>
          </w:tcPr>
          <w:p w14:paraId="7EA9CC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CE8CD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jc w:val="center"/>
        </w:trPr>
        <w:tc>
          <w:tcPr>
            <w:tcW w:w="1445" w:type="pct"/>
            <w:gridSpan w:val="3"/>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119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单价合计</w:t>
            </w:r>
          </w:p>
        </w:tc>
        <w:tc>
          <w:tcPr>
            <w:tcW w:w="2529"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E2EDC4">
            <w:pPr>
              <w:jc w:val="center"/>
              <w:rPr>
                <w:rFonts w:hint="eastAsia" w:ascii="宋体" w:hAnsi="宋体" w:eastAsia="宋体" w:cs="宋体"/>
                <w:i w:val="0"/>
                <w:iCs w:val="0"/>
                <w:color w:val="000000"/>
                <w:sz w:val="20"/>
                <w:szCs w:val="20"/>
                <w:u w:val="none"/>
              </w:rPr>
            </w:pPr>
          </w:p>
        </w:tc>
        <w:tc>
          <w:tcPr>
            <w:tcW w:w="407" w:type="pc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211DEAA">
            <w:pPr>
              <w:jc w:val="center"/>
              <w:rPr>
                <w:rFonts w:hint="eastAsia" w:ascii="宋体" w:hAnsi="宋体" w:eastAsia="宋体" w:cs="宋体"/>
                <w:i w:val="0"/>
                <w:iCs w:val="0"/>
                <w:color w:val="000000"/>
                <w:sz w:val="20"/>
                <w:szCs w:val="20"/>
                <w:u w:val="none"/>
              </w:rPr>
            </w:pPr>
          </w:p>
        </w:tc>
        <w:tc>
          <w:tcPr>
            <w:tcW w:w="618" w:type="pct"/>
            <w:tcBorders>
              <w:top w:val="single" w:color="000000" w:sz="4" w:space="0"/>
              <w:left w:val="single" w:color="000000" w:sz="4" w:space="0"/>
              <w:bottom w:val="single" w:color="000000" w:sz="4" w:space="0"/>
              <w:right w:val="single" w:color="000000" w:sz="4" w:space="0"/>
            </w:tcBorders>
            <w:noWrap w:val="0"/>
            <w:vAlign w:val="center"/>
          </w:tcPr>
          <w:p w14:paraId="5389FD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 </w:t>
            </w:r>
          </w:p>
        </w:tc>
      </w:tr>
    </w:tbl>
    <w:p w14:paraId="036F4736">
      <w:pPr>
        <w:pStyle w:val="27"/>
        <w:numPr>
          <w:ilvl w:val="0"/>
          <w:numId w:val="0"/>
        </w:numPr>
        <w:ind w:left="120" w:leftChars="0"/>
        <w:rPr>
          <w:rFonts w:hint="eastAsia"/>
        </w:rPr>
      </w:pPr>
    </w:p>
    <w:p w14:paraId="0A5E6A05">
      <w:pPr>
        <w:spacing w:line="450" w:lineRule="exact"/>
        <w:ind w:firstLine="360" w:firstLineChars="150"/>
        <w:rPr>
          <w:rFonts w:hint="eastAsia" w:ascii="宋体" w:hAnsi="宋体"/>
          <w:sz w:val="24"/>
        </w:rPr>
      </w:pPr>
      <w:r>
        <w:rPr>
          <w:rFonts w:hint="eastAsia" w:ascii="宋体" w:hAnsi="宋体"/>
          <w:sz w:val="24"/>
        </w:rPr>
        <w:t>（二）合同总价(或单价）包括：货物供应费、运输费（含保险费）、安装调试费、检测验收费、应缴纳的全部税款及其它费用。</w:t>
      </w:r>
    </w:p>
    <w:p w14:paraId="53D0231D">
      <w:pPr>
        <w:spacing w:line="450" w:lineRule="exact"/>
        <w:ind w:firstLine="360" w:firstLineChars="150"/>
        <w:rPr>
          <w:rFonts w:hint="eastAsia" w:ascii="宋体" w:hAnsi="宋体"/>
          <w:sz w:val="24"/>
        </w:rPr>
      </w:pPr>
      <w:r>
        <w:rPr>
          <w:rFonts w:hint="eastAsia" w:ascii="宋体" w:hAnsi="宋体"/>
          <w:sz w:val="24"/>
        </w:rPr>
        <w:t>（三）合同总价（或单价）为一次性包干价，不受市场价格变化因素的影响。</w:t>
      </w:r>
    </w:p>
    <w:p w14:paraId="3A659FDA">
      <w:pPr>
        <w:spacing w:line="450" w:lineRule="exact"/>
        <w:ind w:firstLine="360" w:firstLineChars="150"/>
        <w:rPr>
          <w:rFonts w:hint="eastAsia" w:ascii="宋体" w:hAnsi="宋体"/>
          <w:sz w:val="24"/>
        </w:rPr>
      </w:pPr>
      <w:r>
        <w:rPr>
          <w:rFonts w:hint="eastAsia" w:ascii="宋体" w:hAnsi="宋体"/>
          <w:sz w:val="24"/>
        </w:rPr>
        <w:t>（四）</w:t>
      </w:r>
      <w:r>
        <w:rPr>
          <w:rFonts w:hint="eastAsia" w:ascii="宋体" w:hAnsi="宋体"/>
          <w:sz w:val="24"/>
          <w:lang w:val="en-US" w:eastAsia="zh-CN"/>
        </w:rPr>
        <w:t>质保期：验收合格通过之日起 1 年。</w:t>
      </w:r>
    </w:p>
    <w:p w14:paraId="1EB0216B">
      <w:pPr>
        <w:spacing w:line="450" w:lineRule="exact"/>
        <w:ind w:firstLine="482" w:firstLineChars="200"/>
        <w:rPr>
          <w:rFonts w:hint="eastAsia" w:ascii="宋体" w:hAnsi="宋体"/>
          <w:b/>
          <w:sz w:val="24"/>
        </w:rPr>
      </w:pPr>
      <w:r>
        <w:rPr>
          <w:rFonts w:hint="eastAsia" w:ascii="宋体" w:hAnsi="宋体"/>
          <w:b/>
          <w:sz w:val="24"/>
        </w:rPr>
        <w:t>第二条  交货条件</w:t>
      </w:r>
    </w:p>
    <w:p w14:paraId="7281BC80">
      <w:pPr>
        <w:spacing w:line="450" w:lineRule="exact"/>
        <w:ind w:firstLine="480" w:firstLineChars="200"/>
        <w:rPr>
          <w:rFonts w:hint="default" w:ascii="宋体" w:hAnsi="宋体" w:eastAsia="宋体"/>
          <w:sz w:val="24"/>
          <w:lang w:val="en-US" w:eastAsia="zh-CN"/>
        </w:rPr>
      </w:pPr>
      <w:r>
        <w:rPr>
          <w:rFonts w:hint="eastAsia" w:ascii="宋体" w:hAnsi="宋体"/>
          <w:sz w:val="24"/>
        </w:rPr>
        <w:t>（一）交货地点:</w:t>
      </w:r>
      <w:r>
        <w:rPr>
          <w:rFonts w:hint="eastAsia" w:ascii="宋体" w:hAnsi="宋体"/>
          <w:sz w:val="24"/>
          <w:lang w:val="en-US" w:eastAsia="zh-CN"/>
        </w:rPr>
        <w:t>陕西省人民医院主院区及西咸院区指定地点（须配送至科室）</w:t>
      </w:r>
    </w:p>
    <w:p w14:paraId="0E3BE508">
      <w:pPr>
        <w:spacing w:line="450" w:lineRule="exact"/>
        <w:ind w:firstLine="480" w:firstLineChars="200"/>
        <w:rPr>
          <w:rFonts w:hint="eastAsia" w:ascii="宋体" w:hAnsi="宋体"/>
          <w:sz w:val="24"/>
        </w:rPr>
      </w:pPr>
      <w:r>
        <w:rPr>
          <w:rFonts w:hint="eastAsia" w:ascii="宋体" w:hAnsi="宋体"/>
          <w:sz w:val="24"/>
        </w:rPr>
        <w:t>（二）交货期：</w:t>
      </w:r>
    </w:p>
    <w:p w14:paraId="6C1511BB">
      <w:pPr>
        <w:spacing w:line="450" w:lineRule="exact"/>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lang w:eastAsia="zh-CN"/>
        </w:rPr>
        <w:t>甲方于每月初发出</w:t>
      </w:r>
      <w:r>
        <w:rPr>
          <w:rFonts w:hint="eastAsia" w:ascii="宋体" w:hAnsi="宋体"/>
          <w:sz w:val="24"/>
        </w:rPr>
        <w:t>计划采购单，</w:t>
      </w:r>
      <w:r>
        <w:rPr>
          <w:rFonts w:hint="eastAsia" w:ascii="宋体" w:hAnsi="宋体"/>
          <w:sz w:val="24"/>
          <w:lang w:eastAsia="zh-CN"/>
        </w:rPr>
        <w:t>乙方</w:t>
      </w:r>
      <w:r>
        <w:rPr>
          <w:rFonts w:hint="eastAsia" w:ascii="宋体" w:hAnsi="宋体"/>
          <w:sz w:val="24"/>
        </w:rPr>
        <w:t>自接到采购人订单之日起</w:t>
      </w:r>
      <w:r>
        <w:rPr>
          <w:rFonts w:hint="eastAsia" w:ascii="宋体" w:hAnsi="宋体"/>
          <w:sz w:val="24"/>
          <w:lang w:val="en-US" w:eastAsia="zh-CN"/>
        </w:rPr>
        <w:t xml:space="preserve"> 5 </w:t>
      </w:r>
      <w:r>
        <w:rPr>
          <w:rFonts w:hint="eastAsia" w:ascii="宋体" w:hAnsi="宋体"/>
          <w:sz w:val="24"/>
        </w:rPr>
        <w:t>个日历日内交付采购人并验收合格</w:t>
      </w:r>
      <w:r>
        <w:rPr>
          <w:rFonts w:hint="eastAsia" w:ascii="宋体" w:hAnsi="宋体"/>
          <w:sz w:val="24"/>
          <w:lang w:eastAsia="zh-CN"/>
        </w:rPr>
        <w:t>；</w:t>
      </w:r>
    </w:p>
    <w:p w14:paraId="17FAD0B0">
      <w:pPr>
        <w:spacing w:line="450" w:lineRule="exact"/>
        <w:ind w:firstLine="480" w:firstLineChars="200"/>
        <w:rPr>
          <w:rFonts w:hint="eastAsia" w:ascii="宋体" w:hAnsi="宋体"/>
          <w:sz w:val="24"/>
          <w:u w:val="single"/>
        </w:rPr>
      </w:pPr>
      <w:r>
        <w:rPr>
          <w:rFonts w:hint="eastAsia" w:ascii="宋体" w:hAnsi="宋体"/>
          <w:sz w:val="24"/>
          <w:lang w:val="en-US" w:eastAsia="zh-CN"/>
        </w:rPr>
        <w:t xml:space="preserve">2. </w:t>
      </w:r>
      <w:r>
        <w:rPr>
          <w:rFonts w:hint="eastAsia" w:ascii="宋体" w:hAnsi="宋体"/>
          <w:sz w:val="24"/>
          <w:lang w:eastAsia="zh-CN"/>
        </w:rPr>
        <w:t>甲方发出的</w:t>
      </w:r>
      <w:r>
        <w:rPr>
          <w:rFonts w:hint="eastAsia" w:ascii="宋体" w:hAnsi="宋体"/>
          <w:sz w:val="24"/>
        </w:rPr>
        <w:t>的</w:t>
      </w:r>
      <w:r>
        <w:rPr>
          <w:rFonts w:hint="eastAsia" w:ascii="宋体" w:hAnsi="宋体"/>
          <w:sz w:val="24"/>
          <w:lang w:eastAsia="zh-CN"/>
        </w:rPr>
        <w:t>临时</w:t>
      </w:r>
      <w:r>
        <w:rPr>
          <w:rFonts w:hint="eastAsia" w:ascii="宋体" w:hAnsi="宋体"/>
          <w:sz w:val="24"/>
        </w:rPr>
        <w:t>补货</w:t>
      </w:r>
      <w:r>
        <w:rPr>
          <w:rFonts w:hint="eastAsia" w:ascii="宋体" w:hAnsi="宋体"/>
          <w:sz w:val="24"/>
          <w:lang w:eastAsia="zh-CN"/>
        </w:rPr>
        <w:t>需求</w:t>
      </w:r>
      <w:r>
        <w:rPr>
          <w:rFonts w:hint="eastAsia" w:ascii="宋体" w:hAnsi="宋体"/>
          <w:sz w:val="24"/>
        </w:rPr>
        <w:t>，</w:t>
      </w:r>
      <w:r>
        <w:rPr>
          <w:rFonts w:hint="eastAsia" w:ascii="宋体" w:hAnsi="宋体"/>
          <w:sz w:val="24"/>
          <w:lang w:eastAsia="zh-CN"/>
        </w:rPr>
        <w:t>乙方</w:t>
      </w:r>
      <w:r>
        <w:rPr>
          <w:rFonts w:hint="eastAsia" w:ascii="宋体" w:hAnsi="宋体"/>
          <w:sz w:val="24"/>
        </w:rPr>
        <w:t>自接到采购人订单之日起</w:t>
      </w:r>
      <w:r>
        <w:rPr>
          <w:rFonts w:hint="eastAsia" w:ascii="宋体" w:hAnsi="宋体"/>
          <w:sz w:val="24"/>
          <w:lang w:val="en-US" w:eastAsia="zh-CN"/>
        </w:rPr>
        <w:t xml:space="preserve"> 3</w:t>
      </w:r>
      <w:r>
        <w:rPr>
          <w:rFonts w:hint="eastAsia" w:ascii="宋体" w:hAnsi="宋体"/>
          <w:sz w:val="24"/>
        </w:rPr>
        <w:t>个日历日内交付采购人并验收合格。</w:t>
      </w:r>
    </w:p>
    <w:p w14:paraId="4D4A84C6">
      <w:pPr>
        <w:spacing w:line="450" w:lineRule="exact"/>
        <w:ind w:firstLine="482" w:firstLineChars="200"/>
        <w:rPr>
          <w:rFonts w:hint="eastAsia" w:ascii="宋体" w:hAnsi="宋体"/>
          <w:b/>
          <w:sz w:val="24"/>
        </w:rPr>
      </w:pPr>
      <w:r>
        <w:rPr>
          <w:rFonts w:hint="eastAsia" w:ascii="宋体" w:hAnsi="宋体"/>
          <w:b/>
          <w:sz w:val="24"/>
        </w:rPr>
        <w:t>第三条  运输</w:t>
      </w:r>
    </w:p>
    <w:p w14:paraId="2478D522">
      <w:pPr>
        <w:spacing w:line="450" w:lineRule="exact"/>
        <w:ind w:firstLine="480" w:firstLineChars="200"/>
        <w:rPr>
          <w:rFonts w:hint="eastAsia" w:ascii="宋体" w:hAnsi="宋体"/>
          <w:sz w:val="24"/>
        </w:rPr>
      </w:pPr>
      <w:r>
        <w:rPr>
          <w:rFonts w:hint="eastAsia" w:ascii="宋体" w:hAnsi="宋体"/>
          <w:sz w:val="24"/>
        </w:rPr>
        <w:t>（一）包装：符合国家相关标准。</w:t>
      </w:r>
    </w:p>
    <w:p w14:paraId="2605DCFD">
      <w:pPr>
        <w:spacing w:line="450" w:lineRule="exact"/>
        <w:ind w:firstLine="480" w:firstLineChars="200"/>
        <w:rPr>
          <w:rFonts w:hint="eastAsia" w:ascii="宋体" w:hAnsi="宋体" w:eastAsia="宋体"/>
          <w:sz w:val="24"/>
          <w:lang w:eastAsia="zh-CN"/>
        </w:rPr>
      </w:pPr>
      <w:r>
        <w:rPr>
          <w:rFonts w:hint="eastAsia" w:ascii="宋体" w:hAnsi="宋体"/>
          <w:sz w:val="24"/>
        </w:rPr>
        <w:t>（二）运输由乙方负责，运杂费已包含在合同总价内，包括但不限于货物运输所含的运输费、装卸费、仓储费、保险费等及不可预见的所有费用，且不因劳务市场价格、政策变化而调整</w:t>
      </w:r>
      <w:r>
        <w:rPr>
          <w:rFonts w:hint="eastAsia" w:ascii="宋体" w:hAnsi="宋体"/>
          <w:sz w:val="24"/>
          <w:lang w:eastAsia="zh-CN"/>
        </w:rPr>
        <w:t>。</w:t>
      </w:r>
    </w:p>
    <w:p w14:paraId="5A417256">
      <w:pPr>
        <w:spacing w:line="450" w:lineRule="exact"/>
        <w:ind w:firstLine="480" w:firstLineChars="200"/>
        <w:rPr>
          <w:rFonts w:hint="eastAsia" w:ascii="宋体" w:hAnsi="宋体"/>
          <w:sz w:val="24"/>
        </w:rPr>
      </w:pPr>
      <w:r>
        <w:rPr>
          <w:rFonts w:hint="eastAsia" w:ascii="宋体" w:hAnsi="宋体"/>
          <w:sz w:val="24"/>
        </w:rPr>
        <w:t>（三）</w:t>
      </w:r>
      <w:r>
        <w:rPr>
          <w:rFonts w:hint="eastAsia" w:ascii="宋体" w:hAnsi="宋体"/>
          <w:sz w:val="24"/>
          <w:lang w:val="en-US" w:eastAsia="zh-CN"/>
        </w:rPr>
        <w:t>乙方保证货</w:t>
      </w:r>
      <w:r>
        <w:rPr>
          <w:rFonts w:hint="eastAsia" w:ascii="宋体" w:hAnsi="宋体"/>
          <w:sz w:val="24"/>
        </w:rPr>
        <w:t>物安全，</w:t>
      </w:r>
      <w:r>
        <w:rPr>
          <w:rFonts w:hint="eastAsia" w:ascii="宋体" w:hAnsi="宋体"/>
          <w:sz w:val="24"/>
          <w:lang w:val="en-US" w:eastAsia="zh-CN"/>
        </w:rPr>
        <w:t>涉及的商品包装和快递包装，均应符品《商品包装政府采购需求标准(试行)》《快递包装政府采购需求标准(试行)》的要求，包装应适应于远距离运输、防潮、防震、防锈和防野蛮装卸，以确保货物安全无损</w:t>
      </w:r>
      <w:r>
        <w:rPr>
          <w:rFonts w:hint="eastAsia" w:ascii="宋体" w:hAnsi="宋体"/>
          <w:sz w:val="24"/>
        </w:rPr>
        <w:t>按期运输到达甲方指定交货地点，</w:t>
      </w:r>
      <w:r>
        <w:rPr>
          <w:rFonts w:hint="eastAsia" w:ascii="宋体" w:hAnsi="宋体"/>
          <w:sz w:val="24"/>
        </w:rPr>
        <w:t>在</w:t>
      </w:r>
      <w:r>
        <w:rPr>
          <w:rFonts w:hint="eastAsia" w:ascii="宋体" w:hAnsi="宋体"/>
          <w:sz w:val="24"/>
          <w:lang w:val="en-US" w:eastAsia="zh-CN"/>
        </w:rPr>
        <w:t>交付甲方安装调试完毕并验收合格前</w:t>
      </w:r>
      <w:r>
        <w:rPr>
          <w:rFonts w:hint="eastAsia" w:ascii="宋体" w:hAnsi="宋体"/>
          <w:sz w:val="24"/>
        </w:rPr>
        <w:t>发生的一切风险</w:t>
      </w:r>
      <w:r>
        <w:rPr>
          <w:rFonts w:hint="eastAsia" w:ascii="宋体" w:hAnsi="宋体"/>
          <w:sz w:val="24"/>
        </w:rPr>
        <w:t>（含不可预见的风险）均由乙方承担。</w:t>
      </w:r>
    </w:p>
    <w:p w14:paraId="78FA751D">
      <w:pPr>
        <w:spacing w:line="450" w:lineRule="exact"/>
        <w:ind w:firstLine="482" w:firstLineChars="200"/>
        <w:rPr>
          <w:rFonts w:hint="eastAsia" w:ascii="宋体" w:hAnsi="宋体"/>
          <w:b/>
          <w:sz w:val="24"/>
        </w:rPr>
      </w:pPr>
      <w:r>
        <w:rPr>
          <w:rFonts w:hint="eastAsia" w:ascii="宋体" w:hAnsi="宋体"/>
          <w:b/>
          <w:sz w:val="24"/>
        </w:rPr>
        <w:t>第四条  验收</w:t>
      </w:r>
    </w:p>
    <w:p w14:paraId="5DD86F63">
      <w:pPr>
        <w:spacing w:line="450" w:lineRule="exact"/>
        <w:ind w:firstLine="480"/>
        <w:rPr>
          <w:rFonts w:hint="eastAsia" w:ascii="宋体" w:hAnsi="宋体"/>
          <w:sz w:val="24"/>
        </w:rPr>
      </w:pPr>
      <w:r>
        <w:rPr>
          <w:rFonts w:hint="eastAsia" w:ascii="宋体" w:hAnsi="宋体"/>
          <w:sz w:val="24"/>
        </w:rPr>
        <w:t>（一）初步验收</w:t>
      </w:r>
    </w:p>
    <w:p w14:paraId="1A35658D">
      <w:pPr>
        <w:spacing w:line="450" w:lineRule="exact"/>
        <w:ind w:firstLine="484" w:firstLineChars="202"/>
        <w:rPr>
          <w:rFonts w:hint="eastAsia" w:ascii="宋体" w:hAnsi="宋体"/>
          <w:bCs/>
          <w:sz w:val="24"/>
        </w:rPr>
      </w:pPr>
      <w:r>
        <w:rPr>
          <w:rFonts w:hint="eastAsia" w:ascii="宋体" w:hAnsi="宋体"/>
          <w:bCs/>
          <w:sz w:val="24"/>
        </w:rPr>
        <w:t>甲方应在货物到达甲方指定地点且接到乙方书面通知后当日内进行初步验收；甲方在验收中如发现货物品种、型号、数量与本合同规定条件不符，须在货物到货初步验收完成之日起</w:t>
      </w:r>
      <w:r>
        <w:rPr>
          <w:rFonts w:hint="eastAsia" w:ascii="宋体" w:hAnsi="宋体"/>
          <w:bCs/>
          <w:sz w:val="24"/>
          <w:u w:val="single"/>
        </w:rPr>
        <w:t xml:space="preserve">  7  </w:t>
      </w:r>
      <w:r>
        <w:rPr>
          <w:rFonts w:hint="eastAsia" w:ascii="宋体" w:hAnsi="宋体"/>
          <w:bCs/>
          <w:sz w:val="24"/>
        </w:rPr>
        <w:t>个工作日内向乙方提出书面异议和处理意见。</w:t>
      </w:r>
    </w:p>
    <w:p w14:paraId="452F1B07">
      <w:pPr>
        <w:spacing w:line="450" w:lineRule="exact"/>
        <w:ind w:firstLine="484" w:firstLineChars="202"/>
        <w:rPr>
          <w:rFonts w:hint="eastAsia" w:ascii="宋体" w:hAnsi="宋体"/>
          <w:sz w:val="24"/>
        </w:rPr>
      </w:pPr>
      <w:r>
        <w:rPr>
          <w:rFonts w:hint="eastAsia" w:ascii="宋体" w:hAnsi="宋体"/>
          <w:sz w:val="24"/>
        </w:rPr>
        <w:t>乙方在接到甲方书面异议</w:t>
      </w:r>
      <w:r>
        <w:rPr>
          <w:rFonts w:hint="eastAsia" w:ascii="宋体" w:hAnsi="宋体" w:cs="Arial"/>
          <w:bCs/>
          <w:sz w:val="24"/>
        </w:rPr>
        <w:t>之日起</w:t>
      </w:r>
      <w:r>
        <w:rPr>
          <w:rFonts w:hint="eastAsia" w:ascii="宋体" w:hAnsi="宋体"/>
          <w:sz w:val="24"/>
        </w:rPr>
        <w:t>，应在</w:t>
      </w:r>
      <w:r>
        <w:rPr>
          <w:rFonts w:hint="eastAsia" w:ascii="宋体" w:hAnsi="宋体"/>
          <w:sz w:val="24"/>
          <w:u w:val="single"/>
        </w:rPr>
        <w:t xml:space="preserve">  7  </w:t>
      </w:r>
      <w:r>
        <w:rPr>
          <w:rFonts w:hint="eastAsia" w:ascii="宋体" w:hAnsi="宋体"/>
          <w:sz w:val="24"/>
        </w:rPr>
        <w:t>个工作日内予以回复，否则，即视为默认甲方提出的异议和处理意见。</w:t>
      </w:r>
    </w:p>
    <w:p w14:paraId="16E8D4FA">
      <w:pPr>
        <w:spacing w:line="450" w:lineRule="exact"/>
        <w:ind w:firstLine="484" w:firstLineChars="202"/>
        <w:rPr>
          <w:rFonts w:hint="eastAsia" w:ascii="宋体" w:hAnsi="宋体"/>
          <w:bCs/>
          <w:sz w:val="24"/>
        </w:rPr>
      </w:pPr>
      <w:r>
        <w:rPr>
          <w:rFonts w:hint="eastAsia" w:ascii="宋体" w:hAnsi="宋体"/>
          <w:bCs/>
          <w:sz w:val="24"/>
        </w:rPr>
        <w:t>（二）最终验收</w:t>
      </w:r>
    </w:p>
    <w:p w14:paraId="2CD7C830">
      <w:pPr>
        <w:spacing w:line="450" w:lineRule="exact"/>
        <w:ind w:firstLine="484" w:firstLineChars="202"/>
        <w:rPr>
          <w:rFonts w:hint="eastAsia" w:ascii="宋体" w:hAnsi="宋体"/>
          <w:bCs/>
          <w:sz w:val="24"/>
        </w:rPr>
      </w:pPr>
      <w:r>
        <w:rPr>
          <w:rFonts w:hint="eastAsia" w:ascii="宋体" w:hAnsi="宋体"/>
          <w:bCs/>
          <w:sz w:val="24"/>
        </w:rPr>
        <w:t>乙方在货物安装调试完成后由甲方组织最终质量验收的相关约定。</w:t>
      </w:r>
    </w:p>
    <w:p w14:paraId="0F69E0D1">
      <w:pPr>
        <w:spacing w:line="450" w:lineRule="exact"/>
        <w:ind w:firstLine="484" w:firstLineChars="202"/>
        <w:rPr>
          <w:rFonts w:hint="eastAsia" w:ascii="宋体" w:hAnsi="宋体"/>
          <w:bCs/>
          <w:sz w:val="24"/>
        </w:rPr>
      </w:pPr>
      <w:r>
        <w:rPr>
          <w:rFonts w:hint="eastAsia" w:ascii="宋体" w:hAnsi="宋体"/>
          <w:sz w:val="24"/>
        </w:rPr>
        <w:t>1、</w:t>
      </w:r>
      <w:r>
        <w:rPr>
          <w:rFonts w:hint="eastAsia" w:ascii="宋体" w:hAnsi="宋体" w:eastAsia="宋体" w:cs="Times New Roman"/>
          <w:bCs/>
          <w:sz w:val="24"/>
        </w:rPr>
        <w:t>验收前，</w:t>
      </w:r>
      <w:r>
        <w:rPr>
          <w:rFonts w:hint="eastAsia" w:ascii="宋体" w:hAnsi="宋体" w:eastAsia="宋体" w:cs="Times New Roman"/>
          <w:bCs/>
          <w:sz w:val="24"/>
          <w:lang w:val="en-US" w:eastAsia="zh-CN"/>
        </w:rPr>
        <w:t>乙方须</w:t>
      </w:r>
      <w:r>
        <w:rPr>
          <w:rFonts w:hint="eastAsia" w:ascii="宋体" w:hAnsi="宋体" w:eastAsia="宋体" w:cs="Times New Roman"/>
          <w:bCs/>
          <w:sz w:val="24"/>
        </w:rPr>
        <w:t>对装配好的产品进行全面、彻底的清洁。</w:t>
      </w:r>
    </w:p>
    <w:p w14:paraId="10CFF1CA">
      <w:pPr>
        <w:spacing w:line="450" w:lineRule="exact"/>
        <w:ind w:firstLine="484" w:firstLineChars="202"/>
        <w:rPr>
          <w:rFonts w:hint="eastAsia" w:ascii="宋体" w:hAnsi="宋体"/>
          <w:bCs/>
          <w:sz w:val="24"/>
        </w:rPr>
      </w:pPr>
      <w:r>
        <w:rPr>
          <w:rFonts w:hint="eastAsia" w:ascii="宋体" w:hAnsi="宋体"/>
          <w:sz w:val="24"/>
          <w:lang w:val="en-US" w:eastAsia="zh-CN"/>
        </w:rPr>
        <w:t>2</w:t>
      </w:r>
      <w:r>
        <w:rPr>
          <w:rFonts w:hint="eastAsia" w:ascii="宋体" w:hAnsi="宋体"/>
          <w:sz w:val="24"/>
        </w:rPr>
        <w:t>、经甲方</w:t>
      </w:r>
      <w:r>
        <w:rPr>
          <w:rFonts w:hint="eastAsia" w:ascii="宋体" w:hAnsi="宋体"/>
          <w:bCs/>
          <w:sz w:val="24"/>
        </w:rPr>
        <w:t>按照合同货物的硬件配置参数</w:t>
      </w:r>
      <w:r>
        <w:rPr>
          <w:rFonts w:hint="eastAsia" w:ascii="宋体" w:hAnsi="宋体"/>
          <w:sz w:val="24"/>
        </w:rPr>
        <w:t>初步验收合格，且乙方安装调试完成后，乙方应向甲方发出书面通知，甲方在收到验收通知之日起</w:t>
      </w:r>
      <w:r>
        <w:rPr>
          <w:rFonts w:hint="eastAsia" w:ascii="宋体" w:hAnsi="宋体"/>
          <w:sz w:val="24"/>
          <w:u w:val="single"/>
        </w:rPr>
        <w:t xml:space="preserve">  7  </w:t>
      </w:r>
      <w:r>
        <w:rPr>
          <w:rFonts w:hint="eastAsia" w:ascii="宋体" w:hAnsi="宋体"/>
          <w:sz w:val="24"/>
        </w:rPr>
        <w:t>个工作日内由甲方进行最终质量验收。</w:t>
      </w:r>
    </w:p>
    <w:p w14:paraId="13EDC2AB">
      <w:pPr>
        <w:spacing w:line="450" w:lineRule="exact"/>
        <w:ind w:firstLine="484" w:firstLineChars="202"/>
        <w:rPr>
          <w:rFonts w:hint="eastAsia" w:ascii="宋体" w:hAnsi="宋体"/>
          <w:bCs/>
          <w:sz w:val="24"/>
        </w:rPr>
      </w:pPr>
      <w:r>
        <w:rPr>
          <w:rFonts w:hint="eastAsia" w:ascii="宋体" w:hAnsi="宋体"/>
          <w:sz w:val="24"/>
          <w:lang w:val="en-US" w:eastAsia="zh-CN"/>
        </w:rPr>
        <w:t>3</w:t>
      </w:r>
      <w:r>
        <w:rPr>
          <w:rFonts w:hint="eastAsia" w:ascii="宋体" w:hAnsi="宋体"/>
          <w:sz w:val="24"/>
        </w:rPr>
        <w:t>、甲方针对安装调试后的货物进行性能测试。验收合格的，向乙方发出质量验收合格书面通知，若甲方发现乙方提供的产品不符合本合同约定质量、技术规格等条件的，甲方应在验收完成之日起</w:t>
      </w:r>
      <w:r>
        <w:rPr>
          <w:rFonts w:hint="eastAsia" w:ascii="宋体" w:hAnsi="宋体"/>
          <w:sz w:val="24"/>
          <w:u w:val="single"/>
        </w:rPr>
        <w:t xml:space="preserve">  7  </w:t>
      </w:r>
      <w:r>
        <w:rPr>
          <w:rFonts w:hint="eastAsia" w:ascii="宋体" w:hAnsi="宋体"/>
          <w:sz w:val="24"/>
        </w:rPr>
        <w:t>个工作日内向乙方提出书面异议和处理意见；乙方在接到甲方书面异议之日起，应在</w:t>
      </w:r>
      <w:r>
        <w:rPr>
          <w:rFonts w:hint="eastAsia" w:ascii="宋体" w:hAnsi="宋体"/>
          <w:sz w:val="24"/>
          <w:u w:val="single"/>
        </w:rPr>
        <w:t xml:space="preserve">  7  </w:t>
      </w:r>
      <w:r>
        <w:rPr>
          <w:rFonts w:hint="eastAsia" w:ascii="宋体" w:hAnsi="宋体"/>
          <w:sz w:val="24"/>
        </w:rPr>
        <w:t>个工作日内予以回复，否则，即视为默认甲方提出的异议和处理意见。</w:t>
      </w:r>
    </w:p>
    <w:p w14:paraId="7151644E">
      <w:pPr>
        <w:spacing w:line="450" w:lineRule="exact"/>
        <w:ind w:firstLine="424" w:firstLineChars="177"/>
        <w:rPr>
          <w:rFonts w:ascii="宋体" w:hAnsi="宋体"/>
          <w:sz w:val="24"/>
        </w:rPr>
      </w:pPr>
      <w:r>
        <w:rPr>
          <w:rFonts w:hint="eastAsia" w:ascii="宋体" w:hAnsi="宋体"/>
          <w:sz w:val="24"/>
        </w:rPr>
        <w:t>3、甲方有权委托第三方负责或参加验收事宜，乙方应配合甲方或第三方的验收工作。验收不合格的，乙方负责更换货物直至验收合格为止，因此产生的费用和给甲方造成的损失均由乙方承担。验收合格并不解除乙方的质量保证责任，货物经开箱验收及通过安装验收后，如在事后检出并证明存在乙方的原因引起的质量问题，在货物的保修期届满前，甲方有权随时向乙方索赔或要求乙方采取更换全套货物等措施加以补救。</w:t>
      </w:r>
    </w:p>
    <w:p w14:paraId="5AAE3184">
      <w:pPr>
        <w:spacing w:line="450" w:lineRule="exact"/>
        <w:ind w:firstLine="480" w:firstLineChars="200"/>
        <w:rPr>
          <w:rFonts w:hint="eastAsia" w:ascii="宋体" w:hAnsi="宋体"/>
          <w:sz w:val="24"/>
        </w:rPr>
      </w:pPr>
      <w:r>
        <w:rPr>
          <w:rFonts w:hint="eastAsia" w:ascii="宋体" w:hAnsi="宋体"/>
          <w:sz w:val="24"/>
        </w:rPr>
        <w:t>（三）乙方向甲方提交货物实施过程中的所有资料以便甲方日后管理和维护。</w:t>
      </w:r>
    </w:p>
    <w:p w14:paraId="19D0E736">
      <w:pPr>
        <w:spacing w:line="450" w:lineRule="exact"/>
        <w:ind w:firstLine="480" w:firstLineChars="200"/>
        <w:rPr>
          <w:rFonts w:hint="eastAsia" w:ascii="宋体" w:hAnsi="宋体"/>
          <w:sz w:val="24"/>
        </w:rPr>
      </w:pPr>
      <w:r>
        <w:rPr>
          <w:rFonts w:hint="eastAsia" w:ascii="宋体" w:hAnsi="宋体"/>
          <w:sz w:val="24"/>
        </w:rPr>
        <w:t>1、货物合格证明；</w:t>
      </w:r>
    </w:p>
    <w:p w14:paraId="3ABEF691">
      <w:pPr>
        <w:spacing w:line="450" w:lineRule="exact"/>
        <w:ind w:firstLine="480" w:firstLineChars="200"/>
        <w:rPr>
          <w:rFonts w:hint="eastAsia" w:ascii="宋体" w:hAnsi="宋体"/>
          <w:sz w:val="24"/>
        </w:rPr>
      </w:pPr>
      <w:r>
        <w:rPr>
          <w:rFonts w:hint="eastAsia" w:ascii="宋体" w:hAnsi="宋体"/>
          <w:sz w:val="24"/>
        </w:rPr>
        <w:t>2、货物使用说明书及操作手册；（中英文）</w:t>
      </w:r>
    </w:p>
    <w:p w14:paraId="4B45C768">
      <w:pPr>
        <w:spacing w:line="450" w:lineRule="exact"/>
        <w:ind w:firstLine="480" w:firstLineChars="200"/>
        <w:rPr>
          <w:rFonts w:hint="eastAsia" w:ascii="宋体" w:hAnsi="宋体"/>
          <w:sz w:val="24"/>
        </w:rPr>
      </w:pPr>
      <w:r>
        <w:rPr>
          <w:rFonts w:hint="eastAsia" w:ascii="宋体" w:hAnsi="宋体"/>
          <w:sz w:val="24"/>
        </w:rPr>
        <w:t>3、进口货物报关单</w:t>
      </w:r>
      <w:r>
        <w:rPr>
          <w:rFonts w:hint="eastAsia" w:ascii="宋体" w:hAnsi="宋体"/>
          <w:sz w:val="24"/>
          <w:lang w:eastAsia="zh-CN"/>
        </w:rPr>
        <w:t>（</w:t>
      </w:r>
      <w:r>
        <w:rPr>
          <w:rFonts w:hint="eastAsia" w:ascii="宋体" w:hAnsi="宋体"/>
          <w:sz w:val="24"/>
          <w:lang w:val="en-US" w:eastAsia="zh-CN"/>
        </w:rPr>
        <w:t>若有进口货物</w:t>
      </w:r>
      <w:r>
        <w:rPr>
          <w:rFonts w:hint="eastAsia" w:ascii="宋体" w:hAnsi="宋体"/>
          <w:sz w:val="24"/>
          <w:lang w:eastAsia="zh-CN"/>
        </w:rPr>
        <w:t>）</w:t>
      </w:r>
      <w:r>
        <w:rPr>
          <w:rFonts w:hint="eastAsia" w:ascii="宋体" w:hAnsi="宋体"/>
          <w:sz w:val="24"/>
        </w:rPr>
        <w:t>；</w:t>
      </w:r>
    </w:p>
    <w:p w14:paraId="4B43D49F">
      <w:pPr>
        <w:spacing w:line="450" w:lineRule="exact"/>
        <w:ind w:firstLine="480" w:firstLineChars="200"/>
        <w:rPr>
          <w:rFonts w:hint="eastAsia" w:ascii="宋体" w:hAnsi="宋体"/>
          <w:sz w:val="24"/>
        </w:rPr>
      </w:pPr>
      <w:r>
        <w:rPr>
          <w:rFonts w:hint="eastAsia" w:ascii="宋体" w:hAnsi="宋体"/>
          <w:sz w:val="24"/>
        </w:rPr>
        <w:t>4、装箱单；</w:t>
      </w:r>
    </w:p>
    <w:p w14:paraId="7E14C532">
      <w:pPr>
        <w:spacing w:line="450" w:lineRule="exact"/>
        <w:ind w:firstLine="480" w:firstLineChars="200"/>
        <w:rPr>
          <w:rFonts w:hint="eastAsia" w:ascii="宋体" w:hAnsi="宋体"/>
          <w:sz w:val="24"/>
        </w:rPr>
      </w:pPr>
      <w:r>
        <w:rPr>
          <w:rFonts w:hint="eastAsia" w:ascii="宋体" w:hAnsi="宋体"/>
          <w:sz w:val="24"/>
        </w:rPr>
        <w:t>5、其它资料。</w:t>
      </w:r>
    </w:p>
    <w:p w14:paraId="0EDEE317">
      <w:pPr>
        <w:spacing w:line="450" w:lineRule="exact"/>
        <w:ind w:firstLine="480" w:firstLineChars="200"/>
        <w:rPr>
          <w:rFonts w:hint="eastAsia" w:ascii="宋体" w:hAnsi="宋体"/>
          <w:sz w:val="24"/>
        </w:rPr>
      </w:pPr>
      <w:r>
        <w:rPr>
          <w:rFonts w:hint="eastAsia" w:ascii="宋体" w:hAnsi="宋体"/>
          <w:sz w:val="24"/>
        </w:rPr>
        <w:t>（四）验收依据：</w:t>
      </w:r>
    </w:p>
    <w:p w14:paraId="0D66AD2A">
      <w:pPr>
        <w:spacing w:line="450" w:lineRule="exact"/>
        <w:ind w:firstLine="480" w:firstLineChars="200"/>
        <w:rPr>
          <w:rFonts w:hint="eastAsia" w:ascii="宋体" w:hAnsi="宋体"/>
          <w:sz w:val="24"/>
        </w:rPr>
      </w:pPr>
      <w:r>
        <w:rPr>
          <w:rFonts w:hint="eastAsia" w:ascii="宋体" w:hAnsi="宋体"/>
          <w:sz w:val="24"/>
        </w:rPr>
        <w:t>1、招标文件、投标文件、澄清表（函）；</w:t>
      </w:r>
    </w:p>
    <w:p w14:paraId="76C71A62">
      <w:pPr>
        <w:spacing w:line="450" w:lineRule="exact"/>
        <w:ind w:firstLine="480" w:firstLineChars="200"/>
        <w:rPr>
          <w:rFonts w:hint="eastAsia" w:ascii="宋体" w:hAnsi="宋体"/>
          <w:sz w:val="24"/>
        </w:rPr>
      </w:pPr>
      <w:r>
        <w:rPr>
          <w:rFonts w:hint="eastAsia" w:ascii="宋体" w:hAnsi="宋体"/>
          <w:sz w:val="24"/>
        </w:rPr>
        <w:t>2、本合同及附件文本；</w:t>
      </w:r>
    </w:p>
    <w:p w14:paraId="52E304AA">
      <w:pPr>
        <w:spacing w:line="450" w:lineRule="exact"/>
        <w:ind w:firstLine="480" w:firstLineChars="200"/>
        <w:rPr>
          <w:rFonts w:hint="eastAsia" w:ascii="宋体" w:hAnsi="宋体"/>
          <w:sz w:val="24"/>
        </w:rPr>
      </w:pPr>
      <w:r>
        <w:rPr>
          <w:rFonts w:hint="eastAsia" w:ascii="宋体" w:hAnsi="宋体"/>
          <w:sz w:val="24"/>
        </w:rPr>
        <w:t>3、国家相应的标准、规范。</w:t>
      </w:r>
    </w:p>
    <w:p w14:paraId="31CB1720">
      <w:pPr>
        <w:spacing w:line="450" w:lineRule="exact"/>
        <w:ind w:left="446"/>
        <w:rPr>
          <w:rFonts w:hint="eastAsia" w:ascii="宋体" w:hAnsi="宋体"/>
          <w:sz w:val="24"/>
        </w:rPr>
      </w:pPr>
      <w:r>
        <w:rPr>
          <w:rFonts w:hint="eastAsia" w:ascii="宋体" w:hAnsi="宋体"/>
          <w:b/>
          <w:sz w:val="24"/>
        </w:rPr>
        <w:t>第五条  款项结算</w:t>
      </w:r>
    </w:p>
    <w:p w14:paraId="72B957B2">
      <w:pPr>
        <w:spacing w:line="45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一</w:t>
      </w:r>
      <w:r>
        <w:rPr>
          <w:rFonts w:hint="eastAsia" w:ascii="宋体" w:hAnsi="宋体"/>
          <w:sz w:val="24"/>
        </w:rPr>
        <w:t>）合同款由甲方负责结算，在付款前，乙方必须开具全额发票给甲方，否则，甲方有权拒绝付款，且无需承担任何责任，乙方不得以此为由拒绝履行合同义务。</w:t>
      </w:r>
    </w:p>
    <w:p w14:paraId="79D8092B">
      <w:pPr>
        <w:tabs>
          <w:tab w:val="left" w:pos="840"/>
        </w:tabs>
        <w:kinsoku w:val="0"/>
        <w:spacing w:line="450" w:lineRule="exact"/>
        <w:ind w:firstLine="480" w:firstLineChars="200"/>
        <w:rPr>
          <w:rFonts w:hint="default" w:ascii="宋体" w:hAnsi="宋体" w:eastAsia="宋体"/>
          <w:sz w:val="24"/>
          <w:u w:val="single"/>
          <w:lang w:val="en-US" w:eastAsia="zh-CN"/>
        </w:rPr>
      </w:pPr>
      <w:r>
        <w:rPr>
          <w:rFonts w:hint="eastAsia" w:ascii="宋体" w:hAnsi="宋体"/>
          <w:sz w:val="24"/>
        </w:rPr>
        <w:t>（</w:t>
      </w:r>
      <w:r>
        <w:rPr>
          <w:rFonts w:hint="eastAsia" w:ascii="宋体" w:hAnsi="宋体"/>
          <w:sz w:val="24"/>
          <w:lang w:val="en-US" w:eastAsia="zh-CN"/>
        </w:rPr>
        <w:t>二</w:t>
      </w:r>
      <w:r>
        <w:rPr>
          <w:rFonts w:hint="eastAsia" w:ascii="宋体" w:hAnsi="宋体"/>
          <w:sz w:val="24"/>
        </w:rPr>
        <w:t>）货到并安装调试完毕由甲方验收。</w:t>
      </w:r>
      <w:r>
        <w:rPr>
          <w:rFonts w:hint="eastAsia" w:ascii="宋体" w:hAnsi="宋体"/>
          <w:sz w:val="24"/>
          <w:u w:val="single"/>
          <w:lang w:val="en-US" w:eastAsia="zh-CN"/>
        </w:rPr>
        <w:t xml:space="preserve">     </w:t>
      </w:r>
      <w:r>
        <w:rPr>
          <w:rFonts w:hint="eastAsia" w:ascii="宋体" w:hAnsi="宋体"/>
          <w:sz w:val="24"/>
          <w:highlight w:val="yellow"/>
          <w:u w:val="single"/>
          <w:lang w:val="en-US" w:eastAsia="zh-CN"/>
        </w:rPr>
        <w:t xml:space="preserve"> （填写付款方式）  </w:t>
      </w:r>
      <w:r>
        <w:rPr>
          <w:rFonts w:hint="eastAsia" w:ascii="宋体" w:hAnsi="宋体"/>
          <w:sz w:val="24"/>
          <w:u w:val="single"/>
          <w:lang w:val="en-US" w:eastAsia="zh-CN"/>
        </w:rPr>
        <w:t xml:space="preserve">                    </w:t>
      </w:r>
    </w:p>
    <w:p w14:paraId="398CCCA9">
      <w:pPr>
        <w:tabs>
          <w:tab w:val="left" w:pos="840"/>
        </w:tabs>
        <w:kinsoku w:val="0"/>
        <w:spacing w:line="45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三</w:t>
      </w:r>
      <w:r>
        <w:rPr>
          <w:rFonts w:hint="eastAsia" w:ascii="宋体" w:hAnsi="宋体"/>
          <w:sz w:val="24"/>
        </w:rPr>
        <w:t>）付款账户信息：</w:t>
      </w:r>
    </w:p>
    <w:p w14:paraId="51B21597">
      <w:pPr>
        <w:tabs>
          <w:tab w:val="left" w:pos="840"/>
        </w:tabs>
        <w:kinsoku w:val="0"/>
        <w:spacing w:line="450" w:lineRule="exact"/>
        <w:ind w:firstLine="480" w:firstLineChars="200"/>
        <w:rPr>
          <w:rFonts w:hint="eastAsia" w:ascii="宋体" w:hAnsi="宋体"/>
          <w:sz w:val="24"/>
        </w:rPr>
      </w:pPr>
      <w:r>
        <w:rPr>
          <w:rFonts w:hint="eastAsia" w:ascii="宋体" w:hAnsi="宋体"/>
          <w:sz w:val="24"/>
        </w:rPr>
        <w:t>甲方和乙方的付款必须按合同中所提供的户名及账户进行银行结算。</w:t>
      </w:r>
    </w:p>
    <w:p w14:paraId="192B6D10">
      <w:pPr>
        <w:tabs>
          <w:tab w:val="left" w:pos="840"/>
        </w:tabs>
        <w:kinsoku w:val="0"/>
        <w:spacing w:line="450" w:lineRule="exact"/>
        <w:ind w:firstLine="480" w:firstLineChars="200"/>
        <w:rPr>
          <w:rFonts w:hint="default" w:ascii="宋体" w:hAnsi="宋体" w:eastAsia="宋体"/>
          <w:sz w:val="24"/>
          <w:highlight w:val="yellow"/>
          <w:u w:val="single"/>
          <w:lang w:val="en-US" w:eastAsia="zh-CN"/>
        </w:rPr>
      </w:pPr>
      <w:r>
        <w:rPr>
          <w:rFonts w:hint="eastAsia" w:ascii="宋体" w:hAnsi="宋体"/>
          <w:sz w:val="24"/>
        </w:rPr>
        <w:t>乙方账户信息：</w:t>
      </w:r>
      <w:r>
        <w:rPr>
          <w:rFonts w:hint="eastAsia" w:ascii="宋体" w:hAnsi="宋体"/>
          <w:sz w:val="24"/>
          <w:highlight w:val="yellow"/>
          <w:u w:val="single"/>
          <w:lang w:eastAsia="zh-CN"/>
        </w:rPr>
        <w:t>单位名称：</w:t>
      </w:r>
      <w:r>
        <w:rPr>
          <w:rFonts w:hint="eastAsia" w:ascii="宋体" w:hAnsi="宋体"/>
          <w:sz w:val="24"/>
          <w:highlight w:val="yellow"/>
          <w:u w:val="single"/>
          <w:lang w:val="en-US" w:eastAsia="zh-CN"/>
        </w:rPr>
        <w:t xml:space="preserve">                                       </w:t>
      </w:r>
    </w:p>
    <w:p w14:paraId="197A83D8">
      <w:pPr>
        <w:tabs>
          <w:tab w:val="left" w:pos="840"/>
        </w:tabs>
        <w:kinsoku w:val="0"/>
        <w:spacing w:line="450" w:lineRule="exact"/>
        <w:ind w:firstLine="2160" w:firstLineChars="900"/>
        <w:rPr>
          <w:rFonts w:hint="default" w:ascii="宋体" w:hAnsi="宋体" w:eastAsia="宋体" w:cs="Times New Roman"/>
          <w:sz w:val="24"/>
          <w:highlight w:val="yellow"/>
          <w:u w:val="single"/>
          <w:lang w:val="en-US" w:eastAsia="zh-CN"/>
        </w:rPr>
      </w:pPr>
      <w:r>
        <w:rPr>
          <w:rFonts w:hint="eastAsia" w:ascii="宋体" w:hAnsi="宋体"/>
          <w:sz w:val="24"/>
          <w:highlight w:val="yellow"/>
          <w:u w:val="single"/>
          <w:lang w:val="en-US" w:eastAsia="zh-CN"/>
        </w:rPr>
        <w:t xml:space="preserve">开户银行：  </w:t>
      </w:r>
      <w:r>
        <w:rPr>
          <w:rFonts w:hint="eastAsia" w:ascii="宋体" w:hAnsi="宋体" w:eastAsia="宋体" w:cs="Times New Roman"/>
          <w:sz w:val="24"/>
          <w:highlight w:val="yellow"/>
          <w:u w:val="single"/>
          <w:lang w:val="en-US" w:eastAsia="zh-CN"/>
        </w:rPr>
        <w:t xml:space="preserve">                                     </w:t>
      </w:r>
    </w:p>
    <w:p w14:paraId="169B5E84">
      <w:pPr>
        <w:tabs>
          <w:tab w:val="left" w:pos="840"/>
        </w:tabs>
        <w:kinsoku w:val="0"/>
        <w:spacing w:line="450" w:lineRule="exact"/>
        <w:ind w:firstLine="2160" w:firstLineChars="900"/>
        <w:rPr>
          <w:rFonts w:hint="default" w:ascii="宋体" w:hAnsi="宋体" w:eastAsia="宋体"/>
          <w:sz w:val="24"/>
          <w:highlight w:val="yellow"/>
          <w:u w:val="single"/>
          <w:lang w:val="en-US" w:eastAsia="zh-CN"/>
        </w:rPr>
      </w:pPr>
      <w:r>
        <w:rPr>
          <w:rFonts w:hint="eastAsia" w:ascii="宋体" w:hAnsi="宋体" w:eastAsia="宋体" w:cs="Times New Roman"/>
          <w:sz w:val="24"/>
          <w:highlight w:val="yellow"/>
          <w:u w:val="single"/>
          <w:lang w:val="en-US" w:eastAsia="zh-CN"/>
        </w:rPr>
        <w:t>账    号：</w:t>
      </w:r>
      <w:r>
        <w:rPr>
          <w:rFonts w:hint="eastAsia" w:ascii="宋体" w:hAnsi="宋体"/>
          <w:sz w:val="24"/>
          <w:highlight w:val="yellow"/>
          <w:u w:val="single"/>
          <w:lang w:val="en-US" w:eastAsia="zh-CN"/>
        </w:rPr>
        <w:t xml:space="preserve">                  </w:t>
      </w:r>
      <w:r>
        <w:rPr>
          <w:rFonts w:hint="eastAsia" w:ascii="宋体" w:hAnsi="宋体"/>
          <w:sz w:val="24"/>
          <w:highlight w:val="yellow"/>
          <w:u w:val="single"/>
        </w:rPr>
        <w:t xml:space="preserve">  </w:t>
      </w:r>
      <w:r>
        <w:rPr>
          <w:rFonts w:hint="eastAsia" w:ascii="宋体" w:hAnsi="宋体"/>
          <w:sz w:val="24"/>
          <w:highlight w:val="yellow"/>
          <w:u w:val="single"/>
          <w:lang w:val="en-US" w:eastAsia="zh-CN"/>
        </w:rPr>
        <w:t xml:space="preserve">                   </w:t>
      </w:r>
    </w:p>
    <w:p w14:paraId="4BCC1630">
      <w:pPr>
        <w:spacing w:line="450" w:lineRule="exact"/>
        <w:ind w:firstLine="482" w:firstLineChars="200"/>
        <w:rPr>
          <w:rFonts w:hint="eastAsia" w:ascii="宋体" w:hAnsi="宋体"/>
          <w:b/>
          <w:sz w:val="24"/>
        </w:rPr>
      </w:pPr>
      <w:r>
        <w:rPr>
          <w:rFonts w:hint="eastAsia" w:ascii="宋体" w:hAnsi="宋体"/>
          <w:b/>
          <w:sz w:val="24"/>
        </w:rPr>
        <w:t>第六条  质量保证及免费技术服务</w:t>
      </w:r>
    </w:p>
    <w:p w14:paraId="41A52AB9">
      <w:pPr>
        <w:spacing w:line="450" w:lineRule="exact"/>
        <w:ind w:firstLine="480" w:firstLineChars="200"/>
        <w:rPr>
          <w:rFonts w:hint="eastAsia" w:ascii="宋体" w:hAnsi="宋体"/>
          <w:sz w:val="24"/>
        </w:rPr>
      </w:pPr>
      <w:r>
        <w:rPr>
          <w:rFonts w:hint="eastAsia" w:ascii="宋体" w:hAnsi="宋体"/>
          <w:sz w:val="24"/>
        </w:rPr>
        <w:t>乙方所供货物必须执行下列条款：</w:t>
      </w:r>
    </w:p>
    <w:p w14:paraId="4D3FD293">
      <w:pPr>
        <w:spacing w:line="450" w:lineRule="exact"/>
        <w:ind w:firstLine="480" w:firstLineChars="200"/>
        <w:rPr>
          <w:rFonts w:hint="default" w:ascii="宋体" w:hAnsi="宋体" w:eastAsia="宋体"/>
          <w:sz w:val="24"/>
          <w:lang w:val="en-US" w:eastAsia="zh-CN"/>
        </w:rPr>
      </w:pPr>
      <w:r>
        <w:rPr>
          <w:rFonts w:hint="eastAsia" w:ascii="宋体" w:hAnsi="宋体"/>
          <w:sz w:val="24"/>
        </w:rPr>
        <w:t>（一）选用的货物保证技术指标符合要求、质量性能可靠、进货渠道正常，配置合理，全面满足招标文件要求</w:t>
      </w:r>
      <w:r>
        <w:rPr>
          <w:rFonts w:hint="eastAsia" w:ascii="宋体" w:hAnsi="宋体"/>
          <w:sz w:val="24"/>
          <w:lang w:eastAsia="zh-CN"/>
        </w:rPr>
        <w:t>，</w:t>
      </w:r>
      <w:r>
        <w:rPr>
          <w:rFonts w:hint="eastAsia" w:ascii="宋体" w:hAnsi="宋体"/>
          <w:sz w:val="24"/>
        </w:rPr>
        <w:t>适合安装场所的使用</w:t>
      </w:r>
      <w:r>
        <w:rPr>
          <w:rFonts w:hint="eastAsia" w:ascii="宋体" w:hAnsi="宋体"/>
          <w:sz w:val="24"/>
          <w:lang w:val="en-US" w:eastAsia="zh-CN"/>
        </w:rPr>
        <w:t>,且货物不存在任何权利瑕疵，若第三方提起侵权控告，由乙方承担全部法律责任和费用。</w:t>
      </w:r>
    </w:p>
    <w:p w14:paraId="62766916">
      <w:pPr>
        <w:spacing w:line="450" w:lineRule="exact"/>
        <w:ind w:firstLine="480" w:firstLineChars="200"/>
        <w:rPr>
          <w:rFonts w:hint="eastAsia" w:ascii="宋体" w:hAnsi="宋体"/>
          <w:sz w:val="24"/>
        </w:rPr>
      </w:pPr>
      <w:r>
        <w:rPr>
          <w:rFonts w:hint="eastAsia" w:ascii="宋体" w:hAnsi="宋体"/>
          <w:sz w:val="24"/>
        </w:rPr>
        <w:t>（二）</w:t>
      </w:r>
      <w:r>
        <w:rPr>
          <w:rFonts w:hint="eastAsia" w:ascii="宋体" w:hAnsi="宋体"/>
          <w:sz w:val="24"/>
        </w:rPr>
        <w:t>货物符合国家有关规范要求，</w:t>
      </w:r>
      <w:r>
        <w:rPr>
          <w:rFonts w:hint="eastAsia" w:ascii="宋体" w:hAnsi="宋体"/>
          <w:sz w:val="24"/>
          <w:lang w:val="zh-CN"/>
        </w:rPr>
        <w:t>具有良好的外观和使用性能，</w:t>
      </w:r>
      <w:r>
        <w:rPr>
          <w:rFonts w:hint="eastAsia" w:ascii="宋体" w:hAnsi="宋体"/>
          <w:sz w:val="24"/>
        </w:rPr>
        <w:t>确保整个货物达到最佳运行状态</w:t>
      </w:r>
      <w:r>
        <w:rPr>
          <w:rFonts w:hint="eastAsia" w:ascii="宋体" w:hAnsi="宋体"/>
          <w:sz w:val="24"/>
          <w:lang w:eastAsia="zh-CN"/>
        </w:rPr>
        <w:t>，</w:t>
      </w:r>
      <w:r>
        <w:rPr>
          <w:rFonts w:hint="eastAsia" w:ascii="宋体" w:hAnsi="宋体"/>
          <w:sz w:val="24"/>
          <w:lang w:val="zh-CN"/>
        </w:rPr>
        <w:t>适合所需科室的使用。</w:t>
      </w:r>
    </w:p>
    <w:p w14:paraId="65AC8FF6">
      <w:pPr>
        <w:spacing w:line="450" w:lineRule="exact"/>
        <w:ind w:firstLine="480" w:firstLineChars="200"/>
        <w:rPr>
          <w:rFonts w:hint="eastAsia" w:ascii="宋体" w:hAnsi="宋体" w:eastAsia="宋体"/>
          <w:sz w:val="24"/>
          <w:highlight w:val="none"/>
          <w:lang w:eastAsia="zh-CN"/>
        </w:rPr>
      </w:pPr>
      <w:r>
        <w:rPr>
          <w:rFonts w:hint="eastAsia" w:ascii="宋体" w:hAnsi="宋体"/>
          <w:sz w:val="24"/>
        </w:rPr>
        <w:t>（三）</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所供产品具有或已取得合法知识产权，保证所供产品及服务不会出现因第三方提出侵犯其专利权、商标权或其它知识产权而引发法律或经济纠纷，否则由</w:t>
      </w:r>
      <w:r>
        <w:rPr>
          <w:rFonts w:hint="eastAsia" w:ascii="宋体" w:hAnsi="宋体" w:eastAsia="宋体" w:cs="宋体"/>
          <w:sz w:val="24"/>
          <w:szCs w:val="24"/>
          <w:highlight w:val="none"/>
          <w:lang w:val="en-US" w:eastAsia="zh-CN"/>
        </w:rPr>
        <w:t>乙方</w:t>
      </w:r>
      <w:r>
        <w:rPr>
          <w:rFonts w:hint="eastAsia" w:ascii="宋体" w:hAnsi="宋体" w:eastAsia="宋体" w:cs="宋体"/>
          <w:sz w:val="24"/>
          <w:szCs w:val="24"/>
          <w:highlight w:val="none"/>
        </w:rPr>
        <w:t>负责解决并承担全部责任</w:t>
      </w:r>
      <w:r>
        <w:rPr>
          <w:rFonts w:hint="eastAsia" w:ascii="宋体" w:hAnsi="宋体" w:eastAsia="宋体" w:cs="宋体"/>
          <w:sz w:val="24"/>
          <w:szCs w:val="24"/>
          <w:highlight w:val="none"/>
          <w:lang w:eastAsia="zh-CN"/>
        </w:rPr>
        <w:t>。</w:t>
      </w:r>
    </w:p>
    <w:p w14:paraId="2B37DD0E">
      <w:pPr>
        <w:spacing w:line="450" w:lineRule="exact"/>
        <w:ind w:firstLine="480" w:firstLineChars="200"/>
        <w:rPr>
          <w:rFonts w:hint="eastAsia" w:ascii="宋体" w:hAnsi="宋体"/>
          <w:sz w:val="24"/>
        </w:rPr>
      </w:pPr>
      <w:r>
        <w:rPr>
          <w:rFonts w:hint="eastAsia" w:ascii="宋体" w:hAnsi="宋体"/>
          <w:sz w:val="24"/>
        </w:rPr>
        <w:t>（四）货物自安装、调试正常运行并验收合格之日起，免费保修</w:t>
      </w:r>
      <w:r>
        <w:rPr>
          <w:rFonts w:hint="eastAsia" w:ascii="宋体" w:hAnsi="宋体"/>
          <w:sz w:val="24"/>
          <w:highlight w:val="yellow"/>
          <w:u w:val="single"/>
        </w:rPr>
        <w:t xml:space="preserve">  </w:t>
      </w:r>
      <w:r>
        <w:rPr>
          <w:rFonts w:hint="eastAsia" w:ascii="宋体" w:hAnsi="宋体"/>
          <w:sz w:val="24"/>
          <w:highlight w:val="yellow"/>
          <w:u w:val="single"/>
          <w:lang w:val="en-US" w:eastAsia="zh-CN"/>
        </w:rPr>
        <w:t xml:space="preserve">   </w:t>
      </w:r>
      <w:r>
        <w:rPr>
          <w:rFonts w:hint="eastAsia" w:ascii="宋体" w:hAnsi="宋体"/>
          <w:sz w:val="24"/>
        </w:rPr>
        <w:t>个月</w:t>
      </w:r>
      <w:r>
        <w:rPr>
          <w:rFonts w:hint="eastAsia" w:ascii="宋体" w:hAnsi="宋体"/>
          <w:sz w:val="24"/>
          <w:lang w:eastAsia="zh-CN"/>
        </w:rPr>
        <w:t>，</w:t>
      </w:r>
      <w:r>
        <w:rPr>
          <w:rFonts w:hint="eastAsia" w:ascii="宋体" w:hAnsi="宋体"/>
          <w:sz w:val="24"/>
          <w:highlight w:val="none"/>
          <w:lang w:val="en-US" w:eastAsia="zh-CN"/>
        </w:rPr>
        <w:t>提供终身维修服务</w:t>
      </w:r>
      <w:r>
        <w:rPr>
          <w:rFonts w:hint="eastAsia" w:ascii="宋体" w:hAnsi="宋体"/>
          <w:sz w:val="24"/>
        </w:rPr>
        <w:t>。货物自安装、调试正常运行并验收合格之日起</w:t>
      </w:r>
      <w:r>
        <w:rPr>
          <w:rFonts w:hint="eastAsia" w:ascii="宋体" w:hAnsi="宋体"/>
          <w:sz w:val="24"/>
          <w:u w:val="single"/>
        </w:rPr>
        <w:t xml:space="preserve">  30 </w:t>
      </w:r>
      <w:r>
        <w:rPr>
          <w:rFonts w:hint="eastAsia" w:ascii="宋体" w:hAnsi="宋体"/>
          <w:sz w:val="24"/>
        </w:rPr>
        <w:t>个工作日内，如出现质量问题，可以选择换货或退货。</w:t>
      </w:r>
    </w:p>
    <w:p w14:paraId="746C0267">
      <w:pPr>
        <w:spacing w:line="450" w:lineRule="exact"/>
        <w:ind w:firstLine="480" w:firstLineChars="200"/>
        <w:rPr>
          <w:rFonts w:hint="eastAsia" w:ascii="宋体" w:hAnsi="宋体"/>
          <w:sz w:val="24"/>
        </w:rPr>
      </w:pPr>
      <w:r>
        <w:rPr>
          <w:rFonts w:hint="eastAsia" w:ascii="宋体" w:hAnsi="宋体"/>
          <w:sz w:val="24"/>
        </w:rPr>
        <w:t>（五）质保期内，免费维修、免费更换配件及养护，响应时间及更换的所有零配件须符合本合同约定及规定的商务和技术要求。</w:t>
      </w:r>
    </w:p>
    <w:p w14:paraId="6CFCE052">
      <w:pPr>
        <w:spacing w:line="450" w:lineRule="exact"/>
        <w:ind w:firstLine="480" w:firstLineChars="200"/>
        <w:rPr>
          <w:rFonts w:hint="eastAsia" w:ascii="宋体" w:hAnsi="宋体"/>
          <w:sz w:val="24"/>
        </w:rPr>
      </w:pPr>
      <w:r>
        <w:rPr>
          <w:rFonts w:hint="eastAsia" w:ascii="宋体" w:hAnsi="宋体"/>
          <w:sz w:val="24"/>
        </w:rPr>
        <w:t>（六）乙方在质保期内须按合同约定积极向甲方履行质保</w:t>
      </w:r>
      <w:r>
        <w:rPr>
          <w:rFonts w:hint="eastAsia" w:ascii="宋体" w:hAnsi="宋体"/>
          <w:sz w:val="24"/>
          <w:lang w:val="en-US" w:eastAsia="zh-CN"/>
        </w:rPr>
        <w:t>服务</w:t>
      </w:r>
      <w:r>
        <w:rPr>
          <w:rFonts w:hint="eastAsia" w:ascii="宋体" w:hAnsi="宋体"/>
          <w:sz w:val="24"/>
        </w:rPr>
        <w:t>义务，否则乙方应按合同总金额的10％向甲方支付违约金。</w:t>
      </w:r>
    </w:p>
    <w:p w14:paraId="6932BD51">
      <w:pPr>
        <w:keepNext w:val="0"/>
        <w:keepLines w:val="0"/>
        <w:pageBreakBefore w:val="0"/>
        <w:widowControl w:val="0"/>
        <w:wordWrap/>
        <w:autoSpaceDE/>
        <w:autoSpaceDN/>
        <w:bidi w:val="0"/>
        <w:adjustRightInd/>
        <w:snapToGrid/>
        <w:spacing w:line="470" w:lineRule="exact"/>
        <w:ind w:firstLine="480" w:firstLineChars="200"/>
        <w:textAlignment w:val="auto"/>
        <w:rPr>
          <w:rFonts w:hint="eastAsia" w:ascii="宋体" w:hAnsi="宋体"/>
          <w:sz w:val="24"/>
          <w:lang w:val="en-US" w:eastAsia="zh-CN"/>
        </w:rPr>
      </w:pPr>
      <w:r>
        <w:rPr>
          <w:rFonts w:hint="eastAsia" w:ascii="宋体" w:hAnsi="宋体"/>
          <w:sz w:val="24"/>
          <w:lang w:eastAsia="zh-CN"/>
        </w:rPr>
        <w:t>（</w:t>
      </w:r>
      <w:r>
        <w:rPr>
          <w:rFonts w:hint="eastAsia" w:ascii="宋体" w:hAnsi="宋体"/>
          <w:sz w:val="24"/>
          <w:lang w:val="en-US" w:eastAsia="zh-CN"/>
        </w:rPr>
        <w:t>七</w:t>
      </w:r>
      <w:r>
        <w:rPr>
          <w:rFonts w:hint="eastAsia" w:ascii="宋体" w:hAnsi="宋体"/>
          <w:sz w:val="24"/>
          <w:lang w:eastAsia="zh-CN"/>
        </w:rPr>
        <w:t>）</w:t>
      </w:r>
      <w:r>
        <w:rPr>
          <w:rFonts w:hint="eastAsia" w:ascii="宋体" w:hAnsi="宋体"/>
          <w:sz w:val="24"/>
          <w:lang w:val="en-US" w:eastAsia="zh-CN"/>
        </w:rPr>
        <w:t>无论是否在质保期内，乙方均应对因产品自身系统缺陷而产生的故障免费负责解决。如因乙方产品自身系统缺陷而造成甲方或第三方任何人身或财产损失的，乙方应当承担赔偿责任。</w:t>
      </w:r>
    </w:p>
    <w:p w14:paraId="1829CF0F">
      <w:pPr>
        <w:spacing w:line="45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八</w:t>
      </w:r>
      <w:r>
        <w:rPr>
          <w:rFonts w:hint="eastAsia" w:ascii="宋体" w:hAnsi="宋体"/>
          <w:sz w:val="24"/>
        </w:rPr>
        <w:t>）免费技术服务</w:t>
      </w:r>
    </w:p>
    <w:p w14:paraId="1DF8381A">
      <w:pPr>
        <w:spacing w:line="450" w:lineRule="exact"/>
        <w:ind w:firstLine="480" w:firstLineChars="200"/>
        <w:rPr>
          <w:rFonts w:hint="eastAsia" w:ascii="宋体" w:hAnsi="宋体"/>
          <w:sz w:val="24"/>
        </w:rPr>
      </w:pPr>
      <w:r>
        <w:rPr>
          <w:rFonts w:hint="eastAsia" w:ascii="宋体" w:hAnsi="宋体"/>
          <w:sz w:val="24"/>
        </w:rPr>
        <w:t xml:space="preserve">1、安装调试：   </w:t>
      </w:r>
    </w:p>
    <w:p w14:paraId="73043821">
      <w:pPr>
        <w:spacing w:line="450" w:lineRule="exact"/>
        <w:ind w:firstLine="480" w:firstLineChars="200"/>
        <w:rPr>
          <w:rFonts w:hint="eastAsia" w:ascii="宋体" w:hAnsi="宋体"/>
          <w:sz w:val="24"/>
        </w:rPr>
      </w:pPr>
      <w:r>
        <w:rPr>
          <w:rFonts w:hint="eastAsia" w:ascii="宋体" w:hAnsi="宋体"/>
          <w:sz w:val="24"/>
        </w:rPr>
        <w:t>乙方专业人员对甲方购买的货物进行现场安装和调试。</w:t>
      </w:r>
    </w:p>
    <w:p w14:paraId="3CA2B499">
      <w:pPr>
        <w:spacing w:line="450" w:lineRule="exact"/>
        <w:ind w:firstLine="480" w:firstLineChars="200"/>
        <w:rPr>
          <w:rFonts w:hint="eastAsia" w:ascii="宋体" w:hAnsi="宋体"/>
          <w:sz w:val="24"/>
        </w:rPr>
      </w:pPr>
      <w:r>
        <w:rPr>
          <w:rFonts w:hint="eastAsia" w:ascii="宋体" w:hAnsi="宋体"/>
          <w:sz w:val="24"/>
        </w:rPr>
        <w:t>2、培训学习：</w:t>
      </w:r>
    </w:p>
    <w:p w14:paraId="47C13C61">
      <w:pPr>
        <w:spacing w:line="450" w:lineRule="exact"/>
        <w:ind w:firstLine="480" w:firstLineChars="200"/>
        <w:rPr>
          <w:rFonts w:hint="eastAsia" w:ascii="宋体" w:hAnsi="宋体" w:eastAsia="宋体"/>
          <w:sz w:val="24"/>
          <w:lang w:eastAsia="zh-CN"/>
        </w:rPr>
      </w:pPr>
      <w:r>
        <w:rPr>
          <w:rFonts w:hint="eastAsia" w:ascii="宋体" w:hAnsi="宋体"/>
          <w:sz w:val="24"/>
        </w:rPr>
        <w:t>安装调试技术人员免费现场操作培训，包括介绍仪器操作、日常保养及维护方法</w:t>
      </w:r>
      <w:r>
        <w:rPr>
          <w:rFonts w:hint="eastAsia" w:ascii="宋体" w:hAnsi="宋体"/>
          <w:sz w:val="24"/>
          <w:lang w:eastAsia="zh-CN"/>
        </w:rPr>
        <w:t>。</w:t>
      </w:r>
    </w:p>
    <w:p w14:paraId="0F31EB66">
      <w:pPr>
        <w:spacing w:line="450" w:lineRule="exact"/>
        <w:ind w:firstLine="480" w:firstLineChars="200"/>
        <w:rPr>
          <w:rFonts w:hint="eastAsia" w:ascii="宋体" w:hAnsi="宋体"/>
          <w:sz w:val="24"/>
        </w:rPr>
      </w:pPr>
      <w:r>
        <w:rPr>
          <w:rFonts w:hint="eastAsia" w:ascii="宋体" w:hAnsi="宋体"/>
          <w:sz w:val="24"/>
        </w:rPr>
        <w:t>3、响应时间：</w:t>
      </w:r>
    </w:p>
    <w:p w14:paraId="6B07311F">
      <w:pPr>
        <w:spacing w:line="450" w:lineRule="exact"/>
        <w:ind w:firstLine="480" w:firstLineChars="200"/>
        <w:rPr>
          <w:rFonts w:hint="eastAsia" w:ascii="宋体" w:hAnsi="宋体"/>
          <w:sz w:val="24"/>
          <w:highlight w:val="none"/>
        </w:rPr>
      </w:pPr>
      <w:r>
        <w:rPr>
          <w:rFonts w:hint="eastAsia" w:ascii="宋体" w:hAnsi="宋体"/>
          <w:sz w:val="24"/>
        </w:rPr>
        <w:t>接到甲方质量垂询电话，保证</w:t>
      </w:r>
      <w:r>
        <w:rPr>
          <w:rFonts w:hint="eastAsia" w:ascii="宋体" w:hAnsi="宋体"/>
          <w:sz w:val="24"/>
          <w:highlight w:val="yellow"/>
        </w:rPr>
        <w:t xml:space="preserve"> </w:t>
      </w:r>
      <w:r>
        <w:rPr>
          <w:rFonts w:hint="eastAsia" w:ascii="宋体" w:hAnsi="宋体"/>
          <w:sz w:val="24"/>
          <w:highlight w:val="yellow"/>
          <w:u w:val="single"/>
        </w:rPr>
        <w:t xml:space="preserve">  </w:t>
      </w:r>
      <w:r>
        <w:rPr>
          <w:rFonts w:hint="eastAsia" w:ascii="宋体" w:hAnsi="宋体"/>
          <w:sz w:val="24"/>
        </w:rPr>
        <w:t>小时内给予做出电话回应，并提出解决方案；</w:t>
      </w:r>
      <w:r>
        <w:rPr>
          <w:rFonts w:hint="eastAsia" w:ascii="宋体" w:hAnsi="宋体"/>
          <w:sz w:val="24"/>
          <w:highlight w:val="yellow"/>
          <w:u w:val="single"/>
        </w:rPr>
        <w:t xml:space="preserve">  </w:t>
      </w:r>
      <w:r>
        <w:rPr>
          <w:rFonts w:hint="eastAsia" w:ascii="宋体" w:hAnsi="宋体"/>
          <w:sz w:val="24"/>
          <w:highlight w:val="yellow"/>
          <w:u w:val="single"/>
          <w:lang w:val="en-US" w:eastAsia="zh-CN"/>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小时之内到达现场，</w:t>
      </w:r>
      <w:r>
        <w:rPr>
          <w:rFonts w:hint="eastAsia" w:ascii="宋体" w:hAnsi="宋体"/>
          <w:sz w:val="24"/>
          <w:highlight w:val="yellow"/>
          <w:u w:val="single"/>
        </w:rPr>
        <w:t xml:space="preserve">  </w:t>
      </w:r>
      <w:r>
        <w:rPr>
          <w:rFonts w:hint="eastAsia" w:ascii="宋体" w:hAnsi="宋体"/>
          <w:sz w:val="24"/>
          <w:highlight w:val="yellow"/>
          <w:u w:val="single"/>
          <w:lang w:val="en-US" w:eastAsia="zh-CN"/>
        </w:rPr>
        <w:t xml:space="preserve">   </w:t>
      </w:r>
      <w:r>
        <w:rPr>
          <w:rFonts w:hint="eastAsia" w:ascii="宋体" w:hAnsi="宋体"/>
          <w:sz w:val="24"/>
          <w:u w:val="single"/>
        </w:rPr>
        <w:t xml:space="preserve"> </w:t>
      </w:r>
      <w:r>
        <w:rPr>
          <w:rFonts w:hint="eastAsia" w:ascii="宋体" w:hAnsi="宋体"/>
          <w:sz w:val="24"/>
        </w:rPr>
        <w:t>小时内维修并保证甲方设备尽快恢复使用。</w:t>
      </w:r>
      <w:r>
        <w:rPr>
          <w:rFonts w:hint="eastAsia" w:ascii="宋体" w:hAnsi="宋体"/>
          <w:sz w:val="24"/>
          <w:highlight w:val="yellow"/>
          <w:u w:val="single"/>
          <w:lang w:val="en-US" w:eastAsia="zh-CN"/>
        </w:rPr>
        <w:t xml:space="preserve">    </w:t>
      </w:r>
      <w:r>
        <w:rPr>
          <w:rFonts w:hint="eastAsia" w:ascii="宋体" w:hAnsi="宋体"/>
          <w:sz w:val="24"/>
          <w:u w:val="none"/>
          <w:lang w:val="en-US" w:eastAsia="zh-CN"/>
        </w:rPr>
        <w:t>个</w:t>
      </w:r>
      <w:r>
        <w:rPr>
          <w:rFonts w:hint="eastAsia" w:ascii="宋体" w:hAnsi="宋体"/>
          <w:sz w:val="24"/>
          <w:lang w:val="en-US" w:eastAsia="zh-CN"/>
        </w:rPr>
        <w:t>工作日内无法恢复的，</w:t>
      </w:r>
      <w:r>
        <w:rPr>
          <w:rFonts w:hint="eastAsia" w:ascii="宋体" w:hAnsi="宋体"/>
          <w:sz w:val="24"/>
          <w:lang w:val="en-US" w:eastAsia="zh-CN"/>
        </w:rPr>
        <w:t>乙方免费提供替代产品临时替代且替代产品质量不低于中标产品，</w:t>
      </w:r>
      <w:r>
        <w:rPr>
          <w:rFonts w:hint="eastAsia" w:ascii="宋体" w:hAnsi="宋体"/>
          <w:sz w:val="24"/>
        </w:rPr>
        <w:t>确保</w:t>
      </w:r>
      <w:r>
        <w:rPr>
          <w:rFonts w:hint="eastAsia" w:ascii="宋体" w:hAnsi="宋体"/>
          <w:sz w:val="24"/>
          <w:lang w:val="en-US" w:eastAsia="zh-CN"/>
        </w:rPr>
        <w:t>甲方工作</w:t>
      </w:r>
      <w:r>
        <w:rPr>
          <w:rFonts w:hint="eastAsia" w:ascii="宋体" w:hAnsi="宋体"/>
          <w:sz w:val="24"/>
        </w:rPr>
        <w:t>正常运行。</w:t>
      </w:r>
      <w:r>
        <w:rPr>
          <w:rFonts w:hint="eastAsia" w:ascii="宋体" w:hAnsi="宋体"/>
          <w:sz w:val="24"/>
        </w:rPr>
        <w:t>乙方接到甲方通知后，未在约定时间内答复或者进行维修的，甲方可自行组织维修，因此产生的费用均由乙方承担。</w:t>
      </w:r>
    </w:p>
    <w:p w14:paraId="65A89D37">
      <w:pPr>
        <w:spacing w:line="450" w:lineRule="exact"/>
        <w:ind w:firstLine="600" w:firstLineChars="250"/>
        <w:rPr>
          <w:rFonts w:hint="eastAsia" w:ascii="宋体" w:hAnsi="宋体"/>
          <w:sz w:val="24"/>
          <w:highlight w:val="none"/>
        </w:rPr>
      </w:pPr>
      <w:r>
        <w:rPr>
          <w:rFonts w:hint="eastAsia" w:ascii="宋体" w:hAnsi="宋体"/>
          <w:sz w:val="24"/>
          <w:highlight w:val="none"/>
        </w:rPr>
        <w:t>乙方售后服务具体负责人：</w:t>
      </w:r>
      <w:r>
        <w:rPr>
          <w:rFonts w:hint="eastAsia" w:ascii="宋体" w:hAnsi="宋体"/>
          <w:sz w:val="24"/>
          <w:highlight w:val="yellow"/>
          <w:u w:val="single"/>
        </w:rPr>
        <w:t xml:space="preserve">             </w:t>
      </w:r>
      <w:r>
        <w:rPr>
          <w:rFonts w:hint="eastAsia" w:ascii="宋体" w:hAnsi="宋体"/>
          <w:sz w:val="24"/>
          <w:highlight w:val="yellow"/>
        </w:rPr>
        <w:t xml:space="preserve"> </w:t>
      </w:r>
      <w:r>
        <w:rPr>
          <w:rFonts w:hint="eastAsia" w:ascii="宋体" w:hAnsi="宋体"/>
          <w:sz w:val="24"/>
          <w:highlight w:val="none"/>
        </w:rPr>
        <w:t>联系电话：</w:t>
      </w:r>
      <w:r>
        <w:rPr>
          <w:rFonts w:hint="eastAsia" w:ascii="宋体" w:hAnsi="宋体"/>
          <w:sz w:val="24"/>
          <w:highlight w:val="none"/>
          <w:u w:val="single"/>
        </w:rPr>
        <w:t xml:space="preserve"> </w:t>
      </w:r>
      <w:r>
        <w:rPr>
          <w:rFonts w:hint="eastAsia" w:ascii="宋体" w:hAnsi="宋体"/>
          <w:sz w:val="24"/>
          <w:highlight w:val="yellow"/>
          <w:u w:val="single"/>
        </w:rPr>
        <w:t xml:space="preserve">                </w:t>
      </w:r>
      <w:r>
        <w:rPr>
          <w:rFonts w:hint="eastAsia" w:ascii="宋体" w:hAnsi="宋体"/>
          <w:sz w:val="24"/>
          <w:highlight w:val="none"/>
          <w:u w:val="single"/>
        </w:rPr>
        <w:t xml:space="preserve"> </w:t>
      </w:r>
    </w:p>
    <w:p w14:paraId="0DF9AF59">
      <w:pPr>
        <w:spacing w:line="450" w:lineRule="exact"/>
        <w:ind w:firstLine="480" w:firstLineChars="200"/>
        <w:rPr>
          <w:rFonts w:hint="eastAsia" w:ascii="宋体" w:hAnsi="宋体"/>
          <w:sz w:val="24"/>
        </w:rPr>
      </w:pPr>
      <w:r>
        <w:rPr>
          <w:rFonts w:hint="eastAsia" w:ascii="宋体" w:hAnsi="宋体"/>
          <w:sz w:val="24"/>
        </w:rPr>
        <w:t>4、乙方在装卸货物、调试、安装货物及维修服务过程发生的</w:t>
      </w:r>
      <w:r>
        <w:rPr>
          <w:rFonts w:hint="eastAsia" w:ascii="宋体" w:hAnsi="宋体"/>
          <w:sz w:val="24"/>
          <w:lang w:val="en-US" w:eastAsia="zh-CN"/>
        </w:rPr>
        <w:t>乙方、</w:t>
      </w:r>
      <w:r>
        <w:rPr>
          <w:rFonts w:hint="eastAsia" w:ascii="宋体" w:hAnsi="宋体"/>
          <w:sz w:val="24"/>
          <w:highlight w:val="none"/>
          <w:lang w:val="en-US" w:eastAsia="zh-CN"/>
        </w:rPr>
        <w:t>甲方或第三方</w:t>
      </w:r>
      <w:r>
        <w:rPr>
          <w:rFonts w:hint="eastAsia" w:ascii="宋体" w:hAnsi="宋体"/>
          <w:sz w:val="24"/>
          <w:highlight w:val="none"/>
        </w:rPr>
        <w:t>工作人员、雇员</w:t>
      </w:r>
      <w:r>
        <w:rPr>
          <w:rFonts w:hint="eastAsia" w:ascii="宋体" w:hAnsi="宋体"/>
          <w:sz w:val="24"/>
          <w:highlight w:val="none"/>
          <w:lang w:val="en-US" w:eastAsia="zh-CN"/>
        </w:rPr>
        <w:t>等</w:t>
      </w:r>
      <w:r>
        <w:rPr>
          <w:rFonts w:hint="eastAsia" w:ascii="宋体" w:hAnsi="宋体"/>
          <w:sz w:val="24"/>
          <w:highlight w:val="none"/>
        </w:rPr>
        <w:t>人身损害及造成的安全事故、</w:t>
      </w:r>
      <w:r>
        <w:rPr>
          <w:rFonts w:hint="eastAsia" w:ascii="宋体" w:hAnsi="宋体"/>
          <w:sz w:val="24"/>
          <w:highlight w:val="none"/>
          <w:lang w:val="en-US" w:eastAsia="zh-CN"/>
        </w:rPr>
        <w:t>经济损失等责任</w:t>
      </w:r>
      <w:r>
        <w:rPr>
          <w:rFonts w:hint="eastAsia" w:ascii="宋体" w:hAnsi="宋体"/>
          <w:sz w:val="24"/>
          <w:highlight w:val="none"/>
        </w:rPr>
        <w:t>均由乙方承担，与甲方无关。</w:t>
      </w:r>
    </w:p>
    <w:p w14:paraId="62AAB8A1">
      <w:pPr>
        <w:spacing w:line="450" w:lineRule="exact"/>
        <w:rPr>
          <w:rFonts w:hint="eastAsia" w:ascii="宋体" w:hAnsi="宋体"/>
          <w:b/>
          <w:sz w:val="24"/>
        </w:rPr>
      </w:pPr>
      <w:r>
        <w:rPr>
          <w:rFonts w:hint="eastAsia" w:ascii="宋体" w:hAnsi="宋体"/>
          <w:b/>
          <w:sz w:val="24"/>
        </w:rPr>
        <w:t>注：</w:t>
      </w:r>
    </w:p>
    <w:p w14:paraId="782DA942">
      <w:pPr>
        <w:spacing w:line="450" w:lineRule="exact"/>
        <w:rPr>
          <w:rFonts w:hint="eastAsia" w:ascii="宋体" w:hAnsi="宋体"/>
          <w:sz w:val="24"/>
        </w:rPr>
      </w:pPr>
      <w:r>
        <w:rPr>
          <w:rFonts w:hint="eastAsia" w:ascii="宋体" w:hAnsi="宋体"/>
          <w:sz w:val="24"/>
        </w:rPr>
        <w:t xml:space="preserve">    以下情况不在保修范围以内：</w:t>
      </w:r>
    </w:p>
    <w:p w14:paraId="08AEB716">
      <w:pPr>
        <w:spacing w:line="450" w:lineRule="exact"/>
        <w:ind w:firstLine="480" w:firstLineChars="200"/>
        <w:rPr>
          <w:rFonts w:hint="eastAsia" w:ascii="宋体" w:hAnsi="宋体"/>
          <w:sz w:val="24"/>
        </w:rPr>
      </w:pPr>
      <w:r>
        <w:rPr>
          <w:rFonts w:hint="eastAsia" w:ascii="宋体" w:hAnsi="宋体"/>
          <w:sz w:val="24"/>
        </w:rPr>
        <w:t>1、一切人为损坏（例如：甲方自行拆装、故意性破坏操作所引起的仪器故障，均不在保修范围内；</w:t>
      </w:r>
    </w:p>
    <w:p w14:paraId="086962E8">
      <w:pPr>
        <w:spacing w:line="450" w:lineRule="exact"/>
        <w:ind w:firstLine="480" w:firstLineChars="200"/>
        <w:rPr>
          <w:rFonts w:hint="eastAsia" w:ascii="宋体" w:hAnsi="宋体"/>
          <w:sz w:val="24"/>
        </w:rPr>
      </w:pPr>
      <w:r>
        <w:rPr>
          <w:rFonts w:hint="eastAsia" w:ascii="宋体" w:hAnsi="宋体"/>
          <w:sz w:val="24"/>
        </w:rPr>
        <w:t>2、耗材不在保修范围内；</w:t>
      </w:r>
    </w:p>
    <w:p w14:paraId="40CD4569">
      <w:pPr>
        <w:spacing w:line="450" w:lineRule="exact"/>
        <w:ind w:firstLine="480" w:firstLineChars="200"/>
        <w:rPr>
          <w:rFonts w:hint="eastAsia" w:ascii="宋体" w:hAnsi="宋体"/>
          <w:b/>
          <w:bCs/>
          <w:sz w:val="24"/>
        </w:rPr>
      </w:pPr>
      <w:r>
        <w:rPr>
          <w:rFonts w:hint="eastAsia" w:ascii="宋体" w:hAnsi="宋体"/>
          <w:sz w:val="24"/>
        </w:rPr>
        <w:t>3、其它不可抗拒因素（如：地震、火灾、电网事故等）引起的货物损害。</w:t>
      </w:r>
    </w:p>
    <w:p w14:paraId="4CE815C9">
      <w:pPr>
        <w:spacing w:line="450" w:lineRule="exact"/>
        <w:ind w:firstLine="482" w:firstLineChars="200"/>
        <w:rPr>
          <w:rFonts w:hint="eastAsia" w:ascii="宋体" w:hAnsi="宋体"/>
          <w:b/>
          <w:sz w:val="24"/>
        </w:rPr>
      </w:pPr>
      <w:r>
        <w:rPr>
          <w:rFonts w:hint="eastAsia" w:ascii="宋体" w:hAnsi="宋体"/>
          <w:b/>
          <w:sz w:val="24"/>
        </w:rPr>
        <w:t>第七条  双方的权利和义务</w:t>
      </w:r>
    </w:p>
    <w:p w14:paraId="1BFC7688">
      <w:pPr>
        <w:spacing w:line="450" w:lineRule="exact"/>
        <w:ind w:firstLine="480" w:firstLineChars="200"/>
        <w:rPr>
          <w:rFonts w:hint="eastAsia" w:ascii="宋体" w:hAnsi="宋体"/>
          <w:sz w:val="24"/>
        </w:rPr>
      </w:pPr>
      <w:r>
        <w:rPr>
          <w:rFonts w:hint="eastAsia" w:ascii="宋体" w:hAnsi="宋体"/>
          <w:sz w:val="24"/>
        </w:rPr>
        <w:t>（一）甲方</w:t>
      </w:r>
    </w:p>
    <w:p w14:paraId="75A001F2">
      <w:pPr>
        <w:spacing w:line="450" w:lineRule="exact"/>
        <w:ind w:firstLine="480" w:firstLineChars="200"/>
        <w:rPr>
          <w:rFonts w:hint="eastAsia" w:ascii="宋体" w:hAnsi="宋体"/>
          <w:sz w:val="24"/>
        </w:rPr>
      </w:pPr>
      <w:r>
        <w:rPr>
          <w:rFonts w:hint="eastAsia" w:ascii="宋体" w:hAnsi="宋体"/>
          <w:sz w:val="24"/>
        </w:rPr>
        <w:t>负责核准、认定本项目相关技术资料文档；监督、参与项目执行的整个过程（包括安装调试、验收、人员培训、售后服务等）；为乙方提供必要的工作条件，并提供该货物所必需的运行环境；按照合同约定支付各阶段合同款项。</w:t>
      </w:r>
    </w:p>
    <w:p w14:paraId="4DDC0921">
      <w:pPr>
        <w:spacing w:line="450" w:lineRule="exact"/>
        <w:ind w:firstLine="480" w:firstLineChars="200"/>
        <w:rPr>
          <w:rFonts w:hint="eastAsia" w:ascii="宋体" w:hAnsi="宋体"/>
          <w:sz w:val="24"/>
        </w:rPr>
      </w:pPr>
      <w:r>
        <w:rPr>
          <w:rFonts w:hint="eastAsia" w:ascii="宋体" w:hAnsi="宋体"/>
          <w:sz w:val="24"/>
        </w:rPr>
        <w:t>（二）乙方</w:t>
      </w:r>
    </w:p>
    <w:p w14:paraId="26EBA90D">
      <w:pPr>
        <w:spacing w:line="450" w:lineRule="exact"/>
        <w:ind w:firstLine="480" w:firstLineChars="200"/>
        <w:rPr>
          <w:rFonts w:hint="eastAsia" w:ascii="宋体" w:hAnsi="宋体"/>
          <w:sz w:val="24"/>
        </w:rPr>
      </w:pPr>
      <w:r>
        <w:rPr>
          <w:rFonts w:hint="eastAsia" w:ascii="宋体" w:hAnsi="宋体"/>
          <w:sz w:val="24"/>
        </w:rPr>
        <w:t>为甲方提交《项目实施方案》；按时完成货物运行环境的检查；货物的交接；按时完成本合同所涉及货物的安装调试、验收工作；协助配合甲方完成应用系统的整合工作；为甲方提供《货物测试验收报告》；做好整个项目的售后服务及技术支持工作。</w:t>
      </w:r>
    </w:p>
    <w:p w14:paraId="4CEC1EFE">
      <w:pPr>
        <w:spacing w:line="450" w:lineRule="exact"/>
        <w:ind w:firstLine="482" w:firstLineChars="200"/>
        <w:rPr>
          <w:rFonts w:hint="eastAsia" w:ascii="宋体" w:hAnsi="宋体"/>
          <w:b/>
          <w:sz w:val="24"/>
        </w:rPr>
      </w:pPr>
      <w:r>
        <w:rPr>
          <w:rFonts w:hint="eastAsia" w:ascii="宋体" w:hAnsi="宋体"/>
          <w:b/>
          <w:sz w:val="24"/>
        </w:rPr>
        <w:t>第八条  违约责任</w:t>
      </w:r>
    </w:p>
    <w:p w14:paraId="78075A77">
      <w:pPr>
        <w:spacing w:line="450" w:lineRule="exact"/>
        <w:ind w:firstLine="480"/>
        <w:rPr>
          <w:rFonts w:hint="eastAsia" w:ascii="宋体" w:hAnsi="宋体"/>
          <w:sz w:val="24"/>
        </w:rPr>
      </w:pPr>
      <w:r>
        <w:rPr>
          <w:rFonts w:hint="eastAsia" w:ascii="宋体" w:hAnsi="宋体"/>
          <w:sz w:val="24"/>
        </w:rPr>
        <w:t>（一）</w:t>
      </w:r>
      <w:r>
        <w:rPr>
          <w:rFonts w:hint="eastAsia" w:ascii="宋体" w:hAnsi="宋体"/>
          <w:sz w:val="24"/>
          <w:lang w:val="en-US" w:eastAsia="zh-CN"/>
        </w:rPr>
        <w:t>未约定事项</w:t>
      </w:r>
      <w:r>
        <w:rPr>
          <w:rFonts w:hint="eastAsia" w:ascii="宋体" w:hAnsi="宋体"/>
          <w:sz w:val="24"/>
        </w:rPr>
        <w:t>按《中华人民共和国民法典》中的相关条款执行。</w:t>
      </w:r>
    </w:p>
    <w:p w14:paraId="2E3E2D16">
      <w:pPr>
        <w:spacing w:line="450" w:lineRule="exact"/>
        <w:ind w:firstLine="480"/>
        <w:rPr>
          <w:rFonts w:hint="eastAsia" w:ascii="宋体" w:hAnsi="宋体"/>
          <w:sz w:val="24"/>
        </w:rPr>
      </w:pPr>
      <w:r>
        <w:rPr>
          <w:rFonts w:hint="eastAsia" w:ascii="宋体" w:hAnsi="宋体"/>
          <w:sz w:val="24"/>
        </w:rPr>
        <w:t>（二）甲方责任</w:t>
      </w:r>
    </w:p>
    <w:p w14:paraId="6F6BE43E">
      <w:pPr>
        <w:spacing w:line="450" w:lineRule="exact"/>
        <w:ind w:firstLine="484" w:firstLineChars="202"/>
        <w:rPr>
          <w:rFonts w:hint="eastAsia" w:ascii="宋体" w:hAnsi="宋体"/>
          <w:sz w:val="24"/>
        </w:rPr>
      </w:pPr>
      <w:r>
        <w:rPr>
          <w:rFonts w:hint="eastAsia" w:ascii="宋体" w:hAnsi="宋体"/>
          <w:sz w:val="24"/>
        </w:rPr>
        <w:t>1、除乙方产品不符合本合同约定的型号、质量、技术要求等外，甲方不得中途退换货或者拒绝收货。</w:t>
      </w:r>
    </w:p>
    <w:p w14:paraId="1A254978">
      <w:pPr>
        <w:spacing w:line="450" w:lineRule="exact"/>
        <w:ind w:firstLine="484" w:firstLineChars="202"/>
        <w:rPr>
          <w:rFonts w:ascii="宋体" w:hAnsi="宋体"/>
          <w:sz w:val="24"/>
        </w:rPr>
      </w:pPr>
      <w:r>
        <w:rPr>
          <w:rFonts w:hint="eastAsia" w:ascii="宋体" w:hAnsi="宋体"/>
          <w:sz w:val="24"/>
        </w:rPr>
        <w:t>2、</w:t>
      </w:r>
      <w:r>
        <w:rPr>
          <w:rFonts w:ascii="宋体" w:hAnsi="宋体"/>
          <w:sz w:val="24"/>
        </w:rPr>
        <w:t>甲方未按合同约定的时间向乙方付款，应每逾期一日按逾期付款额的</w:t>
      </w:r>
      <w:r>
        <w:rPr>
          <w:rFonts w:hint="eastAsia" w:ascii="宋体" w:hAnsi="宋体"/>
          <w:sz w:val="24"/>
          <w:u w:val="single"/>
        </w:rPr>
        <w:t xml:space="preserve"> </w:t>
      </w:r>
      <w:r>
        <w:rPr>
          <w:rFonts w:hint="eastAsia" w:ascii="宋体" w:hAnsi="宋体"/>
          <w:sz w:val="24"/>
          <w:u w:val="single"/>
          <w:lang w:val="en-US" w:eastAsia="zh-CN"/>
        </w:rPr>
        <w:t>0.5‰</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向乙方支付违约金,最高不超过逾期付款额的</w:t>
      </w:r>
      <w:r>
        <w:rPr>
          <w:rFonts w:hint="eastAsia" w:ascii="宋体" w:hAnsi="宋体"/>
          <w:sz w:val="24"/>
          <w:u w:val="single"/>
        </w:rPr>
        <w:t xml:space="preserve">  </w:t>
      </w:r>
      <w:r>
        <w:rPr>
          <w:rFonts w:hint="eastAsia" w:ascii="宋体" w:hAnsi="宋体"/>
          <w:sz w:val="24"/>
          <w:u w:val="single"/>
          <w:lang w:val="en-US" w:eastAsia="zh-CN"/>
        </w:rPr>
        <w:t>1％</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17C3A8E">
      <w:pPr>
        <w:spacing w:line="450" w:lineRule="exact"/>
        <w:ind w:firstLine="480" w:firstLineChars="200"/>
        <w:rPr>
          <w:rFonts w:hint="eastAsia" w:ascii="宋体" w:hAnsi="宋体"/>
          <w:sz w:val="24"/>
        </w:rPr>
      </w:pPr>
      <w:r>
        <w:rPr>
          <w:rFonts w:hint="eastAsia" w:ascii="宋体" w:hAnsi="宋体"/>
          <w:sz w:val="24"/>
        </w:rPr>
        <w:t>（三）乙方责任</w:t>
      </w:r>
    </w:p>
    <w:p w14:paraId="7DF97632">
      <w:pPr>
        <w:spacing w:line="450" w:lineRule="exact"/>
        <w:ind w:firstLine="480" w:firstLineChars="200"/>
        <w:rPr>
          <w:rFonts w:hint="eastAsia" w:ascii="宋体" w:hAnsi="宋体" w:eastAsia="宋体"/>
          <w:sz w:val="24"/>
          <w:lang w:eastAsia="zh-CN"/>
        </w:rPr>
      </w:pPr>
      <w:r>
        <w:rPr>
          <w:rFonts w:hint="eastAsia" w:ascii="宋体" w:hAnsi="宋体"/>
          <w:sz w:val="24"/>
        </w:rPr>
        <w:t>1、乙方未能按期履行合同或乙方未按合同要求提供货物或货物质量</w:t>
      </w:r>
      <w:r>
        <w:rPr>
          <w:rFonts w:hint="eastAsia" w:ascii="宋体" w:hAnsi="宋体"/>
          <w:sz w:val="24"/>
          <w:lang w:eastAsia="zh-CN"/>
        </w:rPr>
        <w:t>、</w:t>
      </w:r>
      <w:r>
        <w:rPr>
          <w:rFonts w:hint="eastAsia" w:ascii="宋体" w:hAnsi="宋体"/>
          <w:sz w:val="24"/>
          <w:lang w:val="en-US" w:eastAsia="zh-CN"/>
        </w:rPr>
        <w:t>技术服务等</w:t>
      </w:r>
      <w:r>
        <w:rPr>
          <w:rFonts w:hint="eastAsia" w:ascii="宋体" w:hAnsi="宋体"/>
          <w:sz w:val="24"/>
        </w:rPr>
        <w:t>不能满足招标技术要求，甲方有权</w:t>
      </w:r>
      <w:r>
        <w:rPr>
          <w:rFonts w:hint="eastAsia" w:ascii="宋体" w:hAnsi="宋体"/>
          <w:sz w:val="24"/>
          <w:lang w:val="en-US" w:eastAsia="zh-CN"/>
        </w:rPr>
        <w:t>无条件</w:t>
      </w:r>
      <w:r>
        <w:rPr>
          <w:rFonts w:hint="eastAsia" w:ascii="宋体" w:hAnsi="宋体"/>
          <w:sz w:val="24"/>
        </w:rPr>
        <w:t>解除合同，并对乙方的违约行为进行追究</w:t>
      </w:r>
      <w:r>
        <w:rPr>
          <w:rFonts w:hint="eastAsia" w:ascii="宋体" w:hAnsi="宋体"/>
          <w:sz w:val="24"/>
          <w:lang w:eastAsia="zh-CN"/>
        </w:rPr>
        <w:t>，</w:t>
      </w:r>
      <w:r>
        <w:rPr>
          <w:rFonts w:hint="eastAsia" w:ascii="宋体" w:hAnsi="宋体"/>
          <w:sz w:val="24"/>
          <w:lang w:val="en-US" w:eastAsia="zh-CN"/>
        </w:rPr>
        <w:t>甲方有权向乙方主张合同金额20%的违约金</w:t>
      </w:r>
      <w:r>
        <w:rPr>
          <w:rFonts w:hint="eastAsia" w:ascii="宋体" w:hAnsi="宋体"/>
          <w:sz w:val="24"/>
        </w:rPr>
        <w:t>，同时按《中华人民共和国民法典》《中华人民共和国政府采购法》以及陕西省相关法律法规等进行处罚，因此给甲方造成的一切损失均由乙方承担</w:t>
      </w:r>
      <w:r>
        <w:rPr>
          <w:rFonts w:hint="eastAsia" w:ascii="宋体" w:hAnsi="宋体"/>
          <w:sz w:val="24"/>
          <w:lang w:eastAsia="zh-CN"/>
        </w:rPr>
        <w:t>。</w:t>
      </w:r>
    </w:p>
    <w:p w14:paraId="3684C3CF">
      <w:pPr>
        <w:spacing w:line="450" w:lineRule="exact"/>
        <w:ind w:firstLine="480" w:firstLineChars="200"/>
        <w:rPr>
          <w:rFonts w:hint="eastAsia" w:ascii="宋体" w:hAnsi="宋体"/>
          <w:sz w:val="24"/>
        </w:rPr>
      </w:pPr>
      <w:r>
        <w:rPr>
          <w:rFonts w:hint="eastAsia" w:ascii="宋体" w:hAnsi="宋体"/>
          <w:sz w:val="24"/>
        </w:rPr>
        <w:t>2、乙方未在合同规定期限内供货或完成安装调试每超过一天，应按合同总价款的5‰支付甲方违约金，该违约金直接在货款中扣减。除不可抗力导致的迟延交货外，乙方若逾期交货超过</w:t>
      </w:r>
      <w:r>
        <w:rPr>
          <w:rFonts w:hint="eastAsia" w:ascii="宋体" w:hAnsi="宋体"/>
          <w:sz w:val="24"/>
          <w:u w:val="single"/>
        </w:rPr>
        <w:t xml:space="preserve">  30  </w:t>
      </w:r>
      <w:r>
        <w:rPr>
          <w:rFonts w:hint="eastAsia" w:ascii="宋体" w:hAnsi="宋体"/>
          <w:sz w:val="24"/>
        </w:rPr>
        <w:t>天，甲方有权</w:t>
      </w:r>
      <w:r>
        <w:rPr>
          <w:rFonts w:hint="eastAsia" w:ascii="宋体" w:hAnsi="宋体"/>
          <w:sz w:val="24"/>
          <w:lang w:val="en-US" w:eastAsia="zh-CN"/>
        </w:rPr>
        <w:t>无条件</w:t>
      </w:r>
      <w:r>
        <w:rPr>
          <w:rFonts w:hint="eastAsia" w:ascii="宋体" w:hAnsi="宋体"/>
          <w:sz w:val="24"/>
        </w:rPr>
        <w:t>单方解除合同，乙方应全额退还甲方支付款项并按合同总金额的</w:t>
      </w:r>
      <w:r>
        <w:rPr>
          <w:rFonts w:hint="eastAsia" w:ascii="宋体" w:hAnsi="宋体"/>
          <w:sz w:val="24"/>
          <w:u w:val="single"/>
        </w:rPr>
        <w:t xml:space="preserve">  10 </w:t>
      </w:r>
      <w:r>
        <w:rPr>
          <w:rFonts w:hint="eastAsia" w:ascii="宋体" w:hAnsi="宋体"/>
          <w:sz w:val="24"/>
        </w:rPr>
        <w:t>%向甲方支付违约金并赔偿因此给甲方造成的一切损失（包括但不限于拆除费、保管费等相关费用）。</w:t>
      </w:r>
    </w:p>
    <w:p w14:paraId="4E57D460">
      <w:pPr>
        <w:spacing w:line="450" w:lineRule="exact"/>
        <w:ind w:firstLine="480" w:firstLineChars="200"/>
        <w:rPr>
          <w:rFonts w:hint="eastAsia" w:ascii="宋体" w:hAnsi="宋体"/>
          <w:sz w:val="24"/>
        </w:rPr>
      </w:pPr>
      <w:r>
        <w:rPr>
          <w:rFonts w:hint="eastAsia" w:ascii="宋体" w:hAnsi="宋体"/>
          <w:sz w:val="24"/>
        </w:rPr>
        <w:t>3、乙方对甲方解除合同不予认可的，应在收到甲方书面解除合同通知之日起7个日历日内依法提出异议。</w:t>
      </w:r>
    </w:p>
    <w:p w14:paraId="7E2E197C">
      <w:pPr>
        <w:spacing w:line="450" w:lineRule="exact"/>
        <w:ind w:firstLine="480" w:firstLineChars="200"/>
        <w:rPr>
          <w:rFonts w:hint="eastAsia" w:ascii="宋体" w:hAnsi="宋体" w:eastAsia="宋体" w:cs="Times New Roman"/>
          <w:sz w:val="24"/>
        </w:rPr>
      </w:pPr>
      <w:r>
        <w:rPr>
          <w:rFonts w:hint="eastAsia" w:ascii="宋体" w:hAnsi="宋体" w:eastAsia="宋体" w:cs="Times New Roman"/>
          <w:sz w:val="24"/>
        </w:rPr>
        <w:t>4、乙方保证其所提供的货物符合合同约定及招标要求，不存在任何违法违规情形，不侵害任何第三方合法权益，不会造成任何人身或财产损害，否则乙方应当独立承担全部责任。如因此对甲方造成任何损害或致使甲方承担任何责任的，乙方应当向甲方全额赔偿。</w:t>
      </w:r>
    </w:p>
    <w:p w14:paraId="154FD81E">
      <w:pPr>
        <w:pStyle w:val="3"/>
        <w:rPr>
          <w:rFonts w:hint="eastAsia"/>
        </w:rPr>
      </w:pPr>
    </w:p>
    <w:p w14:paraId="7AFE8837">
      <w:pPr>
        <w:spacing w:line="450" w:lineRule="exact"/>
        <w:ind w:firstLine="482" w:firstLineChars="200"/>
        <w:rPr>
          <w:rFonts w:ascii="宋体" w:hAnsi="宋体"/>
          <w:b/>
          <w:sz w:val="24"/>
        </w:rPr>
      </w:pPr>
      <w:r>
        <w:rPr>
          <w:rFonts w:hint="eastAsia" w:ascii="宋体" w:hAnsi="宋体"/>
          <w:b/>
          <w:sz w:val="24"/>
        </w:rPr>
        <w:t>第九条  合同生效及其它</w:t>
      </w:r>
    </w:p>
    <w:p w14:paraId="4080E9FE">
      <w:pPr>
        <w:spacing w:line="450" w:lineRule="exact"/>
        <w:ind w:firstLine="480" w:firstLineChars="200"/>
        <w:rPr>
          <w:rFonts w:hint="eastAsia" w:ascii="宋体" w:hAnsi="宋体"/>
          <w:bCs/>
          <w:sz w:val="24"/>
        </w:rPr>
      </w:pPr>
      <w:r>
        <w:rPr>
          <w:rFonts w:hint="eastAsia" w:ascii="宋体" w:hAnsi="宋体"/>
          <w:bCs/>
          <w:sz w:val="24"/>
        </w:rPr>
        <w:t>（一）本合同中不可抗力指地震、台风、火灾、水灾、战争、罢工以及其他双方不能预见、不能避免并不能克服的客观情况。</w:t>
      </w:r>
    </w:p>
    <w:p w14:paraId="333AF898">
      <w:pPr>
        <w:spacing w:line="450" w:lineRule="exact"/>
        <w:ind w:firstLine="480" w:firstLineChars="200"/>
        <w:rPr>
          <w:rFonts w:hint="eastAsia" w:ascii="宋体" w:hAnsi="宋体"/>
          <w:bCs/>
          <w:sz w:val="24"/>
        </w:rPr>
      </w:pPr>
      <w:r>
        <w:rPr>
          <w:rFonts w:hint="eastAsia" w:ascii="宋体" w:hAnsi="宋体"/>
          <w:bCs/>
          <w:sz w:val="24"/>
        </w:rPr>
        <w:t>（二）由于不可抗力致使合同无法履行的，受阻一方应在不可抗力发生12小时内电话、传真或其它有效方式通知对方，并在不可抗力发生之日起15日内提供相关证明资料。</w:t>
      </w:r>
    </w:p>
    <w:p w14:paraId="325A5B68">
      <w:pPr>
        <w:spacing w:line="450" w:lineRule="exact"/>
        <w:ind w:firstLine="480" w:firstLineChars="200"/>
        <w:rPr>
          <w:rFonts w:hint="eastAsia" w:ascii="宋体" w:hAnsi="宋体"/>
          <w:bCs/>
          <w:sz w:val="24"/>
        </w:rPr>
      </w:pPr>
      <w:r>
        <w:rPr>
          <w:rFonts w:hint="eastAsia" w:ascii="宋体" w:hAnsi="宋体"/>
          <w:bCs/>
          <w:sz w:val="24"/>
        </w:rPr>
        <w:t>（三）本合同在不可抗力影响范围及其持续期间内将中止履行，本合同执行时间可根据中止的时间相应顺延，双方无须承担违约责任。不可抗力事件消除后，双方应就合同的履行及后续问题进行协商。</w:t>
      </w:r>
    </w:p>
    <w:p w14:paraId="22D4C795">
      <w:pPr>
        <w:spacing w:line="450" w:lineRule="exact"/>
        <w:ind w:firstLine="480" w:firstLineChars="200"/>
        <w:rPr>
          <w:rFonts w:hint="eastAsia" w:ascii="宋体" w:hAnsi="宋体"/>
          <w:bCs/>
          <w:sz w:val="24"/>
        </w:rPr>
      </w:pPr>
      <w:r>
        <w:rPr>
          <w:rFonts w:hint="eastAsia" w:ascii="宋体" w:hAnsi="宋体"/>
          <w:bCs/>
          <w:sz w:val="24"/>
        </w:rPr>
        <w:t>（四）一方逾期履行后发生不可抗力的，不能免除责任。</w:t>
      </w:r>
    </w:p>
    <w:p w14:paraId="318C9ADE">
      <w:pPr>
        <w:spacing w:line="450" w:lineRule="exact"/>
        <w:ind w:firstLine="482" w:firstLineChars="200"/>
        <w:rPr>
          <w:rFonts w:hint="eastAsia" w:ascii="宋体" w:hAnsi="宋体"/>
          <w:b/>
          <w:sz w:val="24"/>
        </w:rPr>
      </w:pPr>
      <w:r>
        <w:rPr>
          <w:rFonts w:hint="eastAsia" w:ascii="宋体" w:hAnsi="宋体"/>
          <w:b/>
          <w:sz w:val="24"/>
        </w:rPr>
        <w:t>第十条  合同争议解决的方式</w:t>
      </w:r>
    </w:p>
    <w:p w14:paraId="1FC71AB7">
      <w:pPr>
        <w:spacing w:line="450" w:lineRule="exact"/>
        <w:ind w:firstLine="480" w:firstLineChars="200"/>
        <w:rPr>
          <w:rFonts w:hint="eastAsia" w:ascii="宋体" w:hAnsi="宋体"/>
          <w:b/>
          <w:sz w:val="24"/>
        </w:rPr>
      </w:pPr>
      <w:r>
        <w:rPr>
          <w:rFonts w:hint="eastAsia" w:ascii="宋体" w:hAnsi="宋体"/>
          <w:sz w:val="24"/>
        </w:rPr>
        <w:t>本合同在履行过程中发生的争议，由甲、乙双方当事人协商解决；协商不成的，任意一方应向甲方住所地人民法院起诉。</w:t>
      </w:r>
    </w:p>
    <w:p w14:paraId="2A0BCBB7">
      <w:pPr>
        <w:spacing w:line="450" w:lineRule="exact"/>
        <w:ind w:firstLine="482" w:firstLineChars="200"/>
        <w:rPr>
          <w:rFonts w:hint="eastAsia" w:ascii="宋体" w:hAnsi="宋体"/>
          <w:b/>
          <w:sz w:val="24"/>
        </w:rPr>
      </w:pPr>
      <w:r>
        <w:rPr>
          <w:rFonts w:hint="eastAsia" w:ascii="宋体" w:hAnsi="宋体"/>
          <w:b/>
          <w:sz w:val="24"/>
        </w:rPr>
        <w:t>第十一条  其他事项</w:t>
      </w:r>
    </w:p>
    <w:p w14:paraId="7BA4D811">
      <w:pPr>
        <w:tabs>
          <w:tab w:val="left" w:pos="540"/>
        </w:tabs>
        <w:spacing w:line="450" w:lineRule="exact"/>
        <w:ind w:firstLine="480" w:firstLineChars="200"/>
        <w:rPr>
          <w:rFonts w:hint="eastAsia" w:ascii="宋体" w:hAnsi="宋体"/>
          <w:sz w:val="24"/>
        </w:rPr>
      </w:pPr>
      <w:r>
        <w:rPr>
          <w:rFonts w:hint="eastAsia" w:ascii="宋体" w:hAnsi="宋体"/>
          <w:sz w:val="24"/>
        </w:rPr>
        <w:t>（一）本合同以及甲乙双方来往文件的文字表达及解释、图纸等均以中文为准。</w:t>
      </w:r>
    </w:p>
    <w:p w14:paraId="4C6D5A22">
      <w:pPr>
        <w:tabs>
          <w:tab w:val="left" w:pos="540"/>
        </w:tabs>
        <w:spacing w:line="450" w:lineRule="exact"/>
        <w:ind w:firstLine="480" w:firstLineChars="200"/>
        <w:rPr>
          <w:rFonts w:hint="eastAsia" w:ascii="宋体" w:hAnsi="宋体"/>
          <w:sz w:val="24"/>
        </w:rPr>
      </w:pPr>
      <w:r>
        <w:rPr>
          <w:rFonts w:hint="eastAsia" w:ascii="宋体" w:hAnsi="宋体"/>
          <w:sz w:val="24"/>
        </w:rPr>
        <w:t>（二）招标文件、投标文件、澄清表（函）、合同附件均成为合同不可分割的部分</w:t>
      </w:r>
      <w:r>
        <w:rPr>
          <w:rFonts w:hint="eastAsia" w:ascii="宋体" w:hAnsi="宋体"/>
          <w:sz w:val="24"/>
          <w:lang w:eastAsia="zh-CN"/>
        </w:rPr>
        <w:t>，</w:t>
      </w:r>
      <w:r>
        <w:rPr>
          <w:rFonts w:hint="eastAsia" w:ascii="宋体" w:hAnsi="宋体" w:eastAsia="宋体"/>
          <w:sz w:val="24"/>
          <w:lang w:val="en-US" w:eastAsia="zh-CN"/>
        </w:rPr>
        <w:t>合同未尽事项参照招投标文件</w:t>
      </w:r>
      <w:r>
        <w:rPr>
          <w:rFonts w:hint="eastAsia" w:ascii="宋体" w:hAnsi="宋体"/>
          <w:sz w:val="24"/>
        </w:rPr>
        <w:t>。</w:t>
      </w:r>
    </w:p>
    <w:p w14:paraId="64B4326E">
      <w:pPr>
        <w:tabs>
          <w:tab w:val="left" w:pos="540"/>
          <w:tab w:val="left" w:pos="720"/>
        </w:tabs>
        <w:spacing w:line="450" w:lineRule="exact"/>
        <w:ind w:firstLine="480" w:firstLineChars="200"/>
        <w:rPr>
          <w:rFonts w:hint="eastAsia" w:ascii="宋体" w:hAnsi="宋体"/>
          <w:sz w:val="24"/>
        </w:rPr>
      </w:pPr>
      <w:r>
        <w:rPr>
          <w:rFonts w:hint="eastAsia" w:ascii="宋体" w:hAnsi="宋体"/>
          <w:sz w:val="24"/>
        </w:rPr>
        <w:t>（三）对本合同条款的任何变更、修改或增减，须经双方协商同意后签署补充协议，该补充协议作为本合同的组成部分并具有同等效力。</w:t>
      </w:r>
    </w:p>
    <w:p w14:paraId="4C498277">
      <w:pPr>
        <w:tabs>
          <w:tab w:val="left" w:pos="540"/>
          <w:tab w:val="left" w:pos="720"/>
        </w:tabs>
        <w:spacing w:line="45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四</w:t>
      </w:r>
      <w:r>
        <w:rPr>
          <w:rFonts w:hint="eastAsia" w:ascii="宋体" w:hAnsi="宋体"/>
          <w:sz w:val="24"/>
        </w:rPr>
        <w:t>）反不正当竞争条约。</w:t>
      </w:r>
      <w:r>
        <w:rPr>
          <w:rFonts w:hint="eastAsia" w:ascii="宋体" w:hAnsi="宋体"/>
          <w:sz w:val="24"/>
          <w:lang w:val="en-US" w:eastAsia="zh-CN"/>
        </w:rPr>
        <w:t>乙</w:t>
      </w:r>
      <w:r>
        <w:rPr>
          <w:rFonts w:hint="eastAsia" w:ascii="宋体" w:hAnsi="宋体"/>
          <w:sz w:val="24"/>
        </w:rPr>
        <w:t>方不得以任何形式违反国家关于医药购销领域不正当竞争的有关规定。对可能涉嫌不正当竞争的货物供应商，一经查证，坚决取消供应资格，三年内不许参与医院的货物供销活动，并按上级的有关规定执行处罚。</w:t>
      </w:r>
    </w:p>
    <w:p w14:paraId="74EED0CF">
      <w:pPr>
        <w:tabs>
          <w:tab w:val="left" w:pos="540"/>
          <w:tab w:val="left" w:pos="720"/>
        </w:tabs>
        <w:spacing w:line="45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五</w:t>
      </w:r>
      <w:r>
        <w:rPr>
          <w:rFonts w:hint="eastAsia" w:ascii="宋体" w:hAnsi="宋体"/>
          <w:sz w:val="24"/>
        </w:rPr>
        <w:t>）任何一方违约，除按照本协议约定承担违约责任外，还需赔偿另一方因此产生的所有费用，该费用包括但不限于为追究违约责任而产生的差旅费、公证费、评估费、律师费等。</w:t>
      </w:r>
    </w:p>
    <w:p w14:paraId="2DC70E38">
      <w:pPr>
        <w:spacing w:line="45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六</w:t>
      </w:r>
      <w:r>
        <w:rPr>
          <w:rFonts w:hint="eastAsia" w:ascii="宋体" w:hAnsi="宋体"/>
          <w:sz w:val="24"/>
        </w:rPr>
        <w:t>）本合同一式</w:t>
      </w:r>
      <w:r>
        <w:rPr>
          <w:rFonts w:hint="eastAsia" w:ascii="宋体" w:hAnsi="宋体"/>
          <w:sz w:val="24"/>
          <w:u w:val="single"/>
        </w:rPr>
        <w:t xml:space="preserve"> </w:t>
      </w:r>
      <w:r>
        <w:rPr>
          <w:rFonts w:hint="eastAsia" w:ascii="宋体" w:hAnsi="宋体"/>
          <w:sz w:val="24"/>
          <w:u w:val="single"/>
          <w:lang w:val="en-US" w:eastAsia="zh-CN"/>
        </w:rPr>
        <w:t xml:space="preserve"> 陆 </w:t>
      </w:r>
      <w:r>
        <w:rPr>
          <w:rFonts w:hint="eastAsia" w:ascii="宋体" w:hAnsi="宋体"/>
          <w:sz w:val="24"/>
          <w:u w:val="single"/>
        </w:rPr>
        <w:t xml:space="preserve"> </w:t>
      </w:r>
      <w:r>
        <w:rPr>
          <w:rFonts w:hint="eastAsia" w:ascii="宋体" w:hAnsi="宋体"/>
          <w:sz w:val="24"/>
        </w:rPr>
        <w:t>份，甲方执</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肆</w:t>
      </w:r>
      <w:r>
        <w:rPr>
          <w:rFonts w:hint="eastAsia" w:ascii="宋体" w:hAnsi="宋体"/>
          <w:sz w:val="24"/>
          <w:highlight w:val="none"/>
          <w:u w:val="single"/>
        </w:rPr>
        <w:t xml:space="preserve"> </w:t>
      </w:r>
      <w:r>
        <w:rPr>
          <w:rFonts w:hint="eastAsia" w:ascii="宋体" w:hAnsi="宋体"/>
          <w:sz w:val="24"/>
        </w:rPr>
        <w:t>份、乙方执</w:t>
      </w:r>
      <w:r>
        <w:rPr>
          <w:rFonts w:hint="eastAsia" w:ascii="宋体" w:hAnsi="宋体"/>
          <w:sz w:val="24"/>
          <w:u w:val="single"/>
        </w:rPr>
        <w:t xml:space="preserve"> </w:t>
      </w:r>
      <w:r>
        <w:rPr>
          <w:rFonts w:hint="eastAsia" w:ascii="宋体" w:hAnsi="宋体"/>
          <w:sz w:val="24"/>
          <w:u w:val="single"/>
          <w:lang w:val="en-US" w:eastAsia="zh-CN"/>
        </w:rPr>
        <w:t xml:space="preserve"> 壹 </w:t>
      </w:r>
      <w:r>
        <w:rPr>
          <w:rFonts w:hint="eastAsia" w:ascii="宋体" w:hAnsi="宋体"/>
          <w:sz w:val="24"/>
          <w:u w:val="single"/>
        </w:rPr>
        <w:t xml:space="preserve"> </w:t>
      </w:r>
      <w:r>
        <w:rPr>
          <w:rFonts w:hint="eastAsia" w:ascii="宋体" w:hAnsi="宋体"/>
          <w:sz w:val="24"/>
        </w:rPr>
        <w:t>份</w:t>
      </w:r>
      <w:r>
        <w:rPr>
          <w:rFonts w:hint="eastAsia" w:ascii="宋体" w:hAnsi="宋体"/>
          <w:sz w:val="24"/>
          <w:lang w:eastAsia="zh-CN"/>
        </w:rPr>
        <w:t>，</w:t>
      </w:r>
      <w:r>
        <w:rPr>
          <w:rFonts w:hint="eastAsia" w:ascii="宋体" w:hAnsi="宋体"/>
          <w:sz w:val="24"/>
          <w:highlight w:val="yellow"/>
          <w:u w:val="single"/>
          <w:lang w:val="en-US" w:eastAsia="zh-CN"/>
        </w:rPr>
        <w:t>XXXX</w:t>
      </w:r>
      <w:r>
        <w:rPr>
          <w:rFonts w:hint="eastAsia" w:ascii="宋体" w:hAnsi="宋体"/>
          <w:sz w:val="24"/>
          <w:highlight w:val="yellow"/>
          <w:u w:val="single"/>
        </w:rPr>
        <w:t>招标公司</w:t>
      </w:r>
      <w:r>
        <w:rPr>
          <w:rFonts w:hint="eastAsia" w:ascii="宋体" w:hAnsi="宋体"/>
          <w:sz w:val="24"/>
          <w:u w:val="single"/>
        </w:rPr>
        <w:t xml:space="preserve"> </w:t>
      </w:r>
      <w:r>
        <w:rPr>
          <w:rFonts w:hint="eastAsia" w:ascii="宋体" w:hAnsi="宋体"/>
          <w:sz w:val="24"/>
        </w:rPr>
        <w:t>备案</w:t>
      </w:r>
      <w:r>
        <w:rPr>
          <w:rFonts w:hint="eastAsia" w:ascii="宋体" w:hAnsi="宋体"/>
          <w:sz w:val="24"/>
          <w:u w:val="single"/>
        </w:rPr>
        <w:t xml:space="preserve">  壹 </w:t>
      </w:r>
      <w:r>
        <w:rPr>
          <w:rFonts w:hint="eastAsia" w:ascii="宋体" w:hAnsi="宋体"/>
          <w:sz w:val="24"/>
        </w:rPr>
        <w:t>份。</w:t>
      </w:r>
      <w:r>
        <w:rPr>
          <w:rFonts w:hint="eastAsia" w:ascii="宋体" w:hAnsi="宋体"/>
          <w:sz w:val="24"/>
        </w:rPr>
        <w:t>自甲乙双方法定代表人或者委托代理人签字并加盖公章后生效，合同执行完毕自动</w:t>
      </w:r>
      <w:r>
        <w:rPr>
          <w:rFonts w:hint="eastAsia" w:ascii="宋体" w:hAnsi="宋体"/>
          <w:sz w:val="24"/>
          <w:lang w:val="en-US" w:eastAsia="zh-CN"/>
        </w:rPr>
        <w:t>终止</w:t>
      </w:r>
      <w:r>
        <w:rPr>
          <w:rFonts w:hint="eastAsia" w:ascii="宋体" w:hAnsi="宋体"/>
          <w:sz w:val="24"/>
        </w:rPr>
        <w:t>（合同的服务承诺仍然有效）。传真件具有同等法律效力。</w:t>
      </w:r>
    </w:p>
    <w:p w14:paraId="0E2625CF">
      <w:pPr>
        <w:spacing w:line="450" w:lineRule="exact"/>
        <w:ind w:firstLine="480" w:firstLineChars="200"/>
        <w:rPr>
          <w:rFonts w:hint="eastAsia" w:ascii="宋体" w:hAnsi="宋体"/>
          <w:sz w:val="24"/>
        </w:rPr>
      </w:pPr>
      <w:r>
        <w:rPr>
          <w:rFonts w:hint="eastAsia" w:ascii="宋体" w:hAnsi="宋体"/>
          <w:sz w:val="24"/>
        </w:rPr>
        <w:t>（</w:t>
      </w:r>
      <w:r>
        <w:rPr>
          <w:rFonts w:hint="eastAsia" w:ascii="宋体" w:hAnsi="宋体"/>
          <w:sz w:val="24"/>
          <w:lang w:val="en-US" w:eastAsia="zh-CN"/>
        </w:rPr>
        <w:t>七</w:t>
      </w:r>
      <w:r>
        <w:rPr>
          <w:rFonts w:hint="eastAsia" w:ascii="宋体" w:hAnsi="宋体"/>
          <w:sz w:val="24"/>
        </w:rPr>
        <w:t>）本合同约定的地址为双方有效送达地址，任意一方发生变更的，应当在变更之日起</w:t>
      </w:r>
      <w:r>
        <w:rPr>
          <w:rFonts w:hint="eastAsia" w:ascii="宋体" w:hAnsi="宋体"/>
          <w:sz w:val="24"/>
          <w:u w:val="single"/>
        </w:rPr>
        <w:t xml:space="preserve"> 7 </w:t>
      </w:r>
      <w:r>
        <w:rPr>
          <w:rFonts w:hint="eastAsia" w:ascii="宋体" w:hAnsi="宋体"/>
          <w:sz w:val="24"/>
        </w:rPr>
        <w:t>日内向另一方通知，未通知另一方的，另一方按照约定地址发出的信件自发出之日起</w:t>
      </w:r>
      <w:r>
        <w:rPr>
          <w:rFonts w:hint="eastAsia" w:ascii="宋体" w:hAnsi="宋体"/>
          <w:sz w:val="24"/>
          <w:u w:val="single"/>
        </w:rPr>
        <w:t xml:space="preserve"> 7 </w:t>
      </w:r>
      <w:r>
        <w:rPr>
          <w:rFonts w:hint="eastAsia" w:ascii="宋体" w:hAnsi="宋体"/>
          <w:sz w:val="24"/>
        </w:rPr>
        <w:t>日内视为有效送达。</w:t>
      </w:r>
    </w:p>
    <w:p w14:paraId="7A35DA20">
      <w:pPr>
        <w:pStyle w:val="3"/>
        <w:rPr>
          <w:rFonts w:hint="eastAsia"/>
        </w:rPr>
      </w:pPr>
    </w:p>
    <w:p w14:paraId="6E364A6A">
      <w:pPr>
        <w:pStyle w:val="3"/>
        <w:rPr>
          <w:rFonts w:hint="default" w:eastAsia="宋体"/>
          <w:lang w:val="en-US" w:eastAsia="zh-CN"/>
        </w:rPr>
      </w:pPr>
      <w:r>
        <w:rPr>
          <w:rFonts w:hint="eastAsia" w:ascii="宋体" w:hAnsi="宋体"/>
          <w:sz w:val="24"/>
          <w:lang w:val="en-US" w:eastAsia="zh-CN"/>
        </w:rPr>
        <w:t>备注：合同未尽事宜以招投标文件为准。</w:t>
      </w:r>
    </w:p>
    <w:p w14:paraId="57EEDFD8">
      <w:pPr>
        <w:spacing w:line="450" w:lineRule="exact"/>
        <w:ind w:firstLine="480" w:firstLineChars="200"/>
        <w:rPr>
          <w:rFonts w:ascii="宋体" w:hAnsi="宋体"/>
          <w:sz w:val="24"/>
        </w:rPr>
      </w:pPr>
      <w:r>
        <w:rPr>
          <w:rFonts w:hint="eastAsia" w:ascii="宋体" w:hAnsi="宋体"/>
          <w:sz w:val="24"/>
          <w:lang w:eastAsia="zh-CN"/>
        </w:rPr>
        <w:t>（</w:t>
      </w:r>
      <w:r>
        <w:rPr>
          <w:rFonts w:hint="eastAsia" w:ascii="宋体" w:hAnsi="宋体"/>
          <w:sz w:val="24"/>
          <w:lang w:val="en-US" w:eastAsia="zh-CN"/>
        </w:rPr>
        <w:t>本行以下无正文</w:t>
      </w:r>
      <w:r>
        <w:rPr>
          <w:rFonts w:hint="eastAsia" w:ascii="宋体" w:hAnsi="宋体"/>
          <w:sz w:val="24"/>
          <w:lang w:eastAsia="zh-CN"/>
        </w:rPr>
        <w:t>）</w:t>
      </w:r>
    </w:p>
    <w:p w14:paraId="20FAF48B">
      <w:pPr>
        <w:spacing w:line="440" w:lineRule="atLeast"/>
        <w:jc w:val="left"/>
        <w:rPr>
          <w:rFonts w:hint="eastAsia" w:ascii="宋体" w:hAnsi="宋体"/>
          <w:sz w:val="24"/>
        </w:rPr>
      </w:pPr>
    </w:p>
    <w:tbl>
      <w:tblPr>
        <w:tblStyle w:val="13"/>
        <w:tblW w:w="0" w:type="auto"/>
        <w:jc w:val="center"/>
        <w:tblLayout w:type="fixed"/>
        <w:tblCellMar>
          <w:top w:w="0" w:type="dxa"/>
          <w:left w:w="108" w:type="dxa"/>
          <w:bottom w:w="0" w:type="dxa"/>
          <w:right w:w="108" w:type="dxa"/>
        </w:tblCellMar>
      </w:tblPr>
      <w:tblGrid>
        <w:gridCol w:w="4201"/>
        <w:gridCol w:w="4202"/>
      </w:tblGrid>
      <w:tr w14:paraId="1DB479C0">
        <w:tblPrEx>
          <w:tblCellMar>
            <w:top w:w="0" w:type="dxa"/>
            <w:left w:w="108" w:type="dxa"/>
            <w:bottom w:w="0" w:type="dxa"/>
            <w:right w:w="108" w:type="dxa"/>
          </w:tblCellMar>
        </w:tblPrEx>
        <w:trPr>
          <w:trHeight w:val="567" w:hRule="exact"/>
          <w:jc w:val="center"/>
        </w:trPr>
        <w:tc>
          <w:tcPr>
            <w:tcW w:w="4201" w:type="dxa"/>
            <w:noWrap w:val="0"/>
            <w:vAlign w:val="center"/>
          </w:tcPr>
          <w:p w14:paraId="16B13868">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  方</w:t>
            </w:r>
            <w:r>
              <w:rPr>
                <w:rFonts w:hint="eastAsia" w:ascii="仿宋" w:hAnsi="仿宋" w:eastAsia="仿宋" w:cs="仿宋"/>
                <w:color w:val="auto"/>
                <w:sz w:val="24"/>
                <w:szCs w:val="24"/>
                <w:highlight w:val="none"/>
                <w:lang w:eastAsia="zh-CN"/>
              </w:rPr>
              <w:t>：陕西省人民医院</w:t>
            </w:r>
          </w:p>
        </w:tc>
        <w:tc>
          <w:tcPr>
            <w:tcW w:w="4202" w:type="dxa"/>
            <w:noWrap w:val="0"/>
            <w:vAlign w:val="center"/>
          </w:tcPr>
          <w:p w14:paraId="1293F25C">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乙  方</w:t>
            </w:r>
            <w:r>
              <w:rPr>
                <w:rFonts w:hint="eastAsia" w:ascii="仿宋" w:hAnsi="仿宋" w:eastAsia="仿宋" w:cs="仿宋"/>
                <w:color w:val="auto"/>
                <w:sz w:val="24"/>
                <w:szCs w:val="24"/>
                <w:highlight w:val="none"/>
                <w:lang w:eastAsia="zh-CN"/>
              </w:rPr>
              <w:t>：</w:t>
            </w:r>
          </w:p>
        </w:tc>
      </w:tr>
      <w:tr w14:paraId="2206FEC9">
        <w:tblPrEx>
          <w:tblCellMar>
            <w:top w:w="0" w:type="dxa"/>
            <w:left w:w="108" w:type="dxa"/>
            <w:bottom w:w="0" w:type="dxa"/>
            <w:right w:w="108" w:type="dxa"/>
          </w:tblCellMar>
        </w:tblPrEx>
        <w:trPr>
          <w:trHeight w:val="567" w:hRule="exact"/>
          <w:jc w:val="center"/>
        </w:trPr>
        <w:tc>
          <w:tcPr>
            <w:tcW w:w="4201" w:type="dxa"/>
            <w:noWrap w:val="0"/>
            <w:vAlign w:val="center"/>
          </w:tcPr>
          <w:p w14:paraId="56737074">
            <w:pPr>
              <w:keepNext w:val="0"/>
              <w:keepLines w:val="0"/>
              <w:pageBreakBefore w:val="0"/>
              <w:widowControl w:val="0"/>
              <w:kinsoku/>
              <w:wordWrap/>
              <w:overflowPunct/>
              <w:topLinePunct w:val="0"/>
              <w:autoSpaceDE/>
              <w:autoSpaceDN/>
              <w:bidi w:val="0"/>
              <w:spacing w:line="50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0"/>
            <w:vAlign w:val="center"/>
          </w:tcPr>
          <w:p w14:paraId="1E15EF7A">
            <w:pPr>
              <w:keepNext w:val="0"/>
              <w:keepLines w:val="0"/>
              <w:pageBreakBefore w:val="0"/>
              <w:widowControl w:val="0"/>
              <w:kinsoku/>
              <w:wordWrap/>
              <w:overflowPunct/>
              <w:topLinePunct w:val="0"/>
              <w:autoSpaceDE/>
              <w:autoSpaceDN/>
              <w:bidi w:val="0"/>
              <w:spacing w:line="50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03826F7D">
        <w:tblPrEx>
          <w:tblCellMar>
            <w:top w:w="0" w:type="dxa"/>
            <w:left w:w="108" w:type="dxa"/>
            <w:bottom w:w="0" w:type="dxa"/>
            <w:right w:w="108" w:type="dxa"/>
          </w:tblCellMar>
        </w:tblPrEx>
        <w:trPr>
          <w:trHeight w:val="1127" w:hRule="exact"/>
          <w:jc w:val="center"/>
        </w:trPr>
        <w:tc>
          <w:tcPr>
            <w:tcW w:w="4201" w:type="dxa"/>
            <w:noWrap w:val="0"/>
            <w:vAlign w:val="center"/>
          </w:tcPr>
          <w:p w14:paraId="0E0F1078">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 西安市碑林区友谊西路256号</w:t>
            </w:r>
          </w:p>
        </w:tc>
        <w:tc>
          <w:tcPr>
            <w:tcW w:w="4202" w:type="dxa"/>
            <w:noWrap w:val="0"/>
            <w:vAlign w:val="center"/>
          </w:tcPr>
          <w:p w14:paraId="0CE6CE83">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5072484A">
        <w:tblPrEx>
          <w:tblCellMar>
            <w:top w:w="0" w:type="dxa"/>
            <w:left w:w="108" w:type="dxa"/>
            <w:bottom w:w="0" w:type="dxa"/>
            <w:right w:w="108" w:type="dxa"/>
          </w:tblCellMar>
        </w:tblPrEx>
        <w:trPr>
          <w:trHeight w:val="949" w:hRule="exact"/>
          <w:jc w:val="center"/>
        </w:trPr>
        <w:tc>
          <w:tcPr>
            <w:tcW w:w="4201" w:type="dxa"/>
            <w:noWrap w:val="0"/>
            <w:vAlign w:val="top"/>
          </w:tcPr>
          <w:p w14:paraId="4856C4BB">
            <w:pPr>
              <w:keepNext w:val="0"/>
              <w:keepLines w:val="0"/>
              <w:pageBreakBefore w:val="0"/>
              <w:widowControl w:val="0"/>
              <w:kinsoku/>
              <w:wordWrap/>
              <w:overflowPunct/>
              <w:topLinePunct w:val="0"/>
              <w:autoSpaceDE/>
              <w:autoSpaceDN/>
              <w:bidi w:val="0"/>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法定代表人（委托代理人）： </w:t>
            </w:r>
          </w:p>
        </w:tc>
        <w:tc>
          <w:tcPr>
            <w:tcW w:w="4202" w:type="dxa"/>
            <w:noWrap w:val="0"/>
            <w:vAlign w:val="top"/>
          </w:tcPr>
          <w:p w14:paraId="27F1D65F">
            <w:pPr>
              <w:keepNext w:val="0"/>
              <w:keepLines w:val="0"/>
              <w:pageBreakBefore w:val="0"/>
              <w:widowControl w:val="0"/>
              <w:kinsoku/>
              <w:wordWrap/>
              <w:overflowPunct/>
              <w:topLinePunct w:val="0"/>
              <w:autoSpaceDE/>
              <w:autoSpaceDN/>
              <w:bidi w:val="0"/>
              <w:spacing w:line="24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法定代表人（委托代理人）：</w:t>
            </w:r>
          </w:p>
        </w:tc>
      </w:tr>
      <w:tr w14:paraId="102416C6">
        <w:tblPrEx>
          <w:tblCellMar>
            <w:top w:w="0" w:type="dxa"/>
            <w:left w:w="108" w:type="dxa"/>
            <w:bottom w:w="0" w:type="dxa"/>
            <w:right w:w="108" w:type="dxa"/>
          </w:tblCellMar>
        </w:tblPrEx>
        <w:trPr>
          <w:trHeight w:val="567" w:hRule="exact"/>
          <w:jc w:val="center"/>
        </w:trPr>
        <w:tc>
          <w:tcPr>
            <w:tcW w:w="4201" w:type="dxa"/>
            <w:noWrap w:val="0"/>
            <w:vAlign w:val="center"/>
          </w:tcPr>
          <w:p w14:paraId="3C96A58E">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项目负责人：</w:t>
            </w:r>
          </w:p>
        </w:tc>
        <w:tc>
          <w:tcPr>
            <w:tcW w:w="4202" w:type="dxa"/>
            <w:noWrap w:val="0"/>
            <w:vAlign w:val="center"/>
          </w:tcPr>
          <w:p w14:paraId="60F32999">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项目负责人：</w:t>
            </w:r>
          </w:p>
        </w:tc>
      </w:tr>
      <w:tr w14:paraId="52FF5F46">
        <w:tblPrEx>
          <w:tblCellMar>
            <w:top w:w="0" w:type="dxa"/>
            <w:left w:w="108" w:type="dxa"/>
            <w:bottom w:w="0" w:type="dxa"/>
            <w:right w:w="108" w:type="dxa"/>
          </w:tblCellMar>
        </w:tblPrEx>
        <w:trPr>
          <w:trHeight w:val="567" w:hRule="exact"/>
          <w:jc w:val="center"/>
        </w:trPr>
        <w:tc>
          <w:tcPr>
            <w:tcW w:w="4201" w:type="dxa"/>
            <w:noWrap w:val="0"/>
            <w:vAlign w:val="center"/>
          </w:tcPr>
          <w:p w14:paraId="127EB006">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电话：</w:t>
            </w:r>
            <w:r>
              <w:rPr>
                <w:rFonts w:hint="eastAsia" w:ascii="仿宋" w:hAnsi="仿宋" w:eastAsia="仿宋" w:cs="仿宋"/>
                <w:spacing w:val="-3"/>
                <w:sz w:val="24"/>
                <w:szCs w:val="24"/>
                <w:lang w:val="en-US" w:eastAsia="zh-CN"/>
              </w:rPr>
              <w:t>029-85253261</w:t>
            </w:r>
          </w:p>
        </w:tc>
        <w:tc>
          <w:tcPr>
            <w:tcW w:w="4202" w:type="dxa"/>
            <w:noWrap w:val="0"/>
            <w:vAlign w:val="center"/>
          </w:tcPr>
          <w:p w14:paraId="48AFD9E2">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686CF1A5">
        <w:tblPrEx>
          <w:tblCellMar>
            <w:top w:w="0" w:type="dxa"/>
            <w:left w:w="108" w:type="dxa"/>
            <w:bottom w:w="0" w:type="dxa"/>
            <w:right w:w="108" w:type="dxa"/>
          </w:tblCellMar>
        </w:tblPrEx>
        <w:trPr>
          <w:trHeight w:val="1067" w:hRule="exact"/>
          <w:jc w:val="center"/>
        </w:trPr>
        <w:tc>
          <w:tcPr>
            <w:tcW w:w="4201" w:type="dxa"/>
            <w:noWrap w:val="0"/>
            <w:vAlign w:val="center"/>
          </w:tcPr>
          <w:p w14:paraId="74B60847">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lang w:val="en-US" w:eastAsia="zh-CN"/>
              </w:rPr>
              <w:t>/</w:t>
            </w:r>
          </w:p>
        </w:tc>
        <w:tc>
          <w:tcPr>
            <w:tcW w:w="4202" w:type="dxa"/>
            <w:noWrap w:val="0"/>
            <w:vAlign w:val="center"/>
          </w:tcPr>
          <w:p w14:paraId="45EB3D48">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lang w:val="en-US" w:eastAsia="zh-CN"/>
              </w:rPr>
              <w:t>及账号</w:t>
            </w:r>
            <w:r>
              <w:rPr>
                <w:rFonts w:hint="eastAsia" w:ascii="仿宋" w:hAnsi="仿宋" w:eastAsia="仿宋" w:cs="仿宋"/>
                <w:color w:val="auto"/>
                <w:sz w:val="24"/>
                <w:szCs w:val="24"/>
                <w:highlight w:val="none"/>
              </w:rPr>
              <w:t xml:space="preserve">： </w:t>
            </w:r>
          </w:p>
        </w:tc>
      </w:tr>
      <w:tr w14:paraId="753EA672">
        <w:tblPrEx>
          <w:tblCellMar>
            <w:top w:w="0" w:type="dxa"/>
            <w:left w:w="108" w:type="dxa"/>
            <w:bottom w:w="0" w:type="dxa"/>
            <w:right w:w="108" w:type="dxa"/>
          </w:tblCellMar>
        </w:tblPrEx>
        <w:trPr>
          <w:trHeight w:val="567" w:hRule="exact"/>
          <w:jc w:val="center"/>
        </w:trPr>
        <w:tc>
          <w:tcPr>
            <w:tcW w:w="4201" w:type="dxa"/>
            <w:noWrap w:val="0"/>
            <w:vAlign w:val="center"/>
          </w:tcPr>
          <w:p w14:paraId="2D80854B">
            <w:pPr>
              <w:keepNext w:val="0"/>
              <w:keepLines w:val="0"/>
              <w:pageBreakBefore w:val="0"/>
              <w:widowControl w:val="0"/>
              <w:kinsoku/>
              <w:wordWrap/>
              <w:overflowPunct/>
              <w:topLinePunct w:val="0"/>
              <w:autoSpaceDE/>
              <w:autoSpaceDN/>
              <w:bidi w:val="0"/>
              <w:spacing w:line="500" w:lineRule="exac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lang w:val="en-US" w:eastAsia="zh-CN"/>
              </w:rPr>
              <w:t xml:space="preserve">    年    月   日</w:t>
            </w:r>
          </w:p>
        </w:tc>
        <w:tc>
          <w:tcPr>
            <w:tcW w:w="4202" w:type="dxa"/>
            <w:noWrap w:val="0"/>
            <w:vAlign w:val="center"/>
          </w:tcPr>
          <w:p w14:paraId="3F7F5F9A">
            <w:pPr>
              <w:keepNext w:val="0"/>
              <w:keepLines w:val="0"/>
              <w:pageBreakBefore w:val="0"/>
              <w:widowControl w:val="0"/>
              <w:kinsoku/>
              <w:wordWrap/>
              <w:overflowPunct/>
              <w:topLinePunct w:val="0"/>
              <w:autoSpaceDE/>
              <w:autoSpaceDN/>
              <w:bidi w:val="0"/>
              <w:spacing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lang w:val="en-US" w:eastAsia="zh-CN"/>
              </w:rPr>
              <w:t xml:space="preserve">    年    月   日</w:t>
            </w:r>
          </w:p>
        </w:tc>
      </w:tr>
    </w:tbl>
    <w:p w14:paraId="32D705F5">
      <w:pPr>
        <w:spacing w:line="420" w:lineRule="exact"/>
        <w:jc w:val="left"/>
        <w:rPr>
          <w:rFonts w:hint="eastAsia" w:ascii="宋体" w:hAnsi="宋体"/>
          <w:b/>
          <w:sz w:val="32"/>
          <w:szCs w:val="32"/>
        </w:rPr>
      </w:pPr>
    </w:p>
    <w:p w14:paraId="166B4C78">
      <w:pPr>
        <w:spacing w:line="420" w:lineRule="exact"/>
        <w:jc w:val="left"/>
        <w:rPr>
          <w:rFonts w:ascii="宋体" w:hAnsi="宋体"/>
          <w:b/>
          <w:sz w:val="32"/>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531" w:right="1247" w:bottom="1077" w:left="1701" w:header="851" w:footer="992" w:gutter="0"/>
          <w:cols w:space="720" w:num="1"/>
          <w:docGrid w:linePitch="312" w:charSpace="0"/>
        </w:sectPr>
      </w:pPr>
    </w:p>
    <w:p w14:paraId="113CA163">
      <w:pPr>
        <w:spacing w:line="420" w:lineRule="exact"/>
        <w:jc w:val="left"/>
        <w:rPr>
          <w:rFonts w:hint="eastAsia" w:ascii="宋体" w:hAnsi="宋体"/>
          <w:b/>
          <w:sz w:val="32"/>
          <w:szCs w:val="32"/>
          <w:highlight w:val="yellow"/>
        </w:rPr>
      </w:pPr>
      <w:r>
        <w:rPr>
          <w:rFonts w:hint="eastAsia" w:ascii="宋体" w:hAnsi="宋体"/>
          <w:b/>
          <w:sz w:val="32"/>
          <w:szCs w:val="32"/>
          <w:highlight w:val="yellow"/>
        </w:rPr>
        <w:t>附页：</w:t>
      </w:r>
    </w:p>
    <w:p w14:paraId="4667FA4C">
      <w:pPr>
        <w:snapToGrid w:val="0"/>
        <w:ind w:firstLine="239" w:firstLineChars="99"/>
        <w:jc w:val="left"/>
        <w:rPr>
          <w:rFonts w:hint="eastAsia"/>
          <w:b/>
          <w:sz w:val="24"/>
        </w:rPr>
      </w:pPr>
    </w:p>
    <w:sectPr>
      <w:headerReference r:id="rId11" w:type="default"/>
      <w:footerReference r:id="rId12" w:type="default"/>
      <w:pgSz w:w="11906" w:h="16838"/>
      <w:pgMar w:top="1531" w:right="1247" w:bottom="1077" w:left="170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Adobe 宋体 Std L">
    <w:altName w:val="微软雅黑"/>
    <w:panose1 w:val="00000000000000000000"/>
    <w:charset w:val="86"/>
    <w:family w:val="roman"/>
    <w:pitch w:val="default"/>
    <w:sig w:usb0="00000000" w:usb1="0A0F1810" w:usb2="00000016" w:usb3="00000000" w:csb0="0006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D7707">
    <w:pPr>
      <w:pStyle w:val="10"/>
      <w:ind w:firstLine="3780" w:firstLineChars="21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A2ECB">
    <w:pPr>
      <w:pStyle w:val="10"/>
      <w:jc w:val="center"/>
    </w:pPr>
    <w:r>
      <w:rPr>
        <w:rFonts w:hint="eastAsia"/>
      </w:rPr>
      <w:t>共</w:t>
    </w:r>
    <w:r>
      <w:fldChar w:fldCharType="begin"/>
    </w:r>
    <w:r>
      <w:rPr>
        <w:rStyle w:val="16"/>
      </w:rPr>
      <w:instrText xml:space="preserve"> NUMPAGES </w:instrText>
    </w:r>
    <w:r>
      <w:fldChar w:fldCharType="separate"/>
    </w:r>
    <w:r>
      <w:rPr>
        <w:rStyle w:val="16"/>
        <w:lang/>
      </w:rPr>
      <w:t>11</w:t>
    </w:r>
    <w:r>
      <w:fldChar w:fldCharType="end"/>
    </w:r>
    <w:r>
      <w:rPr>
        <w:rFonts w:hint="eastAsia"/>
      </w:rPr>
      <w:t>页 第</w:t>
    </w:r>
    <w:r>
      <w:fldChar w:fldCharType="begin"/>
    </w:r>
    <w:r>
      <w:instrText xml:space="preserve"> PAGE   \* MERGEFORMAT </w:instrText>
    </w:r>
    <w:r>
      <w:fldChar w:fldCharType="separate"/>
    </w:r>
    <w:r>
      <w:rPr>
        <w:lang w:val="zh-CN"/>
      </w:rPr>
      <w:t>4</w:t>
    </w:r>
    <w:r>
      <w:fldChar w:fldCharType="end"/>
    </w:r>
    <w:r>
      <w:rPr>
        <w:rFonts w:hint="eastAsia"/>
      </w:rPr>
      <w:t>页</w:t>
    </w:r>
  </w:p>
  <w:p w14:paraId="0DFB86D0">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57001">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42D95">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B11F22">
    <w:pPr>
      <w:spacing w:line="14" w:lineRule="auto"/>
      <w:rPr>
        <w:sz w:val="20"/>
        <w:szCs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9C97A7">
                          <w:pPr>
                            <w:pStyle w:val="10"/>
                            <w:jc w:val="center"/>
                          </w:pPr>
                          <w:r>
                            <w:rPr>
                              <w:rFonts w:hint="eastAsia"/>
                            </w:rPr>
                            <w:t>共</w:t>
                          </w:r>
                          <w:r>
                            <w:fldChar w:fldCharType="begin"/>
                          </w:r>
                          <w:r>
                            <w:rPr>
                              <w:rStyle w:val="16"/>
                            </w:rPr>
                            <w:instrText xml:space="preserve"> NUMPAGES </w:instrText>
                          </w:r>
                          <w:r>
                            <w:fldChar w:fldCharType="separate"/>
                          </w:r>
                          <w:r>
                            <w:rPr>
                              <w:rStyle w:val="16"/>
                              <w:lang/>
                            </w:rPr>
                            <w:t>11</w:t>
                          </w:r>
                          <w:r>
                            <w:fldChar w:fldCharType="end"/>
                          </w:r>
                          <w:r>
                            <w:rPr>
                              <w:rFonts w:hint="eastAsia"/>
                            </w:rPr>
                            <w:t>页 第</w:t>
                          </w:r>
                          <w:r>
                            <w:fldChar w:fldCharType="begin"/>
                          </w:r>
                          <w:r>
                            <w:instrText xml:space="preserve"> PAGE   \* MERGEFORMAT </w:instrText>
                          </w:r>
                          <w:r>
                            <w:fldChar w:fldCharType="separate"/>
                          </w:r>
                          <w:r>
                            <w:rPr>
                              <w:lang w:val="zh-CN"/>
                            </w:rPr>
                            <w:t>11</w:t>
                          </w:r>
                          <w:r>
                            <w:fldChar w:fldCharType="end"/>
                          </w:r>
                          <w:r>
                            <w:rPr>
                              <w:rFonts w:hint="eastAsia"/>
                            </w:rPr>
                            <w:t>页</w:t>
                          </w:r>
                        </w:p>
                        <w:p w14:paraId="35CBA5CC">
                          <w:pPr>
                            <w:pStyle w:val="10"/>
                            <w:rPr>
                              <w:rFonts w:hint="eastAsia"/>
                            </w:rPr>
                          </w:pPr>
                        </w:p>
                      </w:txbxContent>
                    </wps:txbx>
                    <wps:bodyPr wrap="none" lIns="0" tIns="0" rIns="0" bIns="0" upright="0">
                      <a:spAutoFit/>
                    </wps:bodyPr>
                  </wps:wsp>
                </a:graphicData>
              </a:graphic>
            </wp:anchor>
          </w:drawing>
        </mc:Choice>
        <mc:Fallback>
          <w:pict>
            <v:shape id="文本框 70"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VxwMMcBAACaAwAADgAAAGRycy9lMm9Eb2MueG1srVPNjtMwEL4j8Q6W&#10;79TZHqCKmq52VS1CQoC08ACuYzeW/CeP26QvAG/AiQt3nqvPwdhJWlgue+DijGfG38z3zWR9O1hD&#10;jjKC9q6hN4uKEumEb7XbN/TL54dXK0ogcddy451s6EkCvd28fLHuQy2XvvOmlZEgiIO6Dw3tUgo1&#10;YyA6aTksfJAOg8pHyxNe4561kfeIbg1bVtVr1vvYhuiFBEDvdgzSCTE+B9ArpYXcenGw0qURNUrD&#10;E1KCTgegm9KtUlKkj0qBTMQ0FJmmcmIRtHf5ZJs1r/eRh06LqQX+nBaecLJcOyx6gdryxMkh6n+g&#10;rBbRg1dpIbxlI5GiCLK4qZ5o89jxIAsXlBrCRXT4f7Diw/FTJLrFTaDEcYsDP3//dv7x6/zzK3lT&#10;9OkD1Jj2GDAxDfd+yLmoW/YDOjPtQUWbv0iIYBzVPV3UlUMiIj9aLVerCkMCY/MFcdj1eYiQ3kpv&#10;STYaGnF8RVV+fA9pTJ1TcjXnH7QxZYTG/eVAzOxh1x6zlYbdMDW+8+0J+fQ4+YY6XHRKzDuHwuYl&#10;mY04G7vZOISo913ZolwPwt0hYROlt1xhhJ0K48gKu2m98k78eS9Z119q8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QVxwMMcBAACaAwAADgAAAAAAAAABACAAAAAeAQAAZHJzL2Uyb0RvYy54&#10;bWxQSwUGAAAAAAYABgBZAQAAVwUAAAAA&#10;">
              <v:fill on="f" focussize="0,0"/>
              <v:stroke on="f"/>
              <v:imagedata o:title=""/>
              <o:lock v:ext="edit" aspectratio="f"/>
              <v:textbox inset="0mm,0mm,0mm,0mm" style="mso-fit-shape-to-text:t;">
                <w:txbxContent>
                  <w:p w14:paraId="789C97A7">
                    <w:pPr>
                      <w:pStyle w:val="10"/>
                      <w:jc w:val="center"/>
                    </w:pPr>
                    <w:r>
                      <w:rPr>
                        <w:rFonts w:hint="eastAsia"/>
                      </w:rPr>
                      <w:t>共</w:t>
                    </w:r>
                    <w:r>
                      <w:fldChar w:fldCharType="begin"/>
                    </w:r>
                    <w:r>
                      <w:rPr>
                        <w:rStyle w:val="16"/>
                      </w:rPr>
                      <w:instrText xml:space="preserve"> NUMPAGES </w:instrText>
                    </w:r>
                    <w:r>
                      <w:fldChar w:fldCharType="separate"/>
                    </w:r>
                    <w:r>
                      <w:rPr>
                        <w:rStyle w:val="16"/>
                        <w:lang/>
                      </w:rPr>
                      <w:t>11</w:t>
                    </w:r>
                    <w:r>
                      <w:fldChar w:fldCharType="end"/>
                    </w:r>
                    <w:r>
                      <w:rPr>
                        <w:rFonts w:hint="eastAsia"/>
                      </w:rPr>
                      <w:t>页 第</w:t>
                    </w:r>
                    <w:r>
                      <w:fldChar w:fldCharType="begin"/>
                    </w:r>
                    <w:r>
                      <w:instrText xml:space="preserve"> PAGE   \* MERGEFORMAT </w:instrText>
                    </w:r>
                    <w:r>
                      <w:fldChar w:fldCharType="separate"/>
                    </w:r>
                    <w:r>
                      <w:rPr>
                        <w:lang w:val="zh-CN"/>
                      </w:rPr>
                      <w:t>11</w:t>
                    </w:r>
                    <w:r>
                      <w:fldChar w:fldCharType="end"/>
                    </w:r>
                    <w:r>
                      <w:rPr>
                        <w:rFonts w:hint="eastAsia"/>
                      </w:rPr>
                      <w:t>页</w:t>
                    </w:r>
                  </w:p>
                  <w:p w14:paraId="35CBA5CC">
                    <w:pPr>
                      <w:pStyle w:val="10"/>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842A6">
    <w:pPr>
      <w:jc w:val="center"/>
      <w:rPr>
        <w:rFonts w:hint="eastAsia" w:ascii="宋体" w:hAnsi="宋体"/>
        <w:sz w:val="18"/>
        <w:szCs w:val="18"/>
        <w14:shadow w14:blurRad="50800" w14:dist="38100" w14:dir="2700000" w14:sx="100000" w14:sy="100000" w14:kx="0" w14:ky="0" w14:algn="tl">
          <w14:srgbClr w14:val="000000">
            <w14:alpha w14:val="60000"/>
          </w14:srgbClr>
        </w14:shadow>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02FF2">
    <w:pPr>
      <w:pStyle w:val="11"/>
    </w:pPr>
    <w:r>
      <w:rPr>
        <w:rFonts w:hint="eastAsia"/>
        <w:lang/>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190500</wp:posOffset>
              </wp:positionV>
              <wp:extent cx="7560310" cy="273685"/>
              <wp:effectExtent l="0" t="0" r="0" b="0"/>
              <wp:wrapNone/>
              <wp:docPr id="3" name="MSIPCMa9df409c9f5d4bd4bc93bc95" descr="{&quot;HashCode&quot;:25983820,&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685"/>
                      </a:xfrm>
                      <a:prstGeom prst="rect">
                        <a:avLst/>
                      </a:prstGeom>
                      <a:noFill/>
                      <a:ln>
                        <a:noFill/>
                      </a:ln>
                    </wps:spPr>
                    <wps:txbx>
                      <w:txbxContent>
                        <w:p w14:paraId="236FDC73">
                          <w:pPr>
                            <w:jc w:val="left"/>
                            <w:rPr>
                              <w:rFonts w:ascii="Calibri" w:hAnsi="Calibri" w:cs="Calibri"/>
                              <w:color w:val="F6A800"/>
                              <w:sz w:val="20"/>
                            </w:rPr>
                          </w:pPr>
                        </w:p>
                      </w:txbxContent>
                    </wps:txbx>
                    <wps:bodyPr wrap="square" lIns="254000" tIns="0" bIns="0" upright="1"/>
                  </wps:wsp>
                </a:graphicData>
              </a:graphic>
            </wp:anchor>
          </w:drawing>
        </mc:Choice>
        <mc:Fallback>
          <w:pict>
            <v:shape id="MSIPCMa9df409c9f5d4bd4bc93bc95" o:spid="_x0000_s1026" o:spt="202" alt="{&quot;HashCode&quot;:25983820,&quot;Height&quot;:841.0,&quot;Width&quot;:595.0,&quot;Placement&quot;:&quot;Header&quot;,&quot;Index&quot;:&quot;Primary&quot;,&quot;Section&quot;:1,&quot;Top&quot;:0.0,&quot;Left&quot;:0.0}" type="#_x0000_t202" style="position:absolute;left:0pt;margin-left:0pt;margin-top:15pt;height:21.55pt;width:595.3pt;mso-position-horizontal-relative:page;mso-position-vertical-relative:page;z-index:251661312;mso-width-relative:page;mso-height-relative:page;" filled="f" stroked="f" coordsize="21600,21600" o:allowincell="f" o:gfxdata="UEsDBAoAAAAAAIdO4kAAAAAAAAAAAAAAAAAEAAAAZHJzL1BLAwQUAAAACACHTuJA7pKfn9gAAAAH&#10;AQAADwAAAGRycy9kb3ducmV2LnhtbE2PS0/DMBCE70j8B2uRuFE7FJU2ZFOhCiQeFwi99LaJlyQi&#10;toPtPuivxz3BaTWa0cy3xfJgBrFjH3pnEbKJAsG2cbq3LcL64/FqDiJEspoGZxnhhwMsy/OzgnLt&#10;9vadd1VsRSqxISeELsYxlzI0HRsKEzeyTd6n84Zikr6V2tM+lZtBXis1k4Z6mxY6GnnVcfNVbQ0C&#10;fVc3/ti/+ZeHJ7lab471/Pn+FfHyIlN3ICIf4l8YTvgJHcrEVLut1UEMCOmRiDBV6Z7cbKFmIGqE&#10;22kGsizkf/7yF1BLAwQUAAAACACHTuJA9+7WCjUCAAB2BAAADgAAAGRycy9lMm9Eb2MueG1srVRR&#10;b9owEH6ftP9g+WFPGwmBUJIRKq2oG1K7IdFpz8Z2iKXEdm3TBFX77zsnho7upQ+TIJzvLt/dd/eZ&#10;xXXX1OiJGyuULPB4FGPEJVVMyH2Bfz7cfppjZB2RjNRK8gIfucXXy/fvFq3OeaIqVTNuEIBIm7e6&#10;wJVzOo8iSyveEDtSmksIlso0xMHR7CNmSAvoTR0lcTyLWmWYNopya8G7GoI4IJq3AKqyFJSvFD00&#10;XLoB1fCaOKBkK6EtXvbdliWn7kdZWu5QXWBg6vonFAF755/RckHyvSG6EjS0QN7SwitODRESip6h&#10;VsQRdDDiH6hGUKOsKt2IqiYaiPQTARbj+NVsthXRvOcCo7b6PHT7/2Dp96eNQYIVeIKRJA0s/H67&#10;3tzck4yV0zijWZmy6Q4+NJvAN8WIcUthgs8fHg/Kff5GbHWjGB9OeZJm88k8iT+GKBf7yoXYfApq&#10;C4Ffgrkq+NMsPfs3NaHcbzXETjAERDfYAWAtGe8ukjZGNMQcL7K2IAAQRcgbh3cflA6e+Fz4jpen&#10;muD87YXRapvDfLYaJuS6L6qD63LyW3D6fXelafwvbBJBHGR1PMuKdw5RcF6ls3gyhhCFWHI1mc1T&#10;DxO9vK2NdV+5apA3Cmyg615N5OnOuiH1lOKLSXUr6rqXbi0vHIDpPZFvfWjRW67bdYHPTrEj0GlB&#10;8QW2jwdiOEb1WoKkknQax/6O9Cd/QU7GQRu/xkC/Bwc59gzC1fF6//vct/Dyd7H8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O6Sn5/YAAAABwEAAA8AAAAAAAAAAQAgAAAAIgAAAGRycy9kb3ducmV2&#10;LnhtbFBLAQIUABQAAAAIAIdO4kD37tYKNQIAAHYEAAAOAAAAAAAAAAEAIAAAACcBAABkcnMvZTJv&#10;RG9jLnhtbFBLBQYAAAAABgAGAFkBAADOBQAAAAA=&#10;">
              <v:fill on="f" focussize="0,0"/>
              <v:stroke on="f"/>
              <v:imagedata o:title=""/>
              <o:lock v:ext="edit" aspectratio="f"/>
              <v:textbox inset="20pt,0mm,2.54mm,0mm">
                <w:txbxContent>
                  <w:p w14:paraId="236FDC73">
                    <w:pPr>
                      <w:jc w:val="left"/>
                      <w:rPr>
                        <w:rFonts w:ascii="Calibri" w:hAnsi="Calibri" w:cs="Calibri"/>
                        <w:color w:val="F6A800"/>
                        <w:sz w:val="20"/>
                      </w:rPr>
                    </w:pPr>
                  </w:p>
                </w:txbxContent>
              </v:textbox>
            </v:shape>
          </w:pict>
        </mc:Fallback>
      </mc:AlternateContent>
    </w:r>
    <w:r>
      <w:rPr>
        <w:rFonts w:hint="eastAsia"/>
      </w:rPr>
      <w:t>陕西省人民医院合同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D9B66">
    <w:pPr>
      <w:pStyle w:val="1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58CCE">
    <w:pPr>
      <w:pStyle w:val="1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F2A8F">
    <w:pPr>
      <w:spacing w:line="14" w:lineRule="auto"/>
      <w:rPr>
        <w:sz w:val="20"/>
        <w:szCs w:val="20"/>
      </w:rPr>
    </w:pPr>
    <w:r>
      <mc:AlternateContent>
        <mc:Choice Requires="wps">
          <w:drawing>
            <wp:anchor distT="0" distB="0" distL="114300" distR="114300" simplePos="0" relativeHeight="251659264" behindDoc="1" locked="0" layoutInCell="1" allowOverlap="1">
              <wp:simplePos x="0" y="0"/>
              <wp:positionH relativeFrom="page">
                <wp:posOffset>6095365</wp:posOffset>
              </wp:positionH>
              <wp:positionV relativeFrom="page">
                <wp:posOffset>546735</wp:posOffset>
              </wp:positionV>
              <wp:extent cx="940435" cy="1460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940435" cy="146050"/>
                      </a:xfrm>
                      <a:prstGeom prst="rect">
                        <a:avLst/>
                      </a:prstGeom>
                      <a:noFill/>
                      <a:ln>
                        <a:noFill/>
                      </a:ln>
                      <a:effectLst/>
                    </wps:spPr>
                    <wps:txbx>
                      <w:txbxContent>
                        <w:p w14:paraId="25F06F5C">
                          <w:pPr>
                            <w:pStyle w:val="3"/>
                            <w:spacing w:line="214" w:lineRule="exact"/>
                            <w:jc w:val="left"/>
                          </w:pPr>
                        </w:p>
                      </w:txbxContent>
                    </wps:txbx>
                    <wps:bodyPr wrap="square" lIns="0" tIns="0" rIns="0" bIns="0" upright="1"/>
                  </wps:wsp>
                </a:graphicData>
              </a:graphic>
            </wp:anchor>
          </w:drawing>
        </mc:Choice>
        <mc:Fallback>
          <w:pict>
            <v:shape id="_x0000_s1026" o:spid="_x0000_s1026" o:spt="202" type="#_x0000_t202" style="position:absolute;left:0pt;margin-left:479.95pt;margin-top:43.05pt;height:11.5pt;width:74.05pt;mso-position-horizontal-relative:page;mso-position-vertical-relative:page;z-index:-251657216;mso-width-relative:page;mso-height-relative:page;" filled="f" stroked="f" coordsize="21600,21600" o:gfxdata="UEsDBAoAAAAAAIdO4kAAAAAAAAAAAAAAAAAEAAAAZHJzL1BLAwQUAAAACACHTuJAT7epkdgAAAAL&#10;AQAADwAAAGRycy9kb3ducmV2LnhtbE2PTUvEMBCG78L+hzAL3tykgqWpTRcRPQlitx48ps1sG7aZ&#10;1Cb74b83e9LbDPPwzvNW24ub2AmXYD0pyDYCGFLvjaVBwWf7elcAC1GT0ZMnVPCDAbb16qbSpfFn&#10;avC0iwNLIRRKrWCMcS45D/2IToeNn5HSbe8Xp2Nal4GbRZ9TuJv4vRA5d9pS+jDqGZ9H7A+7o1Pw&#10;9EXNi/1+7z6afWPbVgp6yw9K3a4z8Qgs4iX+wXDVT+pQJ6fOH8kENimQD1ImVEGRZ8CuQCaK1K5L&#10;k5AZ8Lri/zvUv1BLAwQUAAAACACHTuJA6G0JYskBAACNAwAADgAAAGRycy9lMm9Eb2MueG1srVPN&#10;jtMwEL4j8Q6W7zRp6a6garoSqhYhIUBaeADXmTSW/MfYbdIXgDfgxIU7z9Xn2LGTlGW57IGLM54Z&#10;fzPfN5P1TW80OwIG5WzF57OSM7DS1cruK/7l8+2LV5yFKGwttLNQ8RMEfrN5/mzd+RUsXOt0DcgI&#10;xIZV5yvexuhXRRFkC0aEmfNgKdg4NCLSFfdFjaIjdKOLRVleF53D2qOTEAJ5t0OQj4j4FEDXNErC&#10;1smDARsHVAQtIlEKrfKBb3K3TQMyfmyaAJHpihPTmE8qQvYuncVmLVZ7FL5VcmxBPKWFR5yMUJaK&#10;XqC2Igp2QPUPlFESXXBNnElnioFIVoRYzMtH2ty1wkPmQlIHfxE9/D9Y+eH4CZmqK77gzApDAz//&#10;+H7++fv86xtbJHk6H1aUdecpL/ZvXE9LM/kDORPrvkGTvsSHUZzEPV3EhT4ySc7Xy3L58oozSaH5&#10;8rq8yuIXfx57DPEtOMOSUXGk2WVJxfF9iNQIpU4pqZZ1t0rrPD9t/3JQ4uCBvADj68Rj6DdZsd/1&#10;I7mdq0/EraMlqHj4ehAInOl3llROGzMZOBm7yTh4VPuWWs16FAmWppQbHTcqrcHDO9kP/6LNP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E+3qZHYAAAACwEAAA8AAAAAAAAAAQAgAAAAIgAAAGRycy9k&#10;b3ducmV2LnhtbFBLAQIUABQAAAAIAIdO4kDobQliyQEAAI0DAAAOAAAAAAAAAAEAIAAAACcBAABk&#10;cnMvZTJvRG9jLnhtbFBLBQYAAAAABgAGAFkBAABiBQAAAAA=&#10;">
              <v:fill on="f" focussize="0,0"/>
              <v:stroke on="f"/>
              <v:imagedata o:title=""/>
              <o:lock v:ext="edit" aspectratio="f"/>
              <v:textbox inset="0mm,0mm,0mm,0mm">
                <w:txbxContent>
                  <w:p w14:paraId="25F06F5C">
                    <w:pPr>
                      <w:pStyle w:val="3"/>
                      <w:spacing w:line="214" w:lineRule="exact"/>
                      <w:jc w:val="left"/>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473ABA"/>
    <w:multiLevelType w:val="singleLevel"/>
    <w:tmpl w:val="2A473ABA"/>
    <w:lvl w:ilvl="0" w:tentative="0">
      <w:start w:val="1"/>
      <w:numFmt w:val="chineseCounting"/>
      <w:suff w:val="nothing"/>
      <w:lvlText w:val="（%1）"/>
      <w:lvlJc w:val="left"/>
      <w:pPr>
        <w:ind w:left="120" w:firstLine="0"/>
      </w:pPr>
      <w:rPr>
        <w:rFonts w:hint="eastAsia"/>
      </w:rPr>
    </w:lvl>
  </w:abstractNum>
  <w:abstractNum w:abstractNumId="1">
    <w:nsid w:val="6F99A103"/>
    <w:multiLevelType w:val="singleLevel"/>
    <w:tmpl w:val="6F99A103"/>
    <w:lvl w:ilvl="0" w:tentative="0">
      <w:start w:val="1"/>
      <w:numFmt w:val="chineseCounting"/>
      <w:suff w:val="space"/>
      <w:lvlText w:val="第%1条"/>
      <w:lvlJc w:val="left"/>
      <w:pPr>
        <w:ind w:left="12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ZmIyNjBiNDU4MzIyY2YxMDMwODk5YWE4MzE3YjIifQ=="/>
  </w:docVars>
  <w:rsids>
    <w:rsidRoot w:val="00CD6073"/>
    <w:rsid w:val="000025D0"/>
    <w:rsid w:val="00004371"/>
    <w:rsid w:val="00007A3C"/>
    <w:rsid w:val="0001340B"/>
    <w:rsid w:val="00015CE6"/>
    <w:rsid w:val="00022B8D"/>
    <w:rsid w:val="00022B8E"/>
    <w:rsid w:val="000240A7"/>
    <w:rsid w:val="0002666F"/>
    <w:rsid w:val="0002671D"/>
    <w:rsid w:val="00026865"/>
    <w:rsid w:val="000310E3"/>
    <w:rsid w:val="00032921"/>
    <w:rsid w:val="00035ADC"/>
    <w:rsid w:val="00037AF0"/>
    <w:rsid w:val="00037BCD"/>
    <w:rsid w:val="00040428"/>
    <w:rsid w:val="0004141A"/>
    <w:rsid w:val="00042A4F"/>
    <w:rsid w:val="00042C81"/>
    <w:rsid w:val="00045538"/>
    <w:rsid w:val="00046AF6"/>
    <w:rsid w:val="00047D2C"/>
    <w:rsid w:val="00050394"/>
    <w:rsid w:val="0005182C"/>
    <w:rsid w:val="00054014"/>
    <w:rsid w:val="00054C73"/>
    <w:rsid w:val="000630E7"/>
    <w:rsid w:val="00063262"/>
    <w:rsid w:val="00064A79"/>
    <w:rsid w:val="00064F7E"/>
    <w:rsid w:val="000657BE"/>
    <w:rsid w:val="00066976"/>
    <w:rsid w:val="00067070"/>
    <w:rsid w:val="00070D48"/>
    <w:rsid w:val="00071A6E"/>
    <w:rsid w:val="00074076"/>
    <w:rsid w:val="00075B64"/>
    <w:rsid w:val="00075BDC"/>
    <w:rsid w:val="00077513"/>
    <w:rsid w:val="000818DD"/>
    <w:rsid w:val="000823E4"/>
    <w:rsid w:val="00082882"/>
    <w:rsid w:val="000854AB"/>
    <w:rsid w:val="000859B8"/>
    <w:rsid w:val="00091472"/>
    <w:rsid w:val="00091853"/>
    <w:rsid w:val="00093733"/>
    <w:rsid w:val="00093F73"/>
    <w:rsid w:val="00094340"/>
    <w:rsid w:val="00095865"/>
    <w:rsid w:val="00096867"/>
    <w:rsid w:val="000A082B"/>
    <w:rsid w:val="000A0A5B"/>
    <w:rsid w:val="000A0B99"/>
    <w:rsid w:val="000A0E8B"/>
    <w:rsid w:val="000A15E1"/>
    <w:rsid w:val="000A24E5"/>
    <w:rsid w:val="000A6274"/>
    <w:rsid w:val="000A71F3"/>
    <w:rsid w:val="000A7AF9"/>
    <w:rsid w:val="000B1FAA"/>
    <w:rsid w:val="000B3EED"/>
    <w:rsid w:val="000B4A0F"/>
    <w:rsid w:val="000B786D"/>
    <w:rsid w:val="000B7C9D"/>
    <w:rsid w:val="000C33A9"/>
    <w:rsid w:val="000C39ED"/>
    <w:rsid w:val="000D44D8"/>
    <w:rsid w:val="000D5427"/>
    <w:rsid w:val="000D7238"/>
    <w:rsid w:val="000D7CC1"/>
    <w:rsid w:val="000E1318"/>
    <w:rsid w:val="000E14C5"/>
    <w:rsid w:val="000E1E64"/>
    <w:rsid w:val="000E6571"/>
    <w:rsid w:val="000F0224"/>
    <w:rsid w:val="000F0238"/>
    <w:rsid w:val="000F1D27"/>
    <w:rsid w:val="000F22E4"/>
    <w:rsid w:val="000F3076"/>
    <w:rsid w:val="000F3184"/>
    <w:rsid w:val="000F717F"/>
    <w:rsid w:val="00100A07"/>
    <w:rsid w:val="0010258B"/>
    <w:rsid w:val="00102A16"/>
    <w:rsid w:val="00102FE5"/>
    <w:rsid w:val="00105C64"/>
    <w:rsid w:val="00107859"/>
    <w:rsid w:val="00110369"/>
    <w:rsid w:val="00111939"/>
    <w:rsid w:val="00113E02"/>
    <w:rsid w:val="0011401F"/>
    <w:rsid w:val="00117081"/>
    <w:rsid w:val="00120144"/>
    <w:rsid w:val="00122A5B"/>
    <w:rsid w:val="00123AAB"/>
    <w:rsid w:val="00124BED"/>
    <w:rsid w:val="00126B13"/>
    <w:rsid w:val="00130C25"/>
    <w:rsid w:val="001340F4"/>
    <w:rsid w:val="00134DD6"/>
    <w:rsid w:val="00136F35"/>
    <w:rsid w:val="001373AA"/>
    <w:rsid w:val="00137F43"/>
    <w:rsid w:val="00140099"/>
    <w:rsid w:val="001414F4"/>
    <w:rsid w:val="00141921"/>
    <w:rsid w:val="00147E89"/>
    <w:rsid w:val="00150770"/>
    <w:rsid w:val="001539B2"/>
    <w:rsid w:val="001546C3"/>
    <w:rsid w:val="00155159"/>
    <w:rsid w:val="00155A37"/>
    <w:rsid w:val="001649B1"/>
    <w:rsid w:val="001655BC"/>
    <w:rsid w:val="00166728"/>
    <w:rsid w:val="0016699D"/>
    <w:rsid w:val="00166D39"/>
    <w:rsid w:val="0017084F"/>
    <w:rsid w:val="00171947"/>
    <w:rsid w:val="00173248"/>
    <w:rsid w:val="00176AED"/>
    <w:rsid w:val="00176BDA"/>
    <w:rsid w:val="00187ADA"/>
    <w:rsid w:val="0019051E"/>
    <w:rsid w:val="001907BE"/>
    <w:rsid w:val="00190D19"/>
    <w:rsid w:val="00196CCA"/>
    <w:rsid w:val="001A191F"/>
    <w:rsid w:val="001A20FD"/>
    <w:rsid w:val="001A2196"/>
    <w:rsid w:val="001A2471"/>
    <w:rsid w:val="001A3214"/>
    <w:rsid w:val="001A39A2"/>
    <w:rsid w:val="001A5282"/>
    <w:rsid w:val="001A6074"/>
    <w:rsid w:val="001A773E"/>
    <w:rsid w:val="001B0204"/>
    <w:rsid w:val="001B28D1"/>
    <w:rsid w:val="001B5C02"/>
    <w:rsid w:val="001B7CAA"/>
    <w:rsid w:val="001C2BC9"/>
    <w:rsid w:val="001C2C69"/>
    <w:rsid w:val="001C5040"/>
    <w:rsid w:val="001C7D8E"/>
    <w:rsid w:val="001D0C6D"/>
    <w:rsid w:val="001D2304"/>
    <w:rsid w:val="001D28BD"/>
    <w:rsid w:val="001D4D2C"/>
    <w:rsid w:val="001D599D"/>
    <w:rsid w:val="001D69E7"/>
    <w:rsid w:val="001D7317"/>
    <w:rsid w:val="001E089C"/>
    <w:rsid w:val="001E3E01"/>
    <w:rsid w:val="001F0A95"/>
    <w:rsid w:val="001F0D8D"/>
    <w:rsid w:val="001F1207"/>
    <w:rsid w:val="001F343A"/>
    <w:rsid w:val="001F4010"/>
    <w:rsid w:val="001F4860"/>
    <w:rsid w:val="001F5703"/>
    <w:rsid w:val="001F735B"/>
    <w:rsid w:val="00200138"/>
    <w:rsid w:val="00204C93"/>
    <w:rsid w:val="00205E56"/>
    <w:rsid w:val="00206F53"/>
    <w:rsid w:val="00207E25"/>
    <w:rsid w:val="002153C7"/>
    <w:rsid w:val="00215AEE"/>
    <w:rsid w:val="00221A40"/>
    <w:rsid w:val="002275E1"/>
    <w:rsid w:val="00231460"/>
    <w:rsid w:val="002317FE"/>
    <w:rsid w:val="00236906"/>
    <w:rsid w:val="00244879"/>
    <w:rsid w:val="0024724B"/>
    <w:rsid w:val="002530EE"/>
    <w:rsid w:val="00255F6A"/>
    <w:rsid w:val="0025649C"/>
    <w:rsid w:val="00260E63"/>
    <w:rsid w:val="002649AD"/>
    <w:rsid w:val="00265BF6"/>
    <w:rsid w:val="00267CEC"/>
    <w:rsid w:val="002733B0"/>
    <w:rsid w:val="002736C3"/>
    <w:rsid w:val="00276B22"/>
    <w:rsid w:val="00277AB5"/>
    <w:rsid w:val="00280DA4"/>
    <w:rsid w:val="002829D8"/>
    <w:rsid w:val="002843A2"/>
    <w:rsid w:val="00284CF8"/>
    <w:rsid w:val="00285B11"/>
    <w:rsid w:val="00287E6D"/>
    <w:rsid w:val="00292522"/>
    <w:rsid w:val="00293111"/>
    <w:rsid w:val="002A4898"/>
    <w:rsid w:val="002A5384"/>
    <w:rsid w:val="002A559D"/>
    <w:rsid w:val="002A686E"/>
    <w:rsid w:val="002A7328"/>
    <w:rsid w:val="002A7C78"/>
    <w:rsid w:val="002B034C"/>
    <w:rsid w:val="002B26C8"/>
    <w:rsid w:val="002B3EC3"/>
    <w:rsid w:val="002B408B"/>
    <w:rsid w:val="002B4AB0"/>
    <w:rsid w:val="002C391B"/>
    <w:rsid w:val="002C4749"/>
    <w:rsid w:val="002C5555"/>
    <w:rsid w:val="002C5FA1"/>
    <w:rsid w:val="002C606D"/>
    <w:rsid w:val="002D07C0"/>
    <w:rsid w:val="002D19F9"/>
    <w:rsid w:val="002D41F9"/>
    <w:rsid w:val="002D65A9"/>
    <w:rsid w:val="002E0480"/>
    <w:rsid w:val="002E1EC5"/>
    <w:rsid w:val="002E2806"/>
    <w:rsid w:val="002E2963"/>
    <w:rsid w:val="002E5082"/>
    <w:rsid w:val="002F5563"/>
    <w:rsid w:val="00304255"/>
    <w:rsid w:val="00304FF8"/>
    <w:rsid w:val="00305623"/>
    <w:rsid w:val="00310736"/>
    <w:rsid w:val="003108BD"/>
    <w:rsid w:val="00310E6E"/>
    <w:rsid w:val="00314702"/>
    <w:rsid w:val="003151CE"/>
    <w:rsid w:val="0031609C"/>
    <w:rsid w:val="00321C4A"/>
    <w:rsid w:val="003230DF"/>
    <w:rsid w:val="00323E22"/>
    <w:rsid w:val="00324674"/>
    <w:rsid w:val="00325D12"/>
    <w:rsid w:val="00326AD8"/>
    <w:rsid w:val="00327B12"/>
    <w:rsid w:val="00327FE4"/>
    <w:rsid w:val="003315EB"/>
    <w:rsid w:val="00334C39"/>
    <w:rsid w:val="00337C4E"/>
    <w:rsid w:val="003406F4"/>
    <w:rsid w:val="00340B93"/>
    <w:rsid w:val="00341131"/>
    <w:rsid w:val="00341474"/>
    <w:rsid w:val="00341B94"/>
    <w:rsid w:val="00343133"/>
    <w:rsid w:val="003452AA"/>
    <w:rsid w:val="00345302"/>
    <w:rsid w:val="00346E54"/>
    <w:rsid w:val="0034705A"/>
    <w:rsid w:val="00347E56"/>
    <w:rsid w:val="0035211C"/>
    <w:rsid w:val="0035419C"/>
    <w:rsid w:val="00354268"/>
    <w:rsid w:val="00362781"/>
    <w:rsid w:val="00367DC2"/>
    <w:rsid w:val="00370B45"/>
    <w:rsid w:val="00374DC3"/>
    <w:rsid w:val="00376231"/>
    <w:rsid w:val="00377211"/>
    <w:rsid w:val="003808C2"/>
    <w:rsid w:val="0038341A"/>
    <w:rsid w:val="00383D1C"/>
    <w:rsid w:val="00395826"/>
    <w:rsid w:val="00396F96"/>
    <w:rsid w:val="003A01FA"/>
    <w:rsid w:val="003A1C5C"/>
    <w:rsid w:val="003A7468"/>
    <w:rsid w:val="003B31B0"/>
    <w:rsid w:val="003B7583"/>
    <w:rsid w:val="003C231F"/>
    <w:rsid w:val="003C241D"/>
    <w:rsid w:val="003C441A"/>
    <w:rsid w:val="003C520F"/>
    <w:rsid w:val="003D22BA"/>
    <w:rsid w:val="003D2BDD"/>
    <w:rsid w:val="003D5733"/>
    <w:rsid w:val="003E0A21"/>
    <w:rsid w:val="003E0A38"/>
    <w:rsid w:val="003E0CAA"/>
    <w:rsid w:val="003E32C6"/>
    <w:rsid w:val="003E6473"/>
    <w:rsid w:val="003E7BEB"/>
    <w:rsid w:val="003F02ED"/>
    <w:rsid w:val="003F18BB"/>
    <w:rsid w:val="003F258E"/>
    <w:rsid w:val="003F3741"/>
    <w:rsid w:val="003F667A"/>
    <w:rsid w:val="003F6ADF"/>
    <w:rsid w:val="00402FBA"/>
    <w:rsid w:val="00404BBB"/>
    <w:rsid w:val="0040557E"/>
    <w:rsid w:val="00405B42"/>
    <w:rsid w:val="00405F5C"/>
    <w:rsid w:val="004060C2"/>
    <w:rsid w:val="00407189"/>
    <w:rsid w:val="00411959"/>
    <w:rsid w:val="00413D0B"/>
    <w:rsid w:val="0041444F"/>
    <w:rsid w:val="0041543C"/>
    <w:rsid w:val="00417EF0"/>
    <w:rsid w:val="00420FA1"/>
    <w:rsid w:val="004227CB"/>
    <w:rsid w:val="0042795D"/>
    <w:rsid w:val="00432FA3"/>
    <w:rsid w:val="00434C3A"/>
    <w:rsid w:val="00436788"/>
    <w:rsid w:val="00436D6B"/>
    <w:rsid w:val="004370AD"/>
    <w:rsid w:val="00437981"/>
    <w:rsid w:val="00450B4E"/>
    <w:rsid w:val="00454E5A"/>
    <w:rsid w:val="00464B24"/>
    <w:rsid w:val="0047272F"/>
    <w:rsid w:val="00472FEB"/>
    <w:rsid w:val="004735B0"/>
    <w:rsid w:val="00475DC3"/>
    <w:rsid w:val="00480861"/>
    <w:rsid w:val="00482E01"/>
    <w:rsid w:val="004852D1"/>
    <w:rsid w:val="0048561C"/>
    <w:rsid w:val="00485CBE"/>
    <w:rsid w:val="00492307"/>
    <w:rsid w:val="00493D90"/>
    <w:rsid w:val="00494957"/>
    <w:rsid w:val="004971CF"/>
    <w:rsid w:val="00497D10"/>
    <w:rsid w:val="004A115A"/>
    <w:rsid w:val="004A381E"/>
    <w:rsid w:val="004A7A1D"/>
    <w:rsid w:val="004B242D"/>
    <w:rsid w:val="004B376C"/>
    <w:rsid w:val="004B3F93"/>
    <w:rsid w:val="004B5FC3"/>
    <w:rsid w:val="004C07F2"/>
    <w:rsid w:val="004C12E2"/>
    <w:rsid w:val="004C3B6D"/>
    <w:rsid w:val="004C49EB"/>
    <w:rsid w:val="004C52B0"/>
    <w:rsid w:val="004D04F4"/>
    <w:rsid w:val="004D0E65"/>
    <w:rsid w:val="004D3777"/>
    <w:rsid w:val="004D3BA8"/>
    <w:rsid w:val="004D7C72"/>
    <w:rsid w:val="004E01A5"/>
    <w:rsid w:val="004E0568"/>
    <w:rsid w:val="004E2121"/>
    <w:rsid w:val="004E234E"/>
    <w:rsid w:val="004E4985"/>
    <w:rsid w:val="004F44DA"/>
    <w:rsid w:val="004F6006"/>
    <w:rsid w:val="004F7CBA"/>
    <w:rsid w:val="00503DC9"/>
    <w:rsid w:val="00503DE9"/>
    <w:rsid w:val="005057C6"/>
    <w:rsid w:val="00506843"/>
    <w:rsid w:val="005151FB"/>
    <w:rsid w:val="00517DDF"/>
    <w:rsid w:val="00517E9A"/>
    <w:rsid w:val="00520378"/>
    <w:rsid w:val="00524303"/>
    <w:rsid w:val="00524BF7"/>
    <w:rsid w:val="00525A9E"/>
    <w:rsid w:val="00525DC9"/>
    <w:rsid w:val="00527CCD"/>
    <w:rsid w:val="00531F85"/>
    <w:rsid w:val="00551793"/>
    <w:rsid w:val="00551B94"/>
    <w:rsid w:val="00552A2D"/>
    <w:rsid w:val="00555455"/>
    <w:rsid w:val="00556BB1"/>
    <w:rsid w:val="00560CE1"/>
    <w:rsid w:val="00562E3D"/>
    <w:rsid w:val="00564310"/>
    <w:rsid w:val="005649B5"/>
    <w:rsid w:val="00566346"/>
    <w:rsid w:val="005667BE"/>
    <w:rsid w:val="00573285"/>
    <w:rsid w:val="00577C09"/>
    <w:rsid w:val="00581C6F"/>
    <w:rsid w:val="00583488"/>
    <w:rsid w:val="005835D5"/>
    <w:rsid w:val="00584EE0"/>
    <w:rsid w:val="00592878"/>
    <w:rsid w:val="00593F89"/>
    <w:rsid w:val="00594434"/>
    <w:rsid w:val="005945BA"/>
    <w:rsid w:val="005A0452"/>
    <w:rsid w:val="005A0592"/>
    <w:rsid w:val="005A1313"/>
    <w:rsid w:val="005A362D"/>
    <w:rsid w:val="005A5377"/>
    <w:rsid w:val="005B0243"/>
    <w:rsid w:val="005B3F9F"/>
    <w:rsid w:val="005B4C99"/>
    <w:rsid w:val="005B6AD3"/>
    <w:rsid w:val="005C0544"/>
    <w:rsid w:val="005C33E9"/>
    <w:rsid w:val="005C4713"/>
    <w:rsid w:val="005C6033"/>
    <w:rsid w:val="005C7168"/>
    <w:rsid w:val="005D041B"/>
    <w:rsid w:val="005D1C4A"/>
    <w:rsid w:val="005D2CBC"/>
    <w:rsid w:val="005D400D"/>
    <w:rsid w:val="005D5DE1"/>
    <w:rsid w:val="005D5FC8"/>
    <w:rsid w:val="005D6BCE"/>
    <w:rsid w:val="005D6E04"/>
    <w:rsid w:val="005E07C9"/>
    <w:rsid w:val="005E21C0"/>
    <w:rsid w:val="005E281B"/>
    <w:rsid w:val="005E5EFF"/>
    <w:rsid w:val="005E7B5F"/>
    <w:rsid w:val="005F15F4"/>
    <w:rsid w:val="005F3CEE"/>
    <w:rsid w:val="005F5F62"/>
    <w:rsid w:val="005F7B32"/>
    <w:rsid w:val="00605447"/>
    <w:rsid w:val="0060564E"/>
    <w:rsid w:val="006061FC"/>
    <w:rsid w:val="0060637B"/>
    <w:rsid w:val="0060730A"/>
    <w:rsid w:val="00607730"/>
    <w:rsid w:val="00607928"/>
    <w:rsid w:val="006101CA"/>
    <w:rsid w:val="0061046A"/>
    <w:rsid w:val="00611ABF"/>
    <w:rsid w:val="006126F3"/>
    <w:rsid w:val="006144D7"/>
    <w:rsid w:val="006163A6"/>
    <w:rsid w:val="0061673D"/>
    <w:rsid w:val="0061765B"/>
    <w:rsid w:val="00620231"/>
    <w:rsid w:val="0062104D"/>
    <w:rsid w:val="00622832"/>
    <w:rsid w:val="00623477"/>
    <w:rsid w:val="00624441"/>
    <w:rsid w:val="00625682"/>
    <w:rsid w:val="006256AB"/>
    <w:rsid w:val="006260DD"/>
    <w:rsid w:val="00627DE1"/>
    <w:rsid w:val="00633037"/>
    <w:rsid w:val="00635361"/>
    <w:rsid w:val="006356FF"/>
    <w:rsid w:val="00636BDE"/>
    <w:rsid w:val="0064042B"/>
    <w:rsid w:val="00643719"/>
    <w:rsid w:val="006438C7"/>
    <w:rsid w:val="00643981"/>
    <w:rsid w:val="00644260"/>
    <w:rsid w:val="00645F44"/>
    <w:rsid w:val="00646973"/>
    <w:rsid w:val="0064705F"/>
    <w:rsid w:val="00647D5F"/>
    <w:rsid w:val="0065001E"/>
    <w:rsid w:val="00650309"/>
    <w:rsid w:val="00651BE2"/>
    <w:rsid w:val="00653595"/>
    <w:rsid w:val="006560CE"/>
    <w:rsid w:val="006567E6"/>
    <w:rsid w:val="00660F85"/>
    <w:rsid w:val="00661C9E"/>
    <w:rsid w:val="00662FCC"/>
    <w:rsid w:val="00663505"/>
    <w:rsid w:val="00664B60"/>
    <w:rsid w:val="00665C95"/>
    <w:rsid w:val="0066621B"/>
    <w:rsid w:val="006668B8"/>
    <w:rsid w:val="00666DD1"/>
    <w:rsid w:val="0067058C"/>
    <w:rsid w:val="006716B3"/>
    <w:rsid w:val="0067426D"/>
    <w:rsid w:val="00675751"/>
    <w:rsid w:val="0068129F"/>
    <w:rsid w:val="00683C81"/>
    <w:rsid w:val="0068786C"/>
    <w:rsid w:val="006906FA"/>
    <w:rsid w:val="00691948"/>
    <w:rsid w:val="006931F6"/>
    <w:rsid w:val="00694B2E"/>
    <w:rsid w:val="00694FD1"/>
    <w:rsid w:val="00697691"/>
    <w:rsid w:val="006A0156"/>
    <w:rsid w:val="006A15DD"/>
    <w:rsid w:val="006A40E6"/>
    <w:rsid w:val="006A517B"/>
    <w:rsid w:val="006B058C"/>
    <w:rsid w:val="006B22C1"/>
    <w:rsid w:val="006B3285"/>
    <w:rsid w:val="006B32A5"/>
    <w:rsid w:val="006B4670"/>
    <w:rsid w:val="006B52CF"/>
    <w:rsid w:val="006B5999"/>
    <w:rsid w:val="006C0686"/>
    <w:rsid w:val="006C1423"/>
    <w:rsid w:val="006C14D3"/>
    <w:rsid w:val="006C4C35"/>
    <w:rsid w:val="006C73AD"/>
    <w:rsid w:val="006D14BE"/>
    <w:rsid w:val="006D4157"/>
    <w:rsid w:val="006D4F7C"/>
    <w:rsid w:val="006D6E61"/>
    <w:rsid w:val="006E23C0"/>
    <w:rsid w:val="006E2453"/>
    <w:rsid w:val="006E4537"/>
    <w:rsid w:val="006E5EDB"/>
    <w:rsid w:val="006E6C28"/>
    <w:rsid w:val="006F3B43"/>
    <w:rsid w:val="006F63EF"/>
    <w:rsid w:val="006F7C3F"/>
    <w:rsid w:val="0070451C"/>
    <w:rsid w:val="00704D32"/>
    <w:rsid w:val="007067BA"/>
    <w:rsid w:val="00707AB5"/>
    <w:rsid w:val="00707DE5"/>
    <w:rsid w:val="0071659F"/>
    <w:rsid w:val="007169F5"/>
    <w:rsid w:val="007172F3"/>
    <w:rsid w:val="007202F8"/>
    <w:rsid w:val="00721FD6"/>
    <w:rsid w:val="007256C9"/>
    <w:rsid w:val="00727B42"/>
    <w:rsid w:val="00730969"/>
    <w:rsid w:val="00730D05"/>
    <w:rsid w:val="0073106D"/>
    <w:rsid w:val="00731ECD"/>
    <w:rsid w:val="00734283"/>
    <w:rsid w:val="00737831"/>
    <w:rsid w:val="0074072B"/>
    <w:rsid w:val="00743294"/>
    <w:rsid w:val="00743FED"/>
    <w:rsid w:val="0074483B"/>
    <w:rsid w:val="00745721"/>
    <w:rsid w:val="007470BB"/>
    <w:rsid w:val="007477D8"/>
    <w:rsid w:val="00747E4B"/>
    <w:rsid w:val="00752F12"/>
    <w:rsid w:val="00754126"/>
    <w:rsid w:val="007558EC"/>
    <w:rsid w:val="007564D1"/>
    <w:rsid w:val="0075670E"/>
    <w:rsid w:val="00756E99"/>
    <w:rsid w:val="007576A1"/>
    <w:rsid w:val="00767CCA"/>
    <w:rsid w:val="007703B6"/>
    <w:rsid w:val="00771AE1"/>
    <w:rsid w:val="00775BB7"/>
    <w:rsid w:val="00777791"/>
    <w:rsid w:val="0078263F"/>
    <w:rsid w:val="0078378E"/>
    <w:rsid w:val="00787966"/>
    <w:rsid w:val="00787A56"/>
    <w:rsid w:val="007900E0"/>
    <w:rsid w:val="007914B6"/>
    <w:rsid w:val="00794627"/>
    <w:rsid w:val="007A15B5"/>
    <w:rsid w:val="007A1652"/>
    <w:rsid w:val="007A6836"/>
    <w:rsid w:val="007B33D5"/>
    <w:rsid w:val="007C02F1"/>
    <w:rsid w:val="007C141E"/>
    <w:rsid w:val="007C39A7"/>
    <w:rsid w:val="007C4132"/>
    <w:rsid w:val="007C64EC"/>
    <w:rsid w:val="007D3D9A"/>
    <w:rsid w:val="007D4353"/>
    <w:rsid w:val="007D52D6"/>
    <w:rsid w:val="007D5BF8"/>
    <w:rsid w:val="007E663E"/>
    <w:rsid w:val="007E6813"/>
    <w:rsid w:val="007E6EBC"/>
    <w:rsid w:val="007F2E6A"/>
    <w:rsid w:val="007F3628"/>
    <w:rsid w:val="00800C09"/>
    <w:rsid w:val="0080185C"/>
    <w:rsid w:val="00802246"/>
    <w:rsid w:val="0080259E"/>
    <w:rsid w:val="00803B42"/>
    <w:rsid w:val="00810ADB"/>
    <w:rsid w:val="008119E5"/>
    <w:rsid w:val="00811EBB"/>
    <w:rsid w:val="00812281"/>
    <w:rsid w:val="0081258B"/>
    <w:rsid w:val="00812631"/>
    <w:rsid w:val="00812B5B"/>
    <w:rsid w:val="00813978"/>
    <w:rsid w:val="008156AE"/>
    <w:rsid w:val="0082011D"/>
    <w:rsid w:val="00823321"/>
    <w:rsid w:val="00826CCC"/>
    <w:rsid w:val="00826DFF"/>
    <w:rsid w:val="008319BF"/>
    <w:rsid w:val="00832EFF"/>
    <w:rsid w:val="008374AB"/>
    <w:rsid w:val="008402C6"/>
    <w:rsid w:val="008459CB"/>
    <w:rsid w:val="00847560"/>
    <w:rsid w:val="008502FE"/>
    <w:rsid w:val="00850709"/>
    <w:rsid w:val="00852850"/>
    <w:rsid w:val="00852AFC"/>
    <w:rsid w:val="00854BB5"/>
    <w:rsid w:val="00854F72"/>
    <w:rsid w:val="00861BC6"/>
    <w:rsid w:val="00863E3A"/>
    <w:rsid w:val="008658C4"/>
    <w:rsid w:val="00865C31"/>
    <w:rsid w:val="008674D6"/>
    <w:rsid w:val="0087411F"/>
    <w:rsid w:val="00875E21"/>
    <w:rsid w:val="00876EC3"/>
    <w:rsid w:val="008807DF"/>
    <w:rsid w:val="0088087A"/>
    <w:rsid w:val="00880A8B"/>
    <w:rsid w:val="00881147"/>
    <w:rsid w:val="0088308B"/>
    <w:rsid w:val="008836FE"/>
    <w:rsid w:val="008849E9"/>
    <w:rsid w:val="00884CEB"/>
    <w:rsid w:val="00884E74"/>
    <w:rsid w:val="0088563C"/>
    <w:rsid w:val="00891131"/>
    <w:rsid w:val="00893B03"/>
    <w:rsid w:val="008970BD"/>
    <w:rsid w:val="008A44C5"/>
    <w:rsid w:val="008A63CD"/>
    <w:rsid w:val="008B030A"/>
    <w:rsid w:val="008B0EB3"/>
    <w:rsid w:val="008B20DF"/>
    <w:rsid w:val="008B6F7F"/>
    <w:rsid w:val="008C3B56"/>
    <w:rsid w:val="008C67B2"/>
    <w:rsid w:val="008C6940"/>
    <w:rsid w:val="008D1016"/>
    <w:rsid w:val="008D1FBD"/>
    <w:rsid w:val="008D2E8B"/>
    <w:rsid w:val="008D2EEB"/>
    <w:rsid w:val="008D5BD2"/>
    <w:rsid w:val="008D6E69"/>
    <w:rsid w:val="008E55D0"/>
    <w:rsid w:val="008E7212"/>
    <w:rsid w:val="008E7991"/>
    <w:rsid w:val="008F2177"/>
    <w:rsid w:val="008F3DA1"/>
    <w:rsid w:val="008F5F7F"/>
    <w:rsid w:val="009010BC"/>
    <w:rsid w:val="009015E1"/>
    <w:rsid w:val="009046A1"/>
    <w:rsid w:val="009123A8"/>
    <w:rsid w:val="009139AF"/>
    <w:rsid w:val="00915AEB"/>
    <w:rsid w:val="00925544"/>
    <w:rsid w:val="00931E15"/>
    <w:rsid w:val="00932320"/>
    <w:rsid w:val="00933595"/>
    <w:rsid w:val="009435D2"/>
    <w:rsid w:val="00943882"/>
    <w:rsid w:val="00944A5B"/>
    <w:rsid w:val="0095131E"/>
    <w:rsid w:val="00952957"/>
    <w:rsid w:val="0095509B"/>
    <w:rsid w:val="00955B2B"/>
    <w:rsid w:val="009563F5"/>
    <w:rsid w:val="00956C33"/>
    <w:rsid w:val="00957A88"/>
    <w:rsid w:val="009644AA"/>
    <w:rsid w:val="00964BA6"/>
    <w:rsid w:val="00965373"/>
    <w:rsid w:val="0096596D"/>
    <w:rsid w:val="00970A8D"/>
    <w:rsid w:val="00970E91"/>
    <w:rsid w:val="0097297A"/>
    <w:rsid w:val="00975AA5"/>
    <w:rsid w:val="00975EB4"/>
    <w:rsid w:val="00976352"/>
    <w:rsid w:val="00977E9A"/>
    <w:rsid w:val="00980ECC"/>
    <w:rsid w:val="00984D0E"/>
    <w:rsid w:val="00986AF6"/>
    <w:rsid w:val="00987A36"/>
    <w:rsid w:val="00990EF4"/>
    <w:rsid w:val="009912ED"/>
    <w:rsid w:val="0099178B"/>
    <w:rsid w:val="00991C31"/>
    <w:rsid w:val="00996C6D"/>
    <w:rsid w:val="009A1B54"/>
    <w:rsid w:val="009A34F7"/>
    <w:rsid w:val="009A3821"/>
    <w:rsid w:val="009A4E6D"/>
    <w:rsid w:val="009A5FE4"/>
    <w:rsid w:val="009A6DBA"/>
    <w:rsid w:val="009B0E21"/>
    <w:rsid w:val="009B110A"/>
    <w:rsid w:val="009B1998"/>
    <w:rsid w:val="009B2E26"/>
    <w:rsid w:val="009B31C2"/>
    <w:rsid w:val="009B44F9"/>
    <w:rsid w:val="009B5E4C"/>
    <w:rsid w:val="009C07C8"/>
    <w:rsid w:val="009C1F0F"/>
    <w:rsid w:val="009C244F"/>
    <w:rsid w:val="009C3238"/>
    <w:rsid w:val="009C3FE5"/>
    <w:rsid w:val="009C5293"/>
    <w:rsid w:val="009C619A"/>
    <w:rsid w:val="009C7882"/>
    <w:rsid w:val="009D3882"/>
    <w:rsid w:val="009D602D"/>
    <w:rsid w:val="009D72E2"/>
    <w:rsid w:val="009D789D"/>
    <w:rsid w:val="009E45B7"/>
    <w:rsid w:val="009E4796"/>
    <w:rsid w:val="009E4879"/>
    <w:rsid w:val="009E6333"/>
    <w:rsid w:val="009E66CD"/>
    <w:rsid w:val="009E6D0E"/>
    <w:rsid w:val="009F304D"/>
    <w:rsid w:val="009F5D38"/>
    <w:rsid w:val="00A0011A"/>
    <w:rsid w:val="00A029F4"/>
    <w:rsid w:val="00A04CA2"/>
    <w:rsid w:val="00A15146"/>
    <w:rsid w:val="00A1690D"/>
    <w:rsid w:val="00A203BC"/>
    <w:rsid w:val="00A227E1"/>
    <w:rsid w:val="00A237B4"/>
    <w:rsid w:val="00A24CF2"/>
    <w:rsid w:val="00A26899"/>
    <w:rsid w:val="00A26BCC"/>
    <w:rsid w:val="00A37CE2"/>
    <w:rsid w:val="00A44783"/>
    <w:rsid w:val="00A44AB2"/>
    <w:rsid w:val="00A51032"/>
    <w:rsid w:val="00A517EC"/>
    <w:rsid w:val="00A5662C"/>
    <w:rsid w:val="00A62006"/>
    <w:rsid w:val="00A62406"/>
    <w:rsid w:val="00A63F0B"/>
    <w:rsid w:val="00A702BD"/>
    <w:rsid w:val="00A7125B"/>
    <w:rsid w:val="00A74CFA"/>
    <w:rsid w:val="00A74E64"/>
    <w:rsid w:val="00A806C0"/>
    <w:rsid w:val="00A831C6"/>
    <w:rsid w:val="00A903C6"/>
    <w:rsid w:val="00A91A0E"/>
    <w:rsid w:val="00A94323"/>
    <w:rsid w:val="00AA06AA"/>
    <w:rsid w:val="00AA0E01"/>
    <w:rsid w:val="00AA342B"/>
    <w:rsid w:val="00AA4D90"/>
    <w:rsid w:val="00AA6001"/>
    <w:rsid w:val="00AA6C18"/>
    <w:rsid w:val="00AB049B"/>
    <w:rsid w:val="00AB4A22"/>
    <w:rsid w:val="00AB5739"/>
    <w:rsid w:val="00AC31AD"/>
    <w:rsid w:val="00AC32C5"/>
    <w:rsid w:val="00AC3404"/>
    <w:rsid w:val="00AC3E71"/>
    <w:rsid w:val="00AC5878"/>
    <w:rsid w:val="00AC7610"/>
    <w:rsid w:val="00AD13A3"/>
    <w:rsid w:val="00AD13BA"/>
    <w:rsid w:val="00AD375F"/>
    <w:rsid w:val="00AD403B"/>
    <w:rsid w:val="00AD432F"/>
    <w:rsid w:val="00AD78E3"/>
    <w:rsid w:val="00AD7F98"/>
    <w:rsid w:val="00AE1217"/>
    <w:rsid w:val="00AE2F5A"/>
    <w:rsid w:val="00AE429B"/>
    <w:rsid w:val="00AE4554"/>
    <w:rsid w:val="00AE5838"/>
    <w:rsid w:val="00AF1446"/>
    <w:rsid w:val="00AF4120"/>
    <w:rsid w:val="00AF4BE2"/>
    <w:rsid w:val="00B01B31"/>
    <w:rsid w:val="00B03C1C"/>
    <w:rsid w:val="00B0419B"/>
    <w:rsid w:val="00B07F4B"/>
    <w:rsid w:val="00B17C23"/>
    <w:rsid w:val="00B21912"/>
    <w:rsid w:val="00B21CEE"/>
    <w:rsid w:val="00B220A5"/>
    <w:rsid w:val="00B22E1B"/>
    <w:rsid w:val="00B2425F"/>
    <w:rsid w:val="00B25AB5"/>
    <w:rsid w:val="00B25D90"/>
    <w:rsid w:val="00B276FD"/>
    <w:rsid w:val="00B30A3F"/>
    <w:rsid w:val="00B33054"/>
    <w:rsid w:val="00B339B5"/>
    <w:rsid w:val="00B33A83"/>
    <w:rsid w:val="00B34206"/>
    <w:rsid w:val="00B34847"/>
    <w:rsid w:val="00B3566D"/>
    <w:rsid w:val="00B41DD5"/>
    <w:rsid w:val="00B43E64"/>
    <w:rsid w:val="00B43EC1"/>
    <w:rsid w:val="00B44422"/>
    <w:rsid w:val="00B450F1"/>
    <w:rsid w:val="00B46531"/>
    <w:rsid w:val="00B5039F"/>
    <w:rsid w:val="00B524A6"/>
    <w:rsid w:val="00B5659E"/>
    <w:rsid w:val="00B6224E"/>
    <w:rsid w:val="00B64A76"/>
    <w:rsid w:val="00B70DE6"/>
    <w:rsid w:val="00B72596"/>
    <w:rsid w:val="00B73793"/>
    <w:rsid w:val="00B74490"/>
    <w:rsid w:val="00B745C3"/>
    <w:rsid w:val="00B75475"/>
    <w:rsid w:val="00B85C0E"/>
    <w:rsid w:val="00B86A6C"/>
    <w:rsid w:val="00B87916"/>
    <w:rsid w:val="00B911B1"/>
    <w:rsid w:val="00BA1BB9"/>
    <w:rsid w:val="00BB1E21"/>
    <w:rsid w:val="00BB594D"/>
    <w:rsid w:val="00BB670F"/>
    <w:rsid w:val="00BB791F"/>
    <w:rsid w:val="00BC0011"/>
    <w:rsid w:val="00BC2F19"/>
    <w:rsid w:val="00BC79C7"/>
    <w:rsid w:val="00BD1534"/>
    <w:rsid w:val="00BD2B38"/>
    <w:rsid w:val="00BD476A"/>
    <w:rsid w:val="00BD52AD"/>
    <w:rsid w:val="00BD63ED"/>
    <w:rsid w:val="00BE50F3"/>
    <w:rsid w:val="00BE707F"/>
    <w:rsid w:val="00BE70B5"/>
    <w:rsid w:val="00BF0570"/>
    <w:rsid w:val="00BF188A"/>
    <w:rsid w:val="00BF2CCB"/>
    <w:rsid w:val="00BF4DEE"/>
    <w:rsid w:val="00BF7774"/>
    <w:rsid w:val="00C01381"/>
    <w:rsid w:val="00C02A9D"/>
    <w:rsid w:val="00C051A6"/>
    <w:rsid w:val="00C07CD3"/>
    <w:rsid w:val="00C10DE8"/>
    <w:rsid w:val="00C10DF7"/>
    <w:rsid w:val="00C1387C"/>
    <w:rsid w:val="00C13C35"/>
    <w:rsid w:val="00C20A7D"/>
    <w:rsid w:val="00C20E1D"/>
    <w:rsid w:val="00C2206D"/>
    <w:rsid w:val="00C23463"/>
    <w:rsid w:val="00C262CE"/>
    <w:rsid w:val="00C26D4E"/>
    <w:rsid w:val="00C31F63"/>
    <w:rsid w:val="00C32870"/>
    <w:rsid w:val="00C40A73"/>
    <w:rsid w:val="00C44864"/>
    <w:rsid w:val="00C47F04"/>
    <w:rsid w:val="00C50517"/>
    <w:rsid w:val="00C50CE0"/>
    <w:rsid w:val="00C53966"/>
    <w:rsid w:val="00C54E89"/>
    <w:rsid w:val="00C56A1B"/>
    <w:rsid w:val="00C60322"/>
    <w:rsid w:val="00C603A9"/>
    <w:rsid w:val="00C6080D"/>
    <w:rsid w:val="00C60F13"/>
    <w:rsid w:val="00C6265C"/>
    <w:rsid w:val="00C62F02"/>
    <w:rsid w:val="00C64E94"/>
    <w:rsid w:val="00C6622B"/>
    <w:rsid w:val="00C666DD"/>
    <w:rsid w:val="00C67406"/>
    <w:rsid w:val="00C70AD1"/>
    <w:rsid w:val="00C72AE0"/>
    <w:rsid w:val="00C72DB7"/>
    <w:rsid w:val="00C73F56"/>
    <w:rsid w:val="00C74508"/>
    <w:rsid w:val="00C752B2"/>
    <w:rsid w:val="00C75DE2"/>
    <w:rsid w:val="00C7628D"/>
    <w:rsid w:val="00C809D7"/>
    <w:rsid w:val="00C8399C"/>
    <w:rsid w:val="00C84E5E"/>
    <w:rsid w:val="00C85E4A"/>
    <w:rsid w:val="00C86682"/>
    <w:rsid w:val="00C86AD4"/>
    <w:rsid w:val="00C87523"/>
    <w:rsid w:val="00C87555"/>
    <w:rsid w:val="00C91B6C"/>
    <w:rsid w:val="00C979D5"/>
    <w:rsid w:val="00CA5F36"/>
    <w:rsid w:val="00CA67BF"/>
    <w:rsid w:val="00CA6815"/>
    <w:rsid w:val="00CB0410"/>
    <w:rsid w:val="00CB3700"/>
    <w:rsid w:val="00CB7653"/>
    <w:rsid w:val="00CC0C7C"/>
    <w:rsid w:val="00CC14B6"/>
    <w:rsid w:val="00CC46B3"/>
    <w:rsid w:val="00CC5BA7"/>
    <w:rsid w:val="00CD24F8"/>
    <w:rsid w:val="00CD4BE1"/>
    <w:rsid w:val="00CD4E20"/>
    <w:rsid w:val="00CD5227"/>
    <w:rsid w:val="00CD5AE0"/>
    <w:rsid w:val="00CD5B72"/>
    <w:rsid w:val="00CD6073"/>
    <w:rsid w:val="00CD65A4"/>
    <w:rsid w:val="00CD7BC4"/>
    <w:rsid w:val="00CE0590"/>
    <w:rsid w:val="00CE1EAF"/>
    <w:rsid w:val="00CE1F4C"/>
    <w:rsid w:val="00CE3613"/>
    <w:rsid w:val="00CE3ED7"/>
    <w:rsid w:val="00CE4944"/>
    <w:rsid w:val="00CF008B"/>
    <w:rsid w:val="00CF23B6"/>
    <w:rsid w:val="00CF2E48"/>
    <w:rsid w:val="00CF6D01"/>
    <w:rsid w:val="00D00FD2"/>
    <w:rsid w:val="00D01708"/>
    <w:rsid w:val="00D01979"/>
    <w:rsid w:val="00D02EF1"/>
    <w:rsid w:val="00D04890"/>
    <w:rsid w:val="00D064EE"/>
    <w:rsid w:val="00D06FD2"/>
    <w:rsid w:val="00D071AE"/>
    <w:rsid w:val="00D10372"/>
    <w:rsid w:val="00D12228"/>
    <w:rsid w:val="00D15771"/>
    <w:rsid w:val="00D17E2C"/>
    <w:rsid w:val="00D2246D"/>
    <w:rsid w:val="00D23C7B"/>
    <w:rsid w:val="00D27BD4"/>
    <w:rsid w:val="00D31F41"/>
    <w:rsid w:val="00D375DA"/>
    <w:rsid w:val="00D42293"/>
    <w:rsid w:val="00D42364"/>
    <w:rsid w:val="00D4256F"/>
    <w:rsid w:val="00D45128"/>
    <w:rsid w:val="00D469B3"/>
    <w:rsid w:val="00D52057"/>
    <w:rsid w:val="00D537A2"/>
    <w:rsid w:val="00D541CE"/>
    <w:rsid w:val="00D5578D"/>
    <w:rsid w:val="00D630BA"/>
    <w:rsid w:val="00D765BA"/>
    <w:rsid w:val="00D779CD"/>
    <w:rsid w:val="00D81212"/>
    <w:rsid w:val="00D82406"/>
    <w:rsid w:val="00D837DC"/>
    <w:rsid w:val="00D845DF"/>
    <w:rsid w:val="00D84F9E"/>
    <w:rsid w:val="00D876AF"/>
    <w:rsid w:val="00D87AB2"/>
    <w:rsid w:val="00D926B1"/>
    <w:rsid w:val="00D95696"/>
    <w:rsid w:val="00D96A9A"/>
    <w:rsid w:val="00DA039E"/>
    <w:rsid w:val="00DA0892"/>
    <w:rsid w:val="00DA0B1D"/>
    <w:rsid w:val="00DA26ED"/>
    <w:rsid w:val="00DA4E88"/>
    <w:rsid w:val="00DB00C0"/>
    <w:rsid w:val="00DB03F7"/>
    <w:rsid w:val="00DB0B92"/>
    <w:rsid w:val="00DB2887"/>
    <w:rsid w:val="00DB3523"/>
    <w:rsid w:val="00DC1EF8"/>
    <w:rsid w:val="00DC22F8"/>
    <w:rsid w:val="00DC3232"/>
    <w:rsid w:val="00DC3FA1"/>
    <w:rsid w:val="00DC4D0C"/>
    <w:rsid w:val="00DC731D"/>
    <w:rsid w:val="00DD3F37"/>
    <w:rsid w:val="00DE08FE"/>
    <w:rsid w:val="00DE1A55"/>
    <w:rsid w:val="00DE5C96"/>
    <w:rsid w:val="00E046FA"/>
    <w:rsid w:val="00E07F57"/>
    <w:rsid w:val="00E11E09"/>
    <w:rsid w:val="00E13D4F"/>
    <w:rsid w:val="00E161CB"/>
    <w:rsid w:val="00E17243"/>
    <w:rsid w:val="00E22EAA"/>
    <w:rsid w:val="00E2308C"/>
    <w:rsid w:val="00E235C5"/>
    <w:rsid w:val="00E24BBF"/>
    <w:rsid w:val="00E275EC"/>
    <w:rsid w:val="00E2789F"/>
    <w:rsid w:val="00E32BEC"/>
    <w:rsid w:val="00E34738"/>
    <w:rsid w:val="00E37831"/>
    <w:rsid w:val="00E41E66"/>
    <w:rsid w:val="00E436D1"/>
    <w:rsid w:val="00E45FB9"/>
    <w:rsid w:val="00E469C0"/>
    <w:rsid w:val="00E46F23"/>
    <w:rsid w:val="00E5007C"/>
    <w:rsid w:val="00E51EF5"/>
    <w:rsid w:val="00E53A2D"/>
    <w:rsid w:val="00E55A5F"/>
    <w:rsid w:val="00E60480"/>
    <w:rsid w:val="00E604B8"/>
    <w:rsid w:val="00E661CA"/>
    <w:rsid w:val="00E66514"/>
    <w:rsid w:val="00E70FAA"/>
    <w:rsid w:val="00E741EA"/>
    <w:rsid w:val="00E751F4"/>
    <w:rsid w:val="00E75236"/>
    <w:rsid w:val="00E80510"/>
    <w:rsid w:val="00E83AB7"/>
    <w:rsid w:val="00E906AA"/>
    <w:rsid w:val="00E90F5C"/>
    <w:rsid w:val="00E91068"/>
    <w:rsid w:val="00E92EDB"/>
    <w:rsid w:val="00E93330"/>
    <w:rsid w:val="00E95B44"/>
    <w:rsid w:val="00EA0160"/>
    <w:rsid w:val="00EA153E"/>
    <w:rsid w:val="00EA4093"/>
    <w:rsid w:val="00EA5BB9"/>
    <w:rsid w:val="00EA798F"/>
    <w:rsid w:val="00EB0982"/>
    <w:rsid w:val="00EB294F"/>
    <w:rsid w:val="00EB3DAE"/>
    <w:rsid w:val="00EB49EF"/>
    <w:rsid w:val="00EB5935"/>
    <w:rsid w:val="00EB6FA0"/>
    <w:rsid w:val="00EB7D72"/>
    <w:rsid w:val="00EB7F41"/>
    <w:rsid w:val="00EC0E36"/>
    <w:rsid w:val="00EC2CC6"/>
    <w:rsid w:val="00EC2E7B"/>
    <w:rsid w:val="00EC42A0"/>
    <w:rsid w:val="00EC58A6"/>
    <w:rsid w:val="00EC744F"/>
    <w:rsid w:val="00EC781D"/>
    <w:rsid w:val="00EC7B9F"/>
    <w:rsid w:val="00ED1E1B"/>
    <w:rsid w:val="00ED58CE"/>
    <w:rsid w:val="00ED5C3D"/>
    <w:rsid w:val="00ED632A"/>
    <w:rsid w:val="00ED6459"/>
    <w:rsid w:val="00ED6946"/>
    <w:rsid w:val="00ED6BAE"/>
    <w:rsid w:val="00ED7297"/>
    <w:rsid w:val="00ED7ADD"/>
    <w:rsid w:val="00ED7E5D"/>
    <w:rsid w:val="00EE043A"/>
    <w:rsid w:val="00EE0AFE"/>
    <w:rsid w:val="00EE35F9"/>
    <w:rsid w:val="00EE5BA6"/>
    <w:rsid w:val="00EE5CCF"/>
    <w:rsid w:val="00EF0F8B"/>
    <w:rsid w:val="00EF1A96"/>
    <w:rsid w:val="00EF23E1"/>
    <w:rsid w:val="00EF265C"/>
    <w:rsid w:val="00EF3F87"/>
    <w:rsid w:val="00EF4CA1"/>
    <w:rsid w:val="00EF5A1F"/>
    <w:rsid w:val="00F04135"/>
    <w:rsid w:val="00F064B8"/>
    <w:rsid w:val="00F136A7"/>
    <w:rsid w:val="00F17A2C"/>
    <w:rsid w:val="00F20BAB"/>
    <w:rsid w:val="00F21CF6"/>
    <w:rsid w:val="00F25919"/>
    <w:rsid w:val="00F25F76"/>
    <w:rsid w:val="00F26658"/>
    <w:rsid w:val="00F26E0A"/>
    <w:rsid w:val="00F27E9C"/>
    <w:rsid w:val="00F30342"/>
    <w:rsid w:val="00F31897"/>
    <w:rsid w:val="00F32761"/>
    <w:rsid w:val="00F337B2"/>
    <w:rsid w:val="00F33D5E"/>
    <w:rsid w:val="00F35A25"/>
    <w:rsid w:val="00F37219"/>
    <w:rsid w:val="00F37D12"/>
    <w:rsid w:val="00F41332"/>
    <w:rsid w:val="00F45DD8"/>
    <w:rsid w:val="00F5254E"/>
    <w:rsid w:val="00F525CB"/>
    <w:rsid w:val="00F534FC"/>
    <w:rsid w:val="00F610ED"/>
    <w:rsid w:val="00F6343B"/>
    <w:rsid w:val="00F648C2"/>
    <w:rsid w:val="00F70C50"/>
    <w:rsid w:val="00F73BA1"/>
    <w:rsid w:val="00F76B1D"/>
    <w:rsid w:val="00F83BCA"/>
    <w:rsid w:val="00F8460D"/>
    <w:rsid w:val="00F846D3"/>
    <w:rsid w:val="00F848F9"/>
    <w:rsid w:val="00F85E9D"/>
    <w:rsid w:val="00F86694"/>
    <w:rsid w:val="00F87019"/>
    <w:rsid w:val="00F87FB9"/>
    <w:rsid w:val="00F92DE2"/>
    <w:rsid w:val="00F93370"/>
    <w:rsid w:val="00F94979"/>
    <w:rsid w:val="00F94B1A"/>
    <w:rsid w:val="00F94BE2"/>
    <w:rsid w:val="00FA0AF9"/>
    <w:rsid w:val="00FA3681"/>
    <w:rsid w:val="00FA3BD8"/>
    <w:rsid w:val="00FB1641"/>
    <w:rsid w:val="00FB50CF"/>
    <w:rsid w:val="00FB63FF"/>
    <w:rsid w:val="00FC03C5"/>
    <w:rsid w:val="00FC05BA"/>
    <w:rsid w:val="00FC0C65"/>
    <w:rsid w:val="00FC1F16"/>
    <w:rsid w:val="00FC3D0C"/>
    <w:rsid w:val="00FC6081"/>
    <w:rsid w:val="00FC645A"/>
    <w:rsid w:val="00FD00BC"/>
    <w:rsid w:val="00FD32E8"/>
    <w:rsid w:val="00FD484B"/>
    <w:rsid w:val="00FD4D0C"/>
    <w:rsid w:val="00FD5CE8"/>
    <w:rsid w:val="00FE04D6"/>
    <w:rsid w:val="00FE062F"/>
    <w:rsid w:val="00FE2B02"/>
    <w:rsid w:val="00FE2BA6"/>
    <w:rsid w:val="00FE3AF5"/>
    <w:rsid w:val="00FE4E7F"/>
    <w:rsid w:val="00FE5DE0"/>
    <w:rsid w:val="00FE6609"/>
    <w:rsid w:val="00FF3E56"/>
    <w:rsid w:val="00FF5FDA"/>
    <w:rsid w:val="00FF73A7"/>
    <w:rsid w:val="00FF7A57"/>
    <w:rsid w:val="01F9035B"/>
    <w:rsid w:val="05755941"/>
    <w:rsid w:val="06F37A6F"/>
    <w:rsid w:val="0A93521D"/>
    <w:rsid w:val="0F613D22"/>
    <w:rsid w:val="12B379F1"/>
    <w:rsid w:val="1706077C"/>
    <w:rsid w:val="17DA221B"/>
    <w:rsid w:val="18855B10"/>
    <w:rsid w:val="19406B43"/>
    <w:rsid w:val="1A8E38DF"/>
    <w:rsid w:val="1E3D7AF5"/>
    <w:rsid w:val="1F422EEA"/>
    <w:rsid w:val="200A3A07"/>
    <w:rsid w:val="211027C2"/>
    <w:rsid w:val="21274A8D"/>
    <w:rsid w:val="23240A3E"/>
    <w:rsid w:val="23971A56"/>
    <w:rsid w:val="26296BB1"/>
    <w:rsid w:val="270D5C4A"/>
    <w:rsid w:val="2988403C"/>
    <w:rsid w:val="2B063468"/>
    <w:rsid w:val="2B724B56"/>
    <w:rsid w:val="2C78368D"/>
    <w:rsid w:val="2CEA52EC"/>
    <w:rsid w:val="2E7309AF"/>
    <w:rsid w:val="2E9D013C"/>
    <w:rsid w:val="3025488D"/>
    <w:rsid w:val="305135E1"/>
    <w:rsid w:val="33EB6184"/>
    <w:rsid w:val="36715B8A"/>
    <w:rsid w:val="39F7293F"/>
    <w:rsid w:val="3B6D3005"/>
    <w:rsid w:val="3BAA28E9"/>
    <w:rsid w:val="3C487939"/>
    <w:rsid w:val="3CBD63E1"/>
    <w:rsid w:val="40AA37A1"/>
    <w:rsid w:val="432B58BF"/>
    <w:rsid w:val="44A504D3"/>
    <w:rsid w:val="44BA514C"/>
    <w:rsid w:val="462E7BA0"/>
    <w:rsid w:val="46805F22"/>
    <w:rsid w:val="4CA74208"/>
    <w:rsid w:val="4FA2515B"/>
    <w:rsid w:val="5706625C"/>
    <w:rsid w:val="59831B59"/>
    <w:rsid w:val="5A2055FA"/>
    <w:rsid w:val="5A7867C0"/>
    <w:rsid w:val="5BBE50CA"/>
    <w:rsid w:val="5CB64C1E"/>
    <w:rsid w:val="5D164899"/>
    <w:rsid w:val="5E3A30BC"/>
    <w:rsid w:val="5F5B0231"/>
    <w:rsid w:val="61A13D7C"/>
    <w:rsid w:val="62867676"/>
    <w:rsid w:val="62DA258F"/>
    <w:rsid w:val="64F8762B"/>
    <w:rsid w:val="66A015B7"/>
    <w:rsid w:val="66C910C3"/>
    <w:rsid w:val="68E94222"/>
    <w:rsid w:val="69E14DA6"/>
    <w:rsid w:val="6B3E1D84"/>
    <w:rsid w:val="6BFD1C3F"/>
    <w:rsid w:val="6BFE3CCD"/>
    <w:rsid w:val="6CB461AA"/>
    <w:rsid w:val="6D616428"/>
    <w:rsid w:val="6EF2535F"/>
    <w:rsid w:val="716452D9"/>
    <w:rsid w:val="716C4813"/>
    <w:rsid w:val="71BE777B"/>
    <w:rsid w:val="72385B50"/>
    <w:rsid w:val="735B108C"/>
    <w:rsid w:val="73C8345F"/>
    <w:rsid w:val="75AC503C"/>
    <w:rsid w:val="76452218"/>
    <w:rsid w:val="7647573C"/>
    <w:rsid w:val="76D8308D"/>
    <w:rsid w:val="79216D99"/>
    <w:rsid w:val="7F1E7AAB"/>
    <w:rsid w:val="7FD35962"/>
    <w:rsid w:val="7FE222C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kern w:val="2"/>
      <w:sz w:val="21"/>
      <w:szCs w:val="24"/>
      <w:lang w:val="en-US" w:eastAsia="zh-CN" w:bidi="ar-SA"/>
    </w:rPr>
  </w:style>
  <w:style w:type="paragraph" w:styleId="2">
    <w:name w:val="heading 2"/>
    <w:basedOn w:val="3"/>
    <w:next w:val="4"/>
    <w:link w:val="18"/>
    <w:qFormat/>
    <w:uiPriority w:val="9"/>
    <w:pPr>
      <w:keepNext/>
      <w:keepLines/>
      <w:widowControl/>
      <w:spacing w:after="120" w:line="360" w:lineRule="auto"/>
      <w:jc w:val="center"/>
      <w:outlineLvl w:val="1"/>
    </w:pPr>
    <w:rPr>
      <w:rFonts w:ascii="Arial" w:hAnsi="Arial" w:eastAsia="仿宋"/>
      <w:b/>
      <w:bCs/>
      <w:sz w:val="28"/>
      <w:szCs w:val="32"/>
    </w:rPr>
  </w:style>
  <w:style w:type="paragraph" w:styleId="7">
    <w:name w:val="heading 3"/>
    <w:basedOn w:val="1"/>
    <w:next w:val="1"/>
    <w:link w:val="22"/>
    <w:qFormat/>
    <w:uiPriority w:val="0"/>
    <w:pPr>
      <w:keepNext/>
      <w:keepLines/>
      <w:spacing w:before="260" w:after="260" w:line="413" w:lineRule="auto"/>
      <w:outlineLvl w:val="2"/>
    </w:pPr>
    <w:rPr>
      <w:b/>
      <w:sz w:val="30"/>
    </w:rPr>
  </w:style>
  <w:style w:type="character" w:default="1" w:styleId="15">
    <w:name w:val="Default Paragraph Font"/>
    <w:unhideWhenUsed/>
    <w:uiPriority w:val="1"/>
  </w:style>
  <w:style w:type="table" w:default="1" w:styleId="13">
    <w:name w:val="Normal Table"/>
    <w:unhideWhenUsed/>
    <w:qFormat/>
    <w:uiPriority w:val="99"/>
    <w:tblPr>
      <w:tblStyle w:val="13"/>
      <w:tblCellMar>
        <w:top w:w="0" w:type="dxa"/>
        <w:left w:w="108" w:type="dxa"/>
        <w:bottom w:w="0" w:type="dxa"/>
        <w:right w:w="108" w:type="dxa"/>
      </w:tblCellMar>
    </w:tblPr>
  </w:style>
  <w:style w:type="paragraph" w:styleId="3">
    <w:name w:val="Body Text"/>
    <w:basedOn w:val="1"/>
    <w:next w:val="1"/>
    <w:link w:val="17"/>
    <w:qFormat/>
    <w:uiPriority w:val="0"/>
  </w:style>
  <w:style w:type="paragraph" w:styleId="4">
    <w:name w:val="Body Text First Indent"/>
    <w:basedOn w:val="3"/>
    <w:next w:val="5"/>
    <w:link w:val="19"/>
    <w:unhideWhenUsed/>
    <w:qFormat/>
    <w:uiPriority w:val="99"/>
    <w:pPr>
      <w:spacing w:after="120"/>
      <w:ind w:firstLine="420" w:firstLineChars="100"/>
    </w:pPr>
    <w:rPr>
      <w:sz w:val="24"/>
    </w:rPr>
  </w:style>
  <w:style w:type="paragraph" w:styleId="5">
    <w:name w:val="Body Text First Indent 2"/>
    <w:basedOn w:val="6"/>
    <w:link w:val="21"/>
    <w:unhideWhenUsed/>
    <w:qFormat/>
    <w:uiPriority w:val="0"/>
    <w:pPr>
      <w:spacing w:after="0"/>
      <w:ind w:firstLine="420" w:firstLineChars="200"/>
    </w:pPr>
    <w:rPr>
      <w:szCs w:val="20"/>
    </w:rPr>
  </w:style>
  <w:style w:type="paragraph" w:styleId="6">
    <w:name w:val="Body Text Indent"/>
    <w:basedOn w:val="1"/>
    <w:link w:val="20"/>
    <w:unhideWhenUsed/>
    <w:qFormat/>
    <w:uiPriority w:val="0"/>
    <w:pPr>
      <w:spacing w:after="120"/>
      <w:ind w:left="420" w:leftChars="200"/>
    </w:pPr>
  </w:style>
  <w:style w:type="paragraph" w:styleId="8">
    <w:name w:val="Plain Text"/>
    <w:basedOn w:val="1"/>
    <w:link w:val="23"/>
    <w:qFormat/>
    <w:uiPriority w:val="99"/>
    <w:rPr>
      <w:rFonts w:ascii="宋体" w:hAnsi="Courier New" w:cs="Courier New"/>
      <w:szCs w:val="21"/>
    </w:rPr>
  </w:style>
  <w:style w:type="paragraph" w:styleId="9">
    <w:name w:val="Balloon Text"/>
    <w:basedOn w:val="1"/>
    <w:link w:val="24"/>
    <w:uiPriority w:val="0"/>
    <w:rPr>
      <w:sz w:val="18"/>
      <w:szCs w:val="18"/>
    </w:rPr>
  </w:style>
  <w:style w:type="paragraph" w:styleId="10">
    <w:name w:val="footer"/>
    <w:basedOn w:val="1"/>
    <w:link w:val="25"/>
    <w:unhideWhenUsed/>
    <w:qFormat/>
    <w:uiPriority w:val="99"/>
    <w:pPr>
      <w:tabs>
        <w:tab w:val="center" w:pos="4153"/>
        <w:tab w:val="right" w:pos="8306"/>
      </w:tabs>
      <w:snapToGrid w:val="0"/>
      <w:spacing w:line="240" w:lineRule="atLeast"/>
      <w:jc w:val="left"/>
    </w:pPr>
    <w:rPr>
      <w:sz w:val="18"/>
      <w:szCs w:val="18"/>
    </w:rPr>
  </w:style>
  <w:style w:type="paragraph" w:styleId="11">
    <w:name w:val="header"/>
    <w:basedOn w:val="1"/>
    <w:link w:val="26"/>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2">
    <w:name w:val="toc 1"/>
    <w:basedOn w:val="1"/>
    <w:next w:val="1"/>
    <w:qFormat/>
    <w:uiPriority w:val="39"/>
    <w:pPr>
      <w:spacing w:before="120" w:beforeLines="0" w:after="120" w:afterLines="0"/>
      <w:jc w:val="left"/>
    </w:pPr>
    <w:rPr>
      <w:b/>
      <w:bCs/>
      <w:caps/>
      <w:sz w:val="20"/>
    </w:rPr>
  </w:style>
  <w:style w:type="table" w:styleId="14">
    <w:name w:val="Table Grid"/>
    <w:basedOn w:val="13"/>
    <w:uiPriority w:val="59"/>
    <w:tblPr>
      <w:tblStyle w:val="1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page number"/>
    <w:basedOn w:val="15"/>
    <w:uiPriority w:val="0"/>
  </w:style>
  <w:style w:type="character" w:customStyle="1" w:styleId="17">
    <w:name w:val="正文文本 Char"/>
    <w:link w:val="3"/>
    <w:uiPriority w:val="0"/>
    <w:rPr>
      <w:rFonts w:ascii="Times New Roman" w:hAnsi="Times New Roman"/>
      <w:kern w:val="2"/>
      <w:sz w:val="21"/>
      <w:szCs w:val="24"/>
    </w:rPr>
  </w:style>
  <w:style w:type="character" w:customStyle="1" w:styleId="18">
    <w:name w:val="标题 2 Char"/>
    <w:link w:val="2"/>
    <w:uiPriority w:val="9"/>
    <w:rPr>
      <w:rFonts w:ascii="Arial" w:hAnsi="Arial" w:eastAsia="仿宋"/>
      <w:b/>
      <w:bCs/>
      <w:kern w:val="2"/>
      <w:sz w:val="28"/>
      <w:szCs w:val="32"/>
    </w:rPr>
  </w:style>
  <w:style w:type="character" w:customStyle="1" w:styleId="19">
    <w:name w:val="正文首行缩进 Char"/>
    <w:link w:val="4"/>
    <w:uiPriority w:val="99"/>
    <w:rPr>
      <w:rFonts w:ascii="Times New Roman" w:hAnsi="Times New Roman"/>
      <w:kern w:val="2"/>
      <w:sz w:val="24"/>
      <w:szCs w:val="24"/>
    </w:rPr>
  </w:style>
  <w:style w:type="character" w:customStyle="1" w:styleId="20">
    <w:name w:val="正文文本缩进 Char"/>
    <w:link w:val="6"/>
    <w:semiHidden/>
    <w:uiPriority w:val="99"/>
    <w:rPr>
      <w:rFonts w:ascii="Times New Roman" w:hAnsi="Times New Roman"/>
      <w:kern w:val="2"/>
      <w:sz w:val="21"/>
      <w:szCs w:val="24"/>
    </w:rPr>
  </w:style>
  <w:style w:type="character" w:customStyle="1" w:styleId="21">
    <w:name w:val="正文首行缩进 2 Char"/>
    <w:basedOn w:val="20"/>
    <w:link w:val="5"/>
    <w:uiPriority w:val="0"/>
  </w:style>
  <w:style w:type="character" w:customStyle="1" w:styleId="22">
    <w:name w:val="标题 3 Char"/>
    <w:link w:val="7"/>
    <w:uiPriority w:val="0"/>
    <w:rPr>
      <w:rFonts w:ascii="Times New Roman" w:hAnsi="Times New Roman"/>
      <w:b/>
      <w:kern w:val="2"/>
      <w:sz w:val="30"/>
      <w:szCs w:val="24"/>
    </w:rPr>
  </w:style>
  <w:style w:type="character" w:customStyle="1" w:styleId="23">
    <w:name w:val="纯文本 Char"/>
    <w:link w:val="8"/>
    <w:uiPriority w:val="99"/>
    <w:rPr>
      <w:rFonts w:ascii="宋体" w:hAnsi="Courier New" w:cs="Courier New"/>
      <w:kern w:val="2"/>
      <w:sz w:val="21"/>
      <w:szCs w:val="21"/>
    </w:rPr>
  </w:style>
  <w:style w:type="character" w:customStyle="1" w:styleId="24">
    <w:name w:val="批注框文本 Char"/>
    <w:link w:val="9"/>
    <w:uiPriority w:val="0"/>
    <w:rPr>
      <w:rFonts w:ascii="Times New Roman" w:hAnsi="Times New Roman"/>
      <w:kern w:val="2"/>
      <w:sz w:val="18"/>
      <w:szCs w:val="18"/>
    </w:rPr>
  </w:style>
  <w:style w:type="character" w:customStyle="1" w:styleId="25">
    <w:name w:val="页脚 Char"/>
    <w:link w:val="10"/>
    <w:uiPriority w:val="99"/>
    <w:rPr>
      <w:sz w:val="18"/>
      <w:szCs w:val="18"/>
    </w:rPr>
  </w:style>
  <w:style w:type="character" w:customStyle="1" w:styleId="26">
    <w:name w:val="页眉 Char"/>
    <w:link w:val="11"/>
    <w:semiHidden/>
    <w:uiPriority w:val="99"/>
    <w:rPr>
      <w:sz w:val="18"/>
      <w:szCs w:val="18"/>
    </w:rPr>
  </w:style>
  <w:style w:type="paragraph" w:customStyle="1" w:styleId="27">
    <w:name w:val="正文 New New New New New New New New New New New New New New New12"/>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Default"/>
    <w:qFormat/>
    <w:uiPriority w:val="0"/>
    <w:pPr>
      <w:widowControl w:val="0"/>
      <w:autoSpaceDE w:val="0"/>
      <w:autoSpaceDN w:val="0"/>
      <w:adjustRightInd w:val="0"/>
    </w:pPr>
    <w:rPr>
      <w:rFonts w:ascii="仿宋" w:eastAsia="仿宋" w:cs="仿宋"/>
      <w:color w:val="000000"/>
      <w:sz w:val="24"/>
      <w:szCs w:val="24"/>
      <w:lang w:val="en-US" w:eastAsia="zh-CN" w:bidi="ar-SA"/>
    </w:rPr>
  </w:style>
  <w:style w:type="character" w:customStyle="1" w:styleId="29">
    <w:name w:val="font81"/>
    <w:qFormat/>
    <w:uiPriority w:val="0"/>
    <w:rPr>
      <w:rFonts w:hint="eastAsia" w:ascii="Adobe 宋体 Std L" w:hAnsi="Adobe 宋体 Std L" w:eastAsia="Adobe 宋体 Std L" w:cs="Adobe 宋体 Std L"/>
      <w:color w:val="FF0000"/>
      <w:sz w:val="18"/>
      <w:szCs w:val="18"/>
      <w:u w:val="none"/>
    </w:rPr>
  </w:style>
  <w:style w:type="character" w:customStyle="1" w:styleId="30">
    <w:name w:val="font01"/>
    <w:qFormat/>
    <w:uiPriority w:val="0"/>
    <w:rPr>
      <w:rFonts w:hint="eastAsia" w:ascii="宋体" w:hAnsi="宋体" w:eastAsia="宋体" w:cs="宋体"/>
      <w:color w:val="FF0000"/>
      <w:sz w:val="18"/>
      <w:szCs w:val="18"/>
      <w:u w:val="none"/>
    </w:rPr>
  </w:style>
  <w:style w:type="character" w:customStyle="1" w:styleId="31">
    <w:name w:val="标题 1 Char1"/>
    <w:locked/>
    <w:uiPriority w:val="0"/>
    <w:rPr>
      <w:rFonts w:ascii="宋体" w:eastAsia="宋体" w:cs="宋体"/>
      <w:b/>
      <w:color w:val="000000"/>
      <w:sz w:val="24"/>
      <w:szCs w:val="24"/>
      <w:lang w:val="zh-CN"/>
    </w:rPr>
  </w:style>
  <w:style w:type="paragraph" w:customStyle="1" w:styleId="32">
    <w:name w:val="列出段落3"/>
    <w:basedOn w:val="1"/>
    <w:uiPriority w:val="0"/>
    <w:pPr>
      <w:ind w:firstLine="420" w:firstLineChars="200"/>
    </w:pPr>
    <w:rPr>
      <w:rFonts w:ascii="Calibri" w:hAnsi="Calibri"/>
    </w:rPr>
  </w:style>
  <w:style w:type="table" w:customStyle="1" w:styleId="33">
    <w:name w:val="Table Normal"/>
    <w:unhideWhenUsed/>
    <w:qFormat/>
    <w:uiPriority w:val="0"/>
    <w:rPr>
      <w:lang w:val="en-US" w:eastAsia="zh-CN" w:bidi="ar-SA"/>
    </w:rPr>
    <w:tblPr>
      <w:tblStyle w:val="13"/>
      <w:tblCellMar>
        <w:top w:w="0" w:type="dxa"/>
        <w:left w:w="0" w:type="dxa"/>
        <w:bottom w:w="0" w:type="dxa"/>
        <w:right w:w="0" w:type="dxa"/>
      </w:tblCellMar>
    </w:tblPr>
  </w:style>
  <w:style w:type="character" w:customStyle="1" w:styleId="34">
    <w:name w:val="页脚 字符"/>
    <w:uiPriority w:val="99"/>
    <w:rPr>
      <w:sz w:val="18"/>
      <w:szCs w:val="18"/>
    </w:rPr>
  </w:style>
  <w:style w:type="character" w:customStyle="1" w:styleId="35">
    <w:name w:val="font41"/>
    <w:qFormat/>
    <w:uiPriority w:val="0"/>
    <w:rPr>
      <w:rFonts w:hint="eastAsia" w:ascii="宋体" w:hAnsi="宋体" w:eastAsia="宋体" w:cs="宋体"/>
      <w:color w:val="000000"/>
      <w:sz w:val="21"/>
      <w:szCs w:val="21"/>
      <w:u w:val="none"/>
    </w:rPr>
  </w:style>
  <w:style w:type="character" w:customStyle="1" w:styleId="36">
    <w:name w:val="font11"/>
    <w:qFormat/>
    <w:uiPriority w:val="0"/>
    <w:rPr>
      <w:rFonts w:hint="eastAsia" w:ascii="宋体" w:hAnsi="宋体" w:eastAsia="宋体" w:cs="宋体"/>
      <w:b/>
      <w:bCs/>
      <w:color w:val="000000"/>
      <w:sz w:val="21"/>
      <w:szCs w:val="21"/>
      <w:u w:val="none"/>
    </w:rPr>
  </w:style>
  <w:style w:type="character" w:customStyle="1" w:styleId="37">
    <w:name w:val="font31"/>
    <w:qFormat/>
    <w:uiPriority w:val="0"/>
    <w:rPr>
      <w:rFonts w:hint="eastAsia" w:ascii="宋体" w:hAnsi="宋体" w:eastAsia="宋体" w:cs="宋体"/>
      <w:color w:val="000000"/>
      <w:sz w:val="20"/>
      <w:szCs w:val="20"/>
      <w:u w:val="none"/>
    </w:rPr>
  </w:style>
  <w:style w:type="paragraph" w:customStyle="1" w:styleId="3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8082</Words>
  <Characters>9442</Characters>
  <Lines>40</Lines>
  <Paragraphs>11</Paragraphs>
  <TotalTime>0</TotalTime>
  <ScaleCrop>false</ScaleCrop>
  <LinksUpToDate>false</LinksUpToDate>
  <CharactersWithSpaces>9995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2016-10-13T11:27:00Z</dcterms:created>
  <dc:creator>微软用户</dc:creator>
  <cp:lastModifiedBy>什么糖</cp:lastModifiedBy>
  <cp:lastPrinted>2023-02-09T08:36:00Z</cp:lastPrinted>
  <dcterms:modified xsi:type="dcterms:W3CDTF">2025-08-14T01:05:27Z</dcterms:modified>
  <dc:title>陕西省人民医院设备订购分项合同</dc:title>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1E7E885C49DF40E496D90FC04ACA8B52_13</vt:lpwstr>
  </property>
  <property fmtid="{D5CDD505-2E9C-101B-9397-08002B2CF9AE}" pid="4" name="KSOTemplateDocerSaveRecord">
    <vt:lpwstr>eyJoZGlkIjoiYTZjNzhiMjViYzFjZWU4OGM2MWQwMTJhOTkwOGZmMzgiLCJ1c2VySWQiOiI2MjQzMzA2NDUifQ==</vt:lpwstr>
  </property>
</Properties>
</file>