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6373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</w:p>
    <w:p w14:paraId="372296D6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7662651C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3A7B1D49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  <w:t>陕西省西安植物园（陕西省植物研究所）</w:t>
      </w:r>
    </w:p>
    <w:p w14:paraId="6B413F6E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  <w:t>分子育种平台（二期）</w:t>
      </w:r>
      <w:r>
        <w:rPr>
          <w:rFonts w:hint="eastAsia" w:ascii="仿宋" w:hAnsi="仿宋" w:eastAsia="仿宋" w:cs="仿宋"/>
          <w:b/>
          <w:bCs/>
          <w:sz w:val="52"/>
          <w:szCs w:val="52"/>
        </w:rPr>
        <w:t>项目</w:t>
      </w:r>
    </w:p>
    <w:p w14:paraId="6F23B05E">
      <w:pPr>
        <w:pStyle w:val="27"/>
        <w:rPr>
          <w:rFonts w:hint="eastAsia" w:ascii="仿宋" w:hAnsi="仿宋" w:eastAsia="仿宋" w:cs="仿宋"/>
        </w:rPr>
      </w:pPr>
    </w:p>
    <w:p w14:paraId="449357B5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</w:p>
    <w:p w14:paraId="232578D5">
      <w:pPr>
        <w:spacing w:line="240" w:lineRule="auto"/>
        <w:jc w:val="center"/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合同编号：</w:t>
      </w:r>
    </w:p>
    <w:p w14:paraId="265D52DF">
      <w:pPr>
        <w:spacing w:line="240" w:lineRule="auto"/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</w:pPr>
    </w:p>
    <w:p w14:paraId="5BE8E1C3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供</w:t>
      </w:r>
    </w:p>
    <w:p w14:paraId="714C05DD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货</w:t>
      </w:r>
    </w:p>
    <w:p w14:paraId="67D5B853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合</w:t>
      </w:r>
    </w:p>
    <w:p w14:paraId="45ED348F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同</w:t>
      </w:r>
    </w:p>
    <w:p w14:paraId="088F09C9">
      <w:pPr>
        <w:spacing w:line="240" w:lineRule="auto"/>
        <w:ind w:firstLine="3962" w:firstLineChars="897"/>
        <w:rPr>
          <w:rFonts w:hint="eastAsia" w:ascii="仿宋" w:hAnsi="仿宋" w:eastAsia="仿宋" w:cs="仿宋"/>
          <w:b/>
          <w:bCs/>
          <w:sz w:val="44"/>
          <w:szCs w:val="44"/>
        </w:rPr>
      </w:pPr>
    </w:p>
    <w:p w14:paraId="61807784">
      <w:pPr>
        <w:rPr>
          <w:rFonts w:hint="eastAsia" w:ascii="仿宋" w:hAnsi="仿宋" w:eastAsia="仿宋" w:cs="仿宋"/>
        </w:rPr>
      </w:pPr>
    </w:p>
    <w:p w14:paraId="39B2B812">
      <w:pPr>
        <w:pStyle w:val="27"/>
        <w:rPr>
          <w:rFonts w:hint="eastAsia" w:ascii="仿宋" w:hAnsi="仿宋" w:eastAsia="仿宋" w:cs="仿宋"/>
        </w:rPr>
      </w:pPr>
    </w:p>
    <w:p w14:paraId="2E6D1118">
      <w:pPr>
        <w:spacing w:line="240" w:lineRule="auto"/>
        <w:jc w:val="left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         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甲方：陕西省西安植物园（陕西省植物研究所）</w:t>
      </w:r>
    </w:p>
    <w:p w14:paraId="5942E80A">
      <w:pPr>
        <w:spacing w:line="240" w:lineRule="auto"/>
        <w:jc w:val="left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 xml:space="preserve">        乙方： </w:t>
      </w:r>
    </w:p>
    <w:p w14:paraId="5445D647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2025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年  月</w:t>
      </w:r>
    </w:p>
    <w:p w14:paraId="45B91763">
      <w:pPr>
        <w:spacing w:line="460" w:lineRule="exact"/>
        <w:rPr>
          <w:rFonts w:hint="eastAsia" w:ascii="仿宋" w:hAnsi="仿宋" w:eastAsia="仿宋" w:cs="仿宋"/>
          <w:bCs/>
          <w:sz w:val="24"/>
        </w:rPr>
      </w:pPr>
    </w:p>
    <w:p w14:paraId="4F141695">
      <w:pPr>
        <w:spacing w:line="460" w:lineRule="exact"/>
        <w:rPr>
          <w:rFonts w:hint="eastAsia" w:ascii="仿宋" w:hAnsi="仿宋" w:eastAsia="仿宋" w:cs="仿宋"/>
          <w:bCs/>
          <w:sz w:val="24"/>
        </w:rPr>
      </w:pPr>
    </w:p>
    <w:p w14:paraId="4A7B0AC5">
      <w:pPr>
        <w:pStyle w:val="27"/>
        <w:rPr>
          <w:rFonts w:hint="eastAsia" w:ascii="仿宋" w:hAnsi="仿宋" w:eastAsia="仿宋" w:cs="仿宋"/>
        </w:rPr>
      </w:pPr>
    </w:p>
    <w:p w14:paraId="2890F005">
      <w:pPr>
        <w:spacing w:line="420" w:lineRule="exact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项目名称：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分子育种平台（二期）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</w:t>
      </w:r>
    </w:p>
    <w:p w14:paraId="20CAD72A">
      <w:pPr>
        <w:spacing w:line="420" w:lineRule="exact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 xml:space="preserve">甲  方： 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陕西省西安植物园（陕西省植物研究所）    </w:t>
      </w:r>
    </w:p>
    <w:p w14:paraId="23B41A64">
      <w:pPr>
        <w:spacing w:line="420" w:lineRule="exac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乙  方：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</w:t>
      </w:r>
    </w:p>
    <w:p w14:paraId="30B4C338">
      <w:pPr>
        <w:spacing w:line="420" w:lineRule="exac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采购代理机构：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</w:t>
      </w:r>
    </w:p>
    <w:p w14:paraId="3F62D6E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一、甲、乙双方依据采购代理机构中标通知书相关内容,订立本合同。</w:t>
      </w:r>
    </w:p>
    <w:p w14:paraId="05E389C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0882161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499B64A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四、合同价款与结算方式</w:t>
      </w:r>
    </w:p>
    <w:p w14:paraId="287C259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 xml:space="preserve">    1. 合同价款</w:t>
      </w:r>
    </w:p>
    <w:p w14:paraId="6F2C63BD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hint="eastAsia"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 xml:space="preserve"> 1.1合同总价款为人民币（大写）：</w:t>
      </w:r>
      <w:r>
        <w:rPr>
          <w:rFonts w:hint="eastAsia" w:ascii="仿宋" w:hAnsi="仿宋" w:eastAsia="仿宋" w:cs="仿宋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>整</w:t>
      </w:r>
      <w:r>
        <w:rPr>
          <w:rFonts w:hint="eastAsia" w:ascii="仿宋" w:hAnsi="仿宋" w:eastAsia="仿宋" w:cs="仿宋"/>
          <w:bCs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仿宋" w:hAnsi="仿宋" w:eastAsia="仿宋" w:cs="仿宋"/>
          <w:bCs/>
          <w:kern w:val="0"/>
          <w:sz w:val="24"/>
        </w:rPr>
        <w:t>），此金额为含税金额。</w:t>
      </w:r>
    </w:p>
    <w:p w14:paraId="7C592335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hint="eastAsia" w:ascii="仿宋" w:hAnsi="仿宋" w:eastAsia="仿宋" w:cs="仿宋"/>
          <w:bCs/>
          <w:color w:val="000000"/>
          <w:kern w:val="0"/>
          <w:sz w:val="24"/>
          <w:u w:val="single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1.2合同价款</w:t>
      </w:r>
      <w:r>
        <w:rPr>
          <w:rFonts w:hint="eastAsia" w:ascii="仿宋" w:hAnsi="仿宋" w:eastAsia="仿宋" w:cs="仿宋"/>
        </w:rPr>
        <w:t>为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固定价格，不受市场价格变化因素的影响。</w:t>
      </w:r>
    </w:p>
    <w:p w14:paraId="62988F3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06C65E1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color w:val="000000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highlight w:val="none"/>
        </w:rPr>
        <w:t>2. 结算方式</w:t>
      </w:r>
    </w:p>
    <w:p w14:paraId="6C24017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highlight w:val="none"/>
        </w:rPr>
        <w:t xml:space="preserve"> 2.1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合同签订后30日内支付合同总价款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>40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%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的款项作为预付款；</w:t>
      </w:r>
    </w:p>
    <w:p w14:paraId="3866E60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highlight w:val="none"/>
        </w:rPr>
        <w:t xml:space="preserve"> 2.2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所有设备供货到位，安装、调试、培训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后，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经初步验收合格后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30日内支付合同总价款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>60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%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的款项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，并开具全额发票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；</w:t>
      </w:r>
    </w:p>
    <w:p w14:paraId="5C2123D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color w:val="000000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highlight w:val="none"/>
        </w:rPr>
        <w:t>五、交货期限、交货地点和交货方式</w:t>
      </w:r>
    </w:p>
    <w:p w14:paraId="60FE713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仿宋" w:hAnsi="仿宋" w:eastAsia="仿宋" w:cs="仿宋"/>
          <w:color w:val="000000"/>
          <w:sz w:val="24"/>
          <w:highlight w:val="none"/>
          <w:lang w:eastAsia="zh-Hans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  <w:lang w:eastAsia="zh-Hans"/>
        </w:rPr>
        <w:t>1. 交货期限：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Hans"/>
        </w:rPr>
        <w:t>合同签订之日起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>100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日历天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Hans"/>
        </w:rPr>
        <w:t>内。供应商逾期交付货物的，每逾期1天，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乙方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Hans"/>
        </w:rPr>
        <w:t>向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甲方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Hans"/>
        </w:rPr>
        <w:t>偿付货款总额的 5 ‱ 的滞纳金。如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乙方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Hans"/>
        </w:rPr>
        <w:t>逾期交货达60天，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甲方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Hans"/>
        </w:rPr>
        <w:t>有权</w:t>
      </w:r>
      <w:r>
        <w:rPr>
          <w:rFonts w:hint="eastAsia" w:ascii="仿宋" w:hAnsi="仿宋" w:eastAsia="仿宋" w:cs="仿宋"/>
          <w:sz w:val="24"/>
          <w:highlight w:val="none"/>
        </w:rPr>
        <w:t>单方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解除合同，同时</w:t>
      </w:r>
      <w:r>
        <w:rPr>
          <w:rFonts w:hint="eastAsia" w:ascii="仿宋" w:hAnsi="仿宋" w:eastAsia="仿宋" w:cs="仿宋"/>
          <w:sz w:val="24"/>
          <w:highlight w:val="none"/>
        </w:rPr>
        <w:t>乙方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应及时退还</w:t>
      </w:r>
      <w:r>
        <w:rPr>
          <w:rFonts w:hint="eastAsia" w:ascii="仿宋" w:hAnsi="仿宋" w:eastAsia="仿宋" w:cs="仿宋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预付款并向</w:t>
      </w:r>
      <w:r>
        <w:rPr>
          <w:rFonts w:hint="eastAsia" w:ascii="仿宋" w:hAnsi="仿宋" w:eastAsia="仿宋" w:cs="仿宋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支付合同总价5％的违约金，解除合同的通知自</w:t>
      </w:r>
      <w:r>
        <w:rPr>
          <w:rFonts w:hint="eastAsia" w:ascii="仿宋" w:hAnsi="仿宋" w:eastAsia="仿宋" w:cs="仿宋"/>
          <w:sz w:val="24"/>
          <w:highlight w:val="none"/>
        </w:rPr>
        <w:t>送达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乙方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Hans"/>
        </w:rPr>
        <w:t>时生效。</w:t>
      </w:r>
    </w:p>
    <w:p w14:paraId="4EA070F2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>2. 交货地点：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甲方指定交货地点。</w:t>
      </w:r>
    </w:p>
    <w:p w14:paraId="1D4E75CD">
      <w:pPr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476C3EB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3.1 </w:t>
      </w:r>
      <w:r>
        <w:rPr>
          <w:rFonts w:hint="eastAsia" w:ascii="仿宋" w:hAnsi="仿宋" w:eastAsia="仿宋" w:cs="仿宋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0E6EE50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    4. 包装：</w:t>
      </w:r>
    </w:p>
    <w:p w14:paraId="79FDBEDE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0B99CC3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六、技术服务与质量保障 </w:t>
      </w:r>
    </w:p>
    <w:p w14:paraId="5B48445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    1. 技术服务：</w:t>
      </w:r>
    </w:p>
    <w:p w14:paraId="35103D8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仿宋" w:hAnsi="仿宋" w:eastAsia="仿宋" w:cs="仿宋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检验测试报告</w:t>
      </w:r>
      <w:r>
        <w:rPr>
          <w:rFonts w:hint="eastAsia" w:ascii="仿宋" w:hAnsi="仿宋" w:eastAsia="仿宋" w:cs="仿宋"/>
          <w:bCs/>
          <w:color w:val="000000"/>
          <w:sz w:val="24"/>
        </w:rPr>
        <w:t>、维护手册、服务指南等相关资料）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7A669086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auto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 xml:space="preserve"> 1.2 </w:t>
      </w:r>
      <w:r>
        <w:rPr>
          <w:rFonts w:hint="eastAsia" w:ascii="仿宋" w:hAnsi="仿宋" w:eastAsia="仿宋" w:cs="仿宋"/>
          <w:bCs/>
          <w:color w:val="auto"/>
          <w:sz w:val="24"/>
        </w:rPr>
        <w:t>乙方免费提供现场安装、调试、试运行技术保障服务。</w:t>
      </w:r>
    </w:p>
    <w:p w14:paraId="3A7CDA7C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员的免费培训，人数与地点按照甲方要求约定。</w:t>
      </w:r>
    </w:p>
    <w:p w14:paraId="1B2DF414">
      <w:pPr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    2. 质量保障： </w:t>
      </w:r>
    </w:p>
    <w:p w14:paraId="17A96C6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2.1 </w:t>
      </w:r>
      <w:r>
        <w:rPr>
          <w:rFonts w:hint="eastAsia" w:ascii="仿宋" w:hAnsi="仿宋" w:eastAsia="仿宋" w:cs="仿宋"/>
          <w:bCs/>
          <w:color w:val="000000"/>
          <w:sz w:val="24"/>
        </w:rPr>
        <w:t>乙方应当保证所供标的物的来源渠道</w:t>
      </w:r>
      <w:r>
        <w:rPr>
          <w:rFonts w:hint="eastAsia" w:ascii="仿宋" w:hAnsi="仿宋" w:eastAsia="仿宋" w:cs="仿宋"/>
          <w:bCs/>
          <w:sz w:val="24"/>
        </w:rPr>
        <w:t>正规</w:t>
      </w:r>
      <w:r>
        <w:rPr>
          <w:rFonts w:hint="eastAsia" w:ascii="仿宋" w:hAnsi="仿宋" w:eastAsia="仿宋" w:cs="仿宋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2EE9163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 xml:space="preserve"> 2.2</w:t>
      </w:r>
      <w:r>
        <w:rPr>
          <w:rFonts w:hint="eastAsia" w:ascii="仿宋" w:hAnsi="仿宋" w:eastAsia="仿宋" w:cs="仿宋"/>
          <w:color w:val="000000"/>
          <w:sz w:val="24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4"/>
        </w:rPr>
        <w:t>各仪器设备质保期以设备详细技术参数中各产品要求为准</w:t>
      </w:r>
      <w:r>
        <w:rPr>
          <w:rFonts w:hint="eastAsia" w:ascii="仿宋" w:hAnsi="仿宋" w:eastAsia="仿宋" w:cs="仿宋"/>
          <w:bCs/>
          <w:color w:val="000000"/>
          <w:sz w:val="24"/>
        </w:rPr>
        <w:t>，无明确要求的质保期壹年。乙方</w:t>
      </w:r>
      <w:r>
        <w:rPr>
          <w:rFonts w:hint="eastAsia" w:ascii="仿宋" w:hAnsi="仿宋" w:eastAsia="仿宋" w:cs="仿宋"/>
          <w:color w:val="000000"/>
          <w:sz w:val="24"/>
        </w:rPr>
        <w:t>需提供售后服务承诺函</w:t>
      </w:r>
      <w:r>
        <w:rPr>
          <w:rFonts w:hint="eastAsia" w:ascii="仿宋" w:hAnsi="仿宋" w:eastAsia="仿宋" w:cs="仿宋"/>
          <w:bCs/>
          <w:color w:val="000000"/>
          <w:sz w:val="24"/>
        </w:rPr>
        <w:t>。</w:t>
      </w:r>
    </w:p>
    <w:p w14:paraId="41B7102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2404BED0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auto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2.4 </w:t>
      </w:r>
      <w:r>
        <w:rPr>
          <w:rFonts w:hint="eastAsia" w:ascii="仿宋" w:hAnsi="仿宋" w:eastAsia="仿宋" w:cs="仿宋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15BD5511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auto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24"/>
        </w:rPr>
        <w:t>2.5 如所供标的物经乙方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仿宋" w:hAnsi="仿宋" w:eastAsia="仿宋" w:cs="仿宋"/>
          <w:bCs/>
          <w:color w:val="auto"/>
          <w:kern w:val="0"/>
          <w:sz w:val="24"/>
        </w:rPr>
        <w:t>次维修仍不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0E72475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92D05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u w:val="single"/>
        </w:rPr>
        <w:t>7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至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u w:val="single"/>
        </w:rPr>
        <w:t>15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48353FC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2.7 </w:t>
      </w:r>
      <w:r>
        <w:rPr>
          <w:rFonts w:hint="eastAsia" w:ascii="仿宋" w:hAnsi="仿宋" w:eastAsia="仿宋" w:cs="仿宋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5A7AE730">
      <w:pPr>
        <w:spacing w:line="420" w:lineRule="exact"/>
        <w:ind w:firstLine="360" w:firstLineChars="150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7CA4E66F">
      <w:pPr>
        <w:spacing w:line="420" w:lineRule="exact"/>
        <w:ind w:firstLine="360" w:firstLineChars="150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50C8D17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>七、验货与验收</w:t>
      </w:r>
    </w:p>
    <w:p w14:paraId="248FDAFB">
      <w:pPr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7E4EA357">
      <w:pPr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408096C9">
      <w:pPr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   3. 验收须按采购要求提供省级或以上法定检定机构有效溯源证书，除有特殊要求和指定机构之外，以陕西省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lang w:val="en-US" w:eastAsia="zh-CN"/>
        </w:rPr>
        <w:t>西安植物园（陕西省植物研究所）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的证书为首选。</w:t>
      </w:r>
    </w:p>
    <w:p w14:paraId="406A2326">
      <w:pPr>
        <w:spacing w:line="420" w:lineRule="exact"/>
        <w:rPr>
          <w:rFonts w:hint="eastAsia" w:ascii="仿宋" w:hAnsi="仿宋" w:eastAsia="仿宋" w:cs="仿宋"/>
          <w:b/>
          <w:bCs/>
          <w:color w:val="00000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>八、合同争议的解决</w:t>
      </w:r>
    </w:p>
    <w:p w14:paraId="68CA168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7A9A463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   1. 提交西安仲裁委员会仲裁；</w:t>
      </w:r>
    </w:p>
    <w:p w14:paraId="43C5CF04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   2. 依法向甲方所在地人民法院起诉。</w:t>
      </w:r>
    </w:p>
    <w:p w14:paraId="2C2807B8">
      <w:pPr>
        <w:spacing w:line="420" w:lineRule="exact"/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63B3086F">
      <w:pPr>
        <w:spacing w:line="420" w:lineRule="exact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4E8FA655">
      <w:pPr>
        <w:pStyle w:val="107"/>
        <w:spacing w:line="420" w:lineRule="exact"/>
        <w:ind w:firstLine="0"/>
        <w:rPr>
          <w:rFonts w:hint="eastAsia" w:ascii="仿宋" w:hAnsi="仿宋" w:eastAsia="仿宋" w:cs="仿宋"/>
          <w:b/>
          <w:bCs/>
          <w:iCs w:val="0"/>
        </w:rPr>
      </w:pPr>
      <w:r>
        <w:rPr>
          <w:rFonts w:hint="eastAsia" w:ascii="仿宋" w:hAnsi="仿宋" w:eastAsia="仿宋" w:cs="仿宋"/>
          <w:b/>
          <w:bCs/>
          <w:iCs w:val="0"/>
        </w:rPr>
        <w:t>十、违约责任</w:t>
      </w:r>
    </w:p>
    <w:p w14:paraId="5A1AC067">
      <w:pPr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仿宋" w:hAnsi="仿宋" w:eastAsia="仿宋" w:cs="仿宋"/>
          <w:bCs/>
          <w:kern w:val="0"/>
          <w:sz w:val="24"/>
        </w:rPr>
        <w:t>的诉讼费、律师费、保全费、保险费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7816F3F5">
      <w:pPr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 xml:space="preserve">    2. 甲方违约，支付乙方所造成的直接经济损失。</w:t>
      </w:r>
    </w:p>
    <w:p w14:paraId="7C57B60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>十一、其他需要签订的合同条款</w:t>
      </w:r>
    </w:p>
    <w:p w14:paraId="4906783E">
      <w:pPr>
        <w:spacing w:line="420" w:lineRule="exact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65C5B10A">
      <w:pPr>
        <w:spacing w:line="420" w:lineRule="exact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 xml:space="preserve">    2. 合同附件及招标文件、投标文件均作为合同不可分割的部分。</w:t>
      </w:r>
    </w:p>
    <w:p w14:paraId="06C5F075">
      <w:pPr>
        <w:spacing w:line="420" w:lineRule="exact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6C451C97">
      <w:pPr>
        <w:kinsoku w:val="0"/>
        <w:spacing w:line="420" w:lineRule="exact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4B67042E">
      <w:pPr>
        <w:spacing w:line="420" w:lineRule="exac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 xml:space="preserve">    5. 本合同一式五份</w:t>
      </w:r>
      <w:r>
        <w:rPr>
          <w:rFonts w:hint="eastAsia" w:ascii="仿宋" w:hAnsi="仿宋" w:eastAsia="仿宋" w:cs="仿宋"/>
          <w:bCs/>
          <w:sz w:val="24"/>
        </w:rPr>
        <w:t>，甲、乙双方各执两份，采购代理机构一份。甲乙双方签字盖章后生效，合同</w:t>
      </w:r>
      <w:r>
        <w:rPr>
          <w:rFonts w:hint="eastAsia" w:ascii="仿宋" w:hAnsi="仿宋" w:eastAsia="仿宋" w:cs="仿宋"/>
          <w:bCs/>
          <w:color w:val="000000"/>
          <w:sz w:val="24"/>
        </w:rPr>
        <w:t>执行完毕后自</w:t>
      </w:r>
      <w:r>
        <w:rPr>
          <w:rFonts w:hint="eastAsia" w:ascii="仿宋" w:hAnsi="仿宋" w:eastAsia="仿宋" w:cs="仿宋"/>
          <w:bCs/>
          <w:sz w:val="24"/>
        </w:rPr>
        <w:t>动失效。</w:t>
      </w:r>
    </w:p>
    <w:p w14:paraId="7427F56B">
      <w:pPr>
        <w:spacing w:line="420" w:lineRule="exac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合同签订地点：西安</w:t>
      </w:r>
    </w:p>
    <w:p w14:paraId="1C75D33D">
      <w:pPr>
        <w:spacing w:line="420" w:lineRule="exac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合同生效（签订）时间：</w:t>
      </w:r>
      <w:r>
        <w:rPr>
          <w:rFonts w:hint="eastAsia" w:ascii="仿宋" w:hAnsi="仿宋" w:eastAsia="仿宋" w:cs="仿宋"/>
          <w:bCs/>
          <w:color w:val="00000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000000"/>
          <w:sz w:val="24"/>
        </w:rPr>
        <w:t>年</w:t>
      </w:r>
      <w:r>
        <w:rPr>
          <w:rFonts w:hint="eastAsia" w:ascii="仿宋" w:hAnsi="仿宋" w:eastAsia="仿宋" w:cs="仿宋"/>
          <w:bCs/>
          <w:color w:val="00000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4"/>
        </w:rPr>
        <w:t>月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3465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B66A17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3F1D47C1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乙  方</w:t>
            </w:r>
          </w:p>
        </w:tc>
      </w:tr>
      <w:tr w14:paraId="337E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13586F8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  <w:p w14:paraId="5E8A4D8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00098592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  <w:p w14:paraId="72FE19EF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（盖章）</w:t>
            </w:r>
          </w:p>
        </w:tc>
      </w:tr>
      <w:tr w14:paraId="0D686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18F6CE3E">
            <w:pPr>
              <w:overflowPunct w:val="0"/>
              <w:topLinePunct/>
              <w:adjustRightInd w:val="0"/>
              <w:spacing w:line="240" w:lineRule="auto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64986DD3">
            <w:pPr>
              <w:overflowPunct w:val="0"/>
              <w:topLinePunct/>
              <w:adjustRightInd w:val="0"/>
              <w:spacing w:line="240" w:lineRule="auto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地址:</w:t>
            </w:r>
          </w:p>
        </w:tc>
      </w:tr>
      <w:tr w14:paraId="3C92F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6B45ECF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5F212731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邮编：</w:t>
            </w:r>
          </w:p>
        </w:tc>
      </w:tr>
      <w:tr w14:paraId="632D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280D6A41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78E130BC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法定代表人：</w:t>
            </w:r>
          </w:p>
        </w:tc>
      </w:tr>
      <w:tr w14:paraId="3B45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06BBD4A1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18E9713B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授权代表：（签字）</w:t>
            </w:r>
          </w:p>
        </w:tc>
      </w:tr>
      <w:tr w14:paraId="50C1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682239A2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：（签字）</w:t>
            </w:r>
          </w:p>
        </w:tc>
        <w:tc>
          <w:tcPr>
            <w:tcW w:w="4726" w:type="dxa"/>
            <w:noWrap w:val="0"/>
            <w:vAlign w:val="top"/>
          </w:tcPr>
          <w:p w14:paraId="73883032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电话：</w:t>
            </w:r>
          </w:p>
        </w:tc>
      </w:tr>
      <w:tr w14:paraId="0764B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597BEEC7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3D6C27A6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传真：</w:t>
            </w:r>
          </w:p>
        </w:tc>
      </w:tr>
      <w:tr w14:paraId="024BB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434934C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29C4EAA9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开户银行：</w:t>
            </w:r>
          </w:p>
        </w:tc>
      </w:tr>
      <w:tr w14:paraId="25030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0A37504">
            <w:pPr>
              <w:overflowPunct w:val="0"/>
              <w:topLinePunct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4350BB5C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账号：</w:t>
            </w:r>
          </w:p>
        </w:tc>
      </w:tr>
    </w:tbl>
    <w:p w14:paraId="0D184A1B"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</w:rPr>
      </w:pPr>
    </w:p>
    <w:p w14:paraId="7CC26368">
      <w:pPr>
        <w:pStyle w:val="39"/>
        <w:ind w:left="0" w:leftChars="0" w:firstLine="0" w:firstLineChars="0"/>
        <w:rPr>
          <w:rFonts w:hint="eastAsia" w:ascii="仿宋" w:hAnsi="仿宋" w:eastAsia="仿宋" w:cs="仿宋"/>
          <w:b/>
          <w:bCs/>
        </w:rPr>
      </w:pPr>
    </w:p>
    <w:p w14:paraId="0F70F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/>
          <w:sz w:val="24"/>
          <w:szCs w:val="32"/>
        </w:rPr>
      </w:pPr>
      <w:r>
        <w:rPr>
          <w:rFonts w:hint="eastAsia" w:ascii="仿宋" w:hAnsi="仿宋" w:eastAsia="仿宋" w:cs="仿宋"/>
          <w:b/>
          <w:sz w:val="24"/>
          <w:szCs w:val="32"/>
        </w:rPr>
        <w:t>*最终合同稿件以甲方出具的合同模板为准</w:t>
      </w:r>
    </w:p>
    <w:p w14:paraId="663E516D">
      <w:pPr>
        <w:pStyle w:val="39"/>
        <w:ind w:left="0" w:leftChars="0" w:firstLine="0" w:firstLineChars="0"/>
        <w:rPr>
          <w:rFonts w:hint="eastAsia" w:ascii="仿宋" w:hAnsi="仿宋" w:eastAsia="仿宋" w:cs="仿宋"/>
          <w:b/>
          <w:bCs/>
          <w:color w:val="auto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75CAFFCE">
      <w:pPr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附件1 </w:t>
      </w:r>
    </w:p>
    <w:p w14:paraId="25BB07C2">
      <w:pPr>
        <w:pStyle w:val="16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7411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35F1F278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品目</w:t>
            </w:r>
          </w:p>
          <w:p w14:paraId="0AB097AA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02613FA1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7F9D9F6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设备</w:t>
            </w:r>
          </w:p>
          <w:p w14:paraId="1678FD51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4C0E360A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33769870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123D7A3F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0442D868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68D1BF1B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52BED699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20CE598C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4D8AFEC6">
            <w:pPr>
              <w:widowControl/>
              <w:spacing w:line="240" w:lineRule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32212985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689CD406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1520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C8D7412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F08A414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EF86754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410FE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2885D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60BF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78F9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B6FA2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45AD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48EAA0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1B02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F120064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67FE332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34E1952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15343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FA1BF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C799A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099B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5D91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B2AC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5A9D2B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2275A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C7587B7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55D1D4F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BD12071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D97EA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C1215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B012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2DD8C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E705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B11D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5B4D7A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2B7AA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5831C4E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1BB882A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1808BD3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41D33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20B3B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5261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7DB82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7BB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1079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D2E8D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680B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2823EAC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952E643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A11F289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7089B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F08D5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39C6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5985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B26F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5D40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617D9F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97E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D3042AB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59B52EF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D2DBA21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D7EF6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4D902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5F8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9D600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D734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9CC71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6DE33C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1AB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B4B5533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215D0EB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93C905E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5BB52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EFCBA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40B3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5002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2DC81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D81A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EA5C4B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F6D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5F41988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E963600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8733B7E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6F1A7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040C0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755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DBFC9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1EF4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CB9F1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DBC476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260E7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4114E01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8CF3B2B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913F332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76AFD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E2BD4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9AC7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C57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328F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56BE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5F3D8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74E6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0B86B02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66F62592">
      <w:pPr>
        <w:pStyle w:val="16"/>
        <w:jc w:val="left"/>
        <w:rPr>
          <w:rFonts w:hint="eastAsia" w:ascii="仿宋" w:hAnsi="仿宋" w:eastAsia="仿宋" w:cs="仿宋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68B268FA">
      <w:pPr>
        <w:pStyle w:val="16"/>
        <w:jc w:val="left"/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</w:rPr>
        <w:t>附件2</w:t>
      </w:r>
    </w:p>
    <w:p w14:paraId="4E85D19E">
      <w:pPr>
        <w:pStyle w:val="39"/>
        <w:ind w:firstLine="301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528AB537">
      <w:pPr>
        <w:pStyle w:val="39"/>
        <w:spacing w:line="240" w:lineRule="auto"/>
        <w:ind w:left="2" w:firstLine="0" w:firstLineChars="0"/>
        <w:rPr>
          <w:rFonts w:hint="eastAsia" w:ascii="仿宋" w:hAnsi="仿宋" w:eastAsia="仿宋" w:cs="仿宋"/>
          <w:color w:val="000000"/>
          <w:sz w:val="21"/>
        </w:rPr>
      </w:pPr>
      <w:bookmarkStart w:id="0" w:name="_GoBack"/>
      <w:bookmarkEnd w:id="0"/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AC959">
    <w:pPr>
      <w:pStyle w:val="2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062D456">
    <w:pPr>
      <w:pStyle w:val="2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45CCD">
    <w:pPr>
      <w:pStyle w:val="27"/>
      <w:jc w:val="center"/>
      <w:rPr>
        <w:rFonts w:hint="eastAsia"/>
      </w:rPr>
    </w:pPr>
  </w:p>
  <w:p w14:paraId="69794868">
    <w:pPr>
      <w:pStyle w:val="2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58298">
    <w:pPr>
      <w:pStyle w:val="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56F7C5F9">
    <w:pPr>
      <w:pStyle w:val="27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24CCD">
    <w:pPr>
      <w:pStyle w:val="2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42548A8"/>
    <w:rsid w:val="05777F14"/>
    <w:rsid w:val="05BE10B6"/>
    <w:rsid w:val="05CE4173"/>
    <w:rsid w:val="05F73173"/>
    <w:rsid w:val="0A0D3E9D"/>
    <w:rsid w:val="0A88150C"/>
    <w:rsid w:val="0DB735A4"/>
    <w:rsid w:val="0E452DB1"/>
    <w:rsid w:val="0F01772A"/>
    <w:rsid w:val="0F215952"/>
    <w:rsid w:val="0F3B1FB3"/>
    <w:rsid w:val="0F4F1941"/>
    <w:rsid w:val="0F8875E4"/>
    <w:rsid w:val="11063C0F"/>
    <w:rsid w:val="11221BE3"/>
    <w:rsid w:val="135A2484"/>
    <w:rsid w:val="14996C24"/>
    <w:rsid w:val="177E70A5"/>
    <w:rsid w:val="1A0F3CE2"/>
    <w:rsid w:val="1A1A4E38"/>
    <w:rsid w:val="1C7672AC"/>
    <w:rsid w:val="1C9867E2"/>
    <w:rsid w:val="1CE04199"/>
    <w:rsid w:val="1FEF165D"/>
    <w:rsid w:val="204F64FE"/>
    <w:rsid w:val="21B77BBF"/>
    <w:rsid w:val="22124DF5"/>
    <w:rsid w:val="23072480"/>
    <w:rsid w:val="23422465"/>
    <w:rsid w:val="27071134"/>
    <w:rsid w:val="2970170E"/>
    <w:rsid w:val="2A7A374C"/>
    <w:rsid w:val="2B063E60"/>
    <w:rsid w:val="2B187558"/>
    <w:rsid w:val="2C3B78B9"/>
    <w:rsid w:val="2C960C5A"/>
    <w:rsid w:val="2DF81374"/>
    <w:rsid w:val="2E0F07A7"/>
    <w:rsid w:val="2EE00199"/>
    <w:rsid w:val="31937DD5"/>
    <w:rsid w:val="34A73AC3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5D11C3"/>
    <w:rsid w:val="3DB46375"/>
    <w:rsid w:val="3ECC2C33"/>
    <w:rsid w:val="402E683F"/>
    <w:rsid w:val="40ED08DF"/>
    <w:rsid w:val="437828B1"/>
    <w:rsid w:val="466A0AA1"/>
    <w:rsid w:val="48AF2B5B"/>
    <w:rsid w:val="48C4042F"/>
    <w:rsid w:val="49993875"/>
    <w:rsid w:val="4ACF420E"/>
    <w:rsid w:val="4CD82614"/>
    <w:rsid w:val="4E241889"/>
    <w:rsid w:val="4F676C83"/>
    <w:rsid w:val="50096B82"/>
    <w:rsid w:val="50A20F19"/>
    <w:rsid w:val="513C382A"/>
    <w:rsid w:val="519F1952"/>
    <w:rsid w:val="51A32C40"/>
    <w:rsid w:val="527648B2"/>
    <w:rsid w:val="527A5F1B"/>
    <w:rsid w:val="56B202D0"/>
    <w:rsid w:val="56D54068"/>
    <w:rsid w:val="5923730C"/>
    <w:rsid w:val="5BBD6752"/>
    <w:rsid w:val="5D3D2807"/>
    <w:rsid w:val="61291238"/>
    <w:rsid w:val="61AC501F"/>
    <w:rsid w:val="648F5856"/>
    <w:rsid w:val="6731371A"/>
    <w:rsid w:val="6B0326C9"/>
    <w:rsid w:val="6B1314A7"/>
    <w:rsid w:val="6E1F0870"/>
    <w:rsid w:val="6F490CF7"/>
    <w:rsid w:val="6FC22B43"/>
    <w:rsid w:val="727918F3"/>
    <w:rsid w:val="740A7989"/>
    <w:rsid w:val="74A31AD3"/>
    <w:rsid w:val="763F7D31"/>
    <w:rsid w:val="77B801BE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0" w:semiHidden="0" w:name="List 2"/>
    <w:lsdException w:qFormat="1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qFormat="1" w:unhideWhenUsed="0" w:uiPriority="99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7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8">
    <w:name w:val="heading 7"/>
    <w:basedOn w:val="1"/>
    <w:next w:val="9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9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9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qFormat/>
    <w:uiPriority w:val="0"/>
  </w:style>
  <w:style w:type="table" w:default="1" w:styleId="4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2">
    <w:name w:val="List 3"/>
    <w:basedOn w:val="1"/>
    <w:unhideWhenUsed/>
    <w:qFormat/>
    <w:uiPriority w:val="0"/>
    <w:pPr>
      <w:spacing w:line="300" w:lineRule="atLeast"/>
      <w:ind w:left="1260" w:hanging="420"/>
    </w:pPr>
    <w:rPr>
      <w:szCs w:val="21"/>
    </w:rPr>
  </w:style>
  <w:style w:type="paragraph" w:styleId="13">
    <w:name w:val="toc 7"/>
    <w:basedOn w:val="1"/>
    <w:next w:val="1"/>
    <w:unhideWhenUsed/>
    <w:qFormat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4">
    <w:name w:val="Document Map"/>
    <w:basedOn w:val="1"/>
    <w:link w:val="61"/>
    <w:qFormat/>
    <w:uiPriority w:val="99"/>
    <w:pPr>
      <w:shd w:val="clear" w:color="auto" w:fill="000080"/>
    </w:pPr>
  </w:style>
  <w:style w:type="paragraph" w:styleId="15">
    <w:name w:val="annotation text"/>
    <w:basedOn w:val="1"/>
    <w:link w:val="62"/>
    <w:semiHidden/>
    <w:qFormat/>
    <w:uiPriority w:val="0"/>
    <w:pPr>
      <w:jc w:val="left"/>
    </w:pPr>
  </w:style>
  <w:style w:type="paragraph" w:styleId="16">
    <w:name w:val="Body Text"/>
    <w:basedOn w:val="1"/>
    <w:next w:val="1"/>
    <w:link w:val="50"/>
    <w:qFormat/>
    <w:uiPriority w:val="0"/>
    <w:rPr>
      <w:color w:val="993300"/>
      <w:sz w:val="24"/>
    </w:rPr>
  </w:style>
  <w:style w:type="paragraph" w:styleId="17">
    <w:name w:val="Body Text Indent"/>
    <w:basedOn w:val="1"/>
    <w:link w:val="63"/>
    <w:qFormat/>
    <w:uiPriority w:val="0"/>
    <w:pPr>
      <w:ind w:firstLine="480"/>
    </w:pPr>
    <w:rPr>
      <w:rFonts w:ascii="宋体" w:hAnsi="宋体"/>
    </w:rPr>
  </w:style>
  <w:style w:type="paragraph" w:styleId="18">
    <w:name w:val="List 2"/>
    <w:basedOn w:val="1"/>
    <w:unhideWhenUsed/>
    <w:qFormat/>
    <w:uiPriority w:val="0"/>
    <w:pPr>
      <w:spacing w:line="300" w:lineRule="atLeast"/>
      <w:ind w:left="840" w:hanging="420"/>
    </w:pPr>
    <w:rPr>
      <w:szCs w:val="21"/>
    </w:rPr>
  </w:style>
  <w:style w:type="paragraph" w:styleId="19">
    <w:name w:val="List Continue"/>
    <w:basedOn w:val="1"/>
    <w:unhideWhenUsed/>
    <w:qFormat/>
    <w:uiPriority w:val="0"/>
    <w:pPr>
      <w:spacing w:after="120" w:line="300" w:lineRule="atLeast"/>
      <w:ind w:left="420"/>
    </w:pPr>
    <w:rPr>
      <w:szCs w:val="21"/>
    </w:rPr>
  </w:style>
  <w:style w:type="paragraph" w:styleId="20">
    <w:name w:val="toc 5"/>
    <w:basedOn w:val="1"/>
    <w:next w:val="1"/>
    <w:unhideWhenUsed/>
    <w:qFormat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1">
    <w:name w:val="toc 3"/>
    <w:basedOn w:val="1"/>
    <w:next w:val="1"/>
    <w:qFormat/>
    <w:uiPriority w:val="39"/>
    <w:pPr>
      <w:spacing w:line="240" w:lineRule="auto"/>
      <w:ind w:left="840" w:leftChars="400"/>
    </w:pPr>
  </w:style>
  <w:style w:type="paragraph" w:styleId="22">
    <w:name w:val="Plain Text"/>
    <w:basedOn w:val="1"/>
    <w:next w:val="1"/>
    <w:link w:val="64"/>
    <w:qFormat/>
    <w:uiPriority w:val="0"/>
    <w:rPr>
      <w:rFonts w:ascii="宋体" w:hAnsi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4">
    <w:name w:val="Date"/>
    <w:basedOn w:val="1"/>
    <w:next w:val="1"/>
    <w:link w:val="65"/>
    <w:qFormat/>
    <w:uiPriority w:val="99"/>
    <w:pPr>
      <w:spacing w:line="360" w:lineRule="auto"/>
    </w:pPr>
    <w:rPr>
      <w:rFonts w:ascii="宋体"/>
      <w:sz w:val="24"/>
      <w:szCs w:val="20"/>
    </w:rPr>
  </w:style>
  <w:style w:type="paragraph" w:styleId="25">
    <w:name w:val="Body Text Indent 2"/>
    <w:basedOn w:val="1"/>
    <w:link w:val="66"/>
    <w:qFormat/>
    <w:uiPriority w:val="0"/>
    <w:pPr>
      <w:spacing w:after="120" w:afterLines="0" w:line="480" w:lineRule="auto"/>
      <w:ind w:left="420" w:leftChars="200"/>
    </w:pPr>
  </w:style>
  <w:style w:type="paragraph" w:styleId="26">
    <w:name w:val="Balloon Text"/>
    <w:basedOn w:val="1"/>
    <w:link w:val="67"/>
    <w:qFormat/>
    <w:uiPriority w:val="99"/>
    <w:rPr>
      <w:sz w:val="18"/>
      <w:szCs w:val="18"/>
    </w:rPr>
  </w:style>
  <w:style w:type="paragraph" w:styleId="27">
    <w:name w:val="footer"/>
    <w:basedOn w:val="1"/>
    <w:next w:val="28"/>
    <w:link w:val="6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240" w:lineRule="auto"/>
    </w:pPr>
  </w:style>
  <w:style w:type="paragraph" w:styleId="30">
    <w:name w:val="toc 4"/>
    <w:basedOn w:val="1"/>
    <w:next w:val="1"/>
    <w:unhideWhenUsed/>
    <w:qFormat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1">
    <w:name w:val="List"/>
    <w:basedOn w:val="1"/>
    <w:unhideWhenUsed/>
    <w:qFormat/>
    <w:uiPriority w:val="0"/>
    <w:pPr>
      <w:spacing w:line="300" w:lineRule="atLeast"/>
      <w:ind w:left="420" w:hanging="420"/>
    </w:pPr>
    <w:rPr>
      <w:szCs w:val="21"/>
    </w:rPr>
  </w:style>
  <w:style w:type="paragraph" w:styleId="32">
    <w:name w:val="toc 6"/>
    <w:basedOn w:val="1"/>
    <w:next w:val="1"/>
    <w:unhideWhenUsed/>
    <w:qFormat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3">
    <w:name w:val="Body Text Indent 3"/>
    <w:basedOn w:val="1"/>
    <w:link w:val="70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qFormat/>
    <w:uiPriority w:val="39"/>
    <w:pPr>
      <w:spacing w:line="240" w:lineRule="auto"/>
      <w:ind w:left="420" w:leftChars="200"/>
    </w:pPr>
  </w:style>
  <w:style w:type="paragraph" w:styleId="35">
    <w:name w:val="toc 9"/>
    <w:basedOn w:val="1"/>
    <w:next w:val="1"/>
    <w:unhideWhenUsed/>
    <w:qFormat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6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7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8">
    <w:name w:val="annotation subject"/>
    <w:basedOn w:val="15"/>
    <w:next w:val="15"/>
    <w:semiHidden/>
    <w:qFormat/>
    <w:uiPriority w:val="0"/>
    <w:rPr>
      <w:b/>
      <w:bCs/>
    </w:rPr>
  </w:style>
  <w:style w:type="paragraph" w:styleId="39">
    <w:name w:val="Body Text First Indent"/>
    <w:basedOn w:val="16"/>
    <w:link w:val="51"/>
    <w:unhideWhenUsed/>
    <w:qFormat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40">
    <w:name w:val="Body Text First Indent 2"/>
    <w:basedOn w:val="17"/>
    <w:link w:val="72"/>
    <w:unhideWhenUsed/>
    <w:qFormat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qFormat/>
    <w:uiPriority w:val="0"/>
    <w:rPr>
      <w:vertAlign w:val="superscript"/>
    </w:rPr>
  </w:style>
  <w:style w:type="character" w:styleId="46">
    <w:name w:val="page number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0000FF"/>
      <w:u w:val="single"/>
    </w:rPr>
  </w:style>
  <w:style w:type="character" w:styleId="49">
    <w:name w:val="annotation reference"/>
    <w:semiHidden/>
    <w:qFormat/>
    <w:uiPriority w:val="0"/>
    <w:rPr>
      <w:sz w:val="21"/>
      <w:szCs w:val="21"/>
    </w:rPr>
  </w:style>
  <w:style w:type="character" w:customStyle="1" w:styleId="50">
    <w:name w:val="正文文本 字符1"/>
    <w:link w:val="16"/>
    <w:qFormat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39"/>
    <w:qFormat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2"/>
    <w:qFormat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3"/>
    <w:qFormat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4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6"/>
    <w:qFormat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7"/>
    <w:semiHidden/>
    <w:qFormat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8"/>
    <w:semiHidden/>
    <w:qFormat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0"/>
    <w:semiHidden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1"/>
    <w:semiHidden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4"/>
    <w:qFormat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5"/>
    <w:semiHidden/>
    <w:qFormat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7"/>
    <w:qFormat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4"/>
    <w:qFormat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5"/>
    <w:qFormat/>
    <w:uiPriority w:val="0"/>
    <w:rPr>
      <w:kern w:val="2"/>
      <w:sz w:val="21"/>
      <w:szCs w:val="24"/>
    </w:rPr>
  </w:style>
  <w:style w:type="character" w:customStyle="1" w:styleId="67">
    <w:name w:val="批注框文本 字符"/>
    <w:link w:val="26"/>
    <w:qFormat/>
    <w:uiPriority w:val="99"/>
    <w:rPr>
      <w:kern w:val="2"/>
      <w:sz w:val="18"/>
      <w:szCs w:val="18"/>
    </w:rPr>
  </w:style>
  <w:style w:type="character" w:customStyle="1" w:styleId="68">
    <w:name w:val="页脚 字符2"/>
    <w:link w:val="27"/>
    <w:qFormat/>
    <w:uiPriority w:val="99"/>
    <w:rPr>
      <w:kern w:val="2"/>
      <w:sz w:val="18"/>
      <w:szCs w:val="18"/>
    </w:rPr>
  </w:style>
  <w:style w:type="character" w:customStyle="1" w:styleId="69">
    <w:name w:val="页眉 字符"/>
    <w:link w:val="28"/>
    <w:qFormat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3"/>
    <w:qFormat/>
    <w:uiPriority w:val="0"/>
    <w:rPr>
      <w:kern w:val="2"/>
      <w:sz w:val="16"/>
      <w:szCs w:val="16"/>
    </w:rPr>
  </w:style>
  <w:style w:type="character" w:customStyle="1" w:styleId="71">
    <w:name w:val="标题 字符"/>
    <w:link w:val="37"/>
    <w:qFormat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qFormat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semiHidden/>
    <w:qFormat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semiHidden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qFormat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qFormat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qFormat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86">
    <w:name w:val="标题 1 字符1"/>
    <w:qFormat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semiHidden/>
    <w:qFormat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qFormat/>
    <w:uiPriority w:val="0"/>
  </w:style>
  <w:style w:type="character" w:customStyle="1" w:styleId="89">
    <w:name w:val="orange"/>
    <w:qFormat/>
    <w:uiPriority w:val="0"/>
  </w:style>
  <w:style w:type="character" w:customStyle="1" w:styleId="90">
    <w:name w:val="标题 4 字符1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semiHidden/>
    <w:qFormat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semiHidden/>
    <w:qFormat/>
    <w:locked/>
    <w:uiPriority w:val="99"/>
    <w:rPr>
      <w:kern w:val="2"/>
      <w:sz w:val="18"/>
      <w:szCs w:val="18"/>
    </w:rPr>
  </w:style>
  <w:style w:type="character" w:customStyle="1" w:styleId="93">
    <w:name w:val="标题 3 字符1"/>
    <w:semiHidden/>
    <w:qFormat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qFormat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06">
    <w:name w:val="xl61"/>
    <w:basedOn w:val="1"/>
    <w:qFormat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qFormat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</w:rPr>
  </w:style>
  <w:style w:type="paragraph" w:customStyle="1" w:styleId="108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qFormat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qFormat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qFormat/>
    <w:uiPriority w:val="0"/>
    <w:pPr>
      <w:spacing w:line="240" w:lineRule="auto"/>
    </w:pPr>
  </w:style>
  <w:style w:type="paragraph" w:customStyle="1" w:styleId="128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6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2"/>
    <w:qFormat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2832</Words>
  <Characters>2908</Characters>
  <Lines>24</Lines>
  <Paragraphs>6</Paragraphs>
  <TotalTime>0</TotalTime>
  <ScaleCrop>false</ScaleCrop>
  <LinksUpToDate>false</LinksUpToDate>
  <CharactersWithSpaces>3184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A-Sa</cp:lastModifiedBy>
  <cp:lastPrinted>2025-02-11T08:59:00Z</cp:lastPrinted>
  <dcterms:modified xsi:type="dcterms:W3CDTF">2025-07-10T07:59:56Z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F6384DDF80ED48B29D30579093862DD7_13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