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版本号：LZBB2025-141520250812002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通用技术与科创中心建设项目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LZBB2025-1415</w:t>
      </w:r>
      <w:r>
        <w:br/>
      </w:r>
      <w:r>
        <w:br/>
      </w:r>
      <w:r>
        <w:br/>
      </w:r>
    </w:p>
    <w:p>
      <w:pPr>
        <w:pStyle w:val="null3"/>
        <w:jc w:val="center"/>
        <w:outlineLvl w:val="2"/>
      </w:pPr>
      <w:r>
        <w:rPr>
          <w:rFonts w:ascii="仿宋_GB2312" w:hAnsi="仿宋_GB2312" w:cs="仿宋_GB2312" w:eastAsia="仿宋_GB2312"/>
          <w:sz w:val="28"/>
          <w:b/>
        </w:rPr>
        <w:t>陕西省西安中学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陕西省西安中学</w:t>
      </w:r>
      <w:r>
        <w:rPr>
          <w:rFonts w:ascii="仿宋_GB2312" w:hAnsi="仿宋_GB2312" w:cs="仿宋_GB2312" w:eastAsia="仿宋_GB2312"/>
        </w:rPr>
        <w:t>委托，拟对</w:t>
      </w:r>
      <w:r>
        <w:rPr>
          <w:rFonts w:ascii="仿宋_GB2312" w:hAnsi="仿宋_GB2312" w:cs="仿宋_GB2312" w:eastAsia="仿宋_GB2312"/>
        </w:rPr>
        <w:t>通用技术与科创中心建设项目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LZBB2025-1415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通用技术与科创中心建设项目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项目包含拆除原有吊顶、拆除原有墙地面、新做吊顶、新做墙地面，新做乳胶漆、电气及教学设备采购安装，垃圾外运等工作内容。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采购包1（通用技术与科创中心建设项目）：属于专门面向中小企业采购。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4、财务状况：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状况：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7、供应商资质：供应商具备建设行政主管部门核发的【建筑装修装饰工程专业承包二级】及以上资质，有效的安全生产许可证</w:t>
      </w:r>
    </w:p>
    <w:p>
      <w:pPr>
        <w:pStyle w:val="null3"/>
      </w:pPr>
      <w:r>
        <w:rPr>
          <w:rFonts w:ascii="仿宋_GB2312" w:hAnsi="仿宋_GB2312" w:cs="仿宋_GB2312" w:eastAsia="仿宋_GB2312"/>
        </w:rPr>
        <w:t>8、拟派项目负责人资质和专业要求：证书等级：二级及以上 专业：注册建造师资格 补充说明：有效的安全生产考核合格证，本单位注册且无在建工程项目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陕西省西安市未央区凤城五路69号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029-86537079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高维、王飞、张波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代理服务费收费标准：招标代理服务费的收取参照国家计委关于印发《招标代理服务收费管理暂行办法》的通知（计价格〔2002〕1980号）的有关依据收取。缴纳方式： 采用现金或转账方式缴纳（账号信息如下）。 开户名称：龙寰项目管理咨询有限公司 开 户 行：平安银行西安高新路支行 账号： 30201278017341转账事由：LZBB2025-1415 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陕西省西安中学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陕西省西安中学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陕西省西安中学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联系人：高维、王飞、张波</w:t>
      </w:r>
    </w:p>
    <w:p>
      <w:pPr>
        <w:pStyle w:val="null3"/>
      </w:pPr>
      <w:r>
        <w:rPr>
          <w:rFonts w:ascii="仿宋_GB2312" w:hAnsi="仿宋_GB2312" w:cs="仿宋_GB2312" w:eastAsia="仿宋_GB2312"/>
        </w:rPr>
        <w:t>联系电话：029-88228899-625</w:t>
      </w:r>
    </w:p>
    <w:p>
      <w:pPr>
        <w:pStyle w:val="null3"/>
      </w:pPr>
      <w:r>
        <w:rPr>
          <w:rFonts w:ascii="仿宋_GB2312" w:hAnsi="仿宋_GB2312" w:cs="仿宋_GB2312" w:eastAsia="仿宋_GB2312"/>
        </w:rPr>
        <w:t>地址：陕西省西安市太白南路181号西部电子社区A座A区501室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2,990,452.18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通用技术与科创中心建设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标的名称：通用技术与科创中心建设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p>
          <w:p>
            <w:pPr>
              <w:pStyle w:val="null3"/>
            </w:pPr>
            <w:r>
              <w:rPr>
                <w:rFonts w:ascii="仿宋_GB2312" w:hAnsi="仿宋_GB2312" w:cs="仿宋_GB2312" w:eastAsia="仿宋_GB2312"/>
              </w:rPr>
              <w:t>《陕西省西安中学科创中心建设项目》拆除原有吊顶、拆除原有墙地面、新做吊顶、新做墙地面，新做乳胶漆、电气及教学设备采购安装，垃圾外运等工作内容。</w:t>
            </w:r>
          </w:p>
          <w:p>
            <w:pPr>
              <w:pStyle w:val="null3"/>
            </w:pPr>
            <w:r>
              <w:rPr>
                <w:rFonts w:ascii="仿宋_GB2312" w:hAnsi="仿宋_GB2312" w:cs="仿宋_GB2312" w:eastAsia="仿宋_GB2312"/>
              </w:rPr>
              <w:t>二、编制范围</w:t>
            </w:r>
          </w:p>
          <w:p>
            <w:pPr>
              <w:pStyle w:val="null3"/>
              <w:ind w:firstLine="560"/>
            </w:pPr>
            <w:r>
              <w:rPr>
                <w:rFonts w:ascii="仿宋_GB2312" w:hAnsi="仿宋_GB2312" w:cs="仿宋_GB2312" w:eastAsia="仿宋_GB2312"/>
              </w:rPr>
              <w:t>依据招标文件的全部内容。</w:t>
            </w:r>
          </w:p>
          <w:p>
            <w:pPr>
              <w:pStyle w:val="null3"/>
            </w:pPr>
            <w:r>
              <w:rPr>
                <w:rFonts w:ascii="仿宋_GB2312" w:hAnsi="仿宋_GB2312" w:cs="仿宋_GB2312" w:eastAsia="仿宋_GB2312"/>
              </w:rPr>
              <w:t>三、编制依据</w:t>
            </w:r>
          </w:p>
          <w:p>
            <w:pPr>
              <w:pStyle w:val="null3"/>
              <w:ind w:firstLine="560"/>
            </w:pPr>
            <w:r>
              <w:rPr>
                <w:rFonts w:ascii="仿宋_GB2312" w:hAnsi="仿宋_GB2312" w:cs="仿宋_GB2312" w:eastAsia="仿宋_GB2312"/>
              </w:rPr>
              <w:t>陕西省工程建设标准《建设工程工程量清单计价标准》（DB61/T 5126-2025）、《房屋建筑与装饰工程工程量计算标准》（DB61/T 5129-2025）、《通用安装工程工程量计算标准》（DB61/T 5130-2025）、《市政工程工程量计算标准》（DB61/T 5128-2025）、《园林绿化工程工程量计算标准》（DB61/T 5131-2025）、《陕西省建设工程费用规则》（2025）、《陕西省建设工程施工机械台班费用定额》（2025）、《陕西省建设工程施工仪器仪表台班费用定额》（2025）、《陕西省房屋建筑与装饰工程消耗量定额》（2025）、《陕西省通用安装工程消耗量定额》（2025）、《陕西省市政工程消耗量定额》（2025）、《陕西省园林绿化工程消耗量定额》（2025）、《陕西省房屋建筑与装饰工程基价表》（2025）、《陕西省通用安装工程基价表》（2025）、《陕西省市政工程基价表》（2025）、《陕西省园林绿化工程基价表》（2025）及其他相关文件。</w:t>
            </w:r>
          </w:p>
          <w:p>
            <w:pPr>
              <w:pStyle w:val="null3"/>
            </w:pPr>
            <w:r>
              <w:rPr>
                <w:rFonts w:ascii="仿宋_GB2312" w:hAnsi="仿宋_GB2312" w:cs="仿宋_GB2312" w:eastAsia="仿宋_GB2312"/>
              </w:rPr>
              <w:t>四、有关说明</w:t>
            </w:r>
          </w:p>
          <w:p>
            <w:pPr>
              <w:pStyle w:val="null3"/>
            </w:pPr>
            <w:r>
              <w:rPr>
                <w:rFonts w:ascii="仿宋_GB2312" w:hAnsi="仿宋_GB2312" w:cs="仿宋_GB2312" w:eastAsia="仿宋_GB2312"/>
              </w:rPr>
              <w:t>1、广联达版本：7.5000.23.1。</w:t>
            </w:r>
          </w:p>
          <w:p>
            <w:pPr>
              <w:pStyle w:val="null3"/>
            </w:pPr>
            <w:r>
              <w:rPr>
                <w:rFonts w:ascii="仿宋_GB2312" w:hAnsi="仿宋_GB2312" w:cs="仿宋_GB2312" w:eastAsia="仿宋_GB2312"/>
              </w:rPr>
              <w:t>2、本工程造价咨询服务费7,000.00元，计入其他项目费中。</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本项目</w:t>
            </w:r>
            <w:r>
              <w:rPr>
                <w:rFonts w:ascii="仿宋_GB2312" w:hAnsi="仿宋_GB2312" w:cs="仿宋_GB2312" w:eastAsia="仿宋_GB2312"/>
              </w:rPr>
              <w:t>最高限价编制费</w:t>
            </w:r>
            <w:r>
              <w:rPr>
                <w:rFonts w:ascii="仿宋_GB2312" w:hAnsi="仿宋_GB2312" w:cs="仿宋_GB2312" w:eastAsia="仿宋_GB2312"/>
              </w:rPr>
              <w:t>以及</w:t>
            </w:r>
            <w:r>
              <w:rPr>
                <w:rFonts w:ascii="仿宋_GB2312" w:hAnsi="仿宋_GB2312" w:cs="仿宋_GB2312" w:eastAsia="仿宋_GB2312"/>
              </w:rPr>
              <w:t>后期结算时产生的结算审计费由成交供应商承担，采购人不进行支付，成交供应商报价时应</w:t>
            </w:r>
            <w:r>
              <w:rPr>
                <w:rFonts w:ascii="仿宋_GB2312" w:hAnsi="仿宋_GB2312" w:cs="仿宋_GB2312" w:eastAsia="仿宋_GB2312"/>
              </w:rPr>
              <w:t>考虑最高限价编制费，最终工程审计结算费用（送审价</w:t>
            </w:r>
            <w:r>
              <w:rPr>
                <w:rFonts w:ascii="仿宋_GB2312" w:hAnsi="仿宋_GB2312" w:cs="仿宋_GB2312" w:eastAsia="仿宋_GB2312"/>
              </w:rPr>
              <w:t>×</w:t>
            </w:r>
            <w:r>
              <w:rPr>
                <w:rFonts w:ascii="仿宋_GB2312" w:hAnsi="仿宋_GB2312" w:cs="仿宋_GB2312" w:eastAsia="仿宋_GB2312"/>
              </w:rPr>
              <w:t>2.5</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审减×</w:t>
            </w:r>
            <w:r>
              <w:rPr>
                <w:rFonts w:ascii="仿宋_GB2312" w:hAnsi="仿宋_GB2312" w:cs="仿宋_GB2312" w:eastAsia="仿宋_GB2312"/>
              </w:rPr>
              <w:t>5%</w:t>
            </w:r>
            <w:r>
              <w:rPr>
                <w:rFonts w:ascii="仿宋_GB2312" w:hAnsi="仿宋_GB2312" w:cs="仿宋_GB2312" w:eastAsia="仿宋_GB2312"/>
              </w:rPr>
              <w:t>）。</w:t>
            </w:r>
          </w:p>
          <w:p>
            <w:pPr>
              <w:pStyle w:val="null3"/>
              <w:jc w:val="both"/>
            </w:pPr>
            <w:r>
              <w:rPr>
                <w:rFonts w:ascii="仿宋_GB2312" w:hAnsi="仿宋_GB2312" w:cs="仿宋_GB2312" w:eastAsia="仿宋_GB2312"/>
              </w:rPr>
              <w:t>4、计划工期：进场施工之日起</w:t>
            </w:r>
            <w:r>
              <w:rPr>
                <w:rFonts w:ascii="仿宋_GB2312" w:hAnsi="仿宋_GB2312" w:cs="仿宋_GB2312" w:eastAsia="仿宋_GB2312"/>
                <w:u w:val="single"/>
              </w:rPr>
              <w:t xml:space="preserve"> 50</w:t>
            </w:r>
            <w:r>
              <w:rPr>
                <w:rFonts w:ascii="仿宋_GB2312" w:hAnsi="仿宋_GB2312" w:cs="仿宋_GB2312" w:eastAsia="仿宋_GB2312"/>
              </w:rPr>
              <w:t>（日历日）内竣工（具体服务起止日期可随合同签订时间相应顺延）。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（1）供应商务必在开标截止时间30分钟前，通过项目电子化交易系统进行签到，如未进行签到，产生的一切后果由供应商自行承担。 （2）供应商的磋商报价包括施工机械使用费、人工费、材料与设备费、维护费、其他（运杂费、质检费、安装费、缺陷修复 费、保 险费，以及 合同明示或暗示的 风险、责任和义务等），以及管理费、税金、利润、采购代理服务费等所有费用，并符 合建设工程计价规则。 （3）签名是指手写签名或者加盖签名章，盖章是指加盖单位印章。 （4）采购标的对应的中小企业划分标准所属行业为建筑业。建筑业的划型标准为：营业收入80000万元以下或资产总额80000万元以下的为中小微型企业。其中，营业收入6000 万元及以上，且资产总额5000万元及以上的为中型企业；营业收入300万元及以上，且资产总额300万元及以上的为小型企 业；营业收入300万元以下或资产总额300万元以下的为微型企业。 （5）需要落实的政府采购政策：1）、《国务院办公 厅关于建立政府强制采购节能产品制度的通知》（国办发〔2007〕51号）；2）、《财政部 司法部关于政府采购支持监狱 企业发展有关问题的通知》（财库〔2014〕68号）；3）、《三部门联合发布关于促进残疾人就业政府采购政策的通知》 （财库〔2017〕141号）；4）、《财政部 发展改革委 生态环境部 市场监管总局关于调整优化节能产品、环境标志产品政 府采购执行机制的通知》（财库〔2019〕9号）；5）、《关于运用政府采购政策支持乡村产业振兴的通知》（财库 〔2021〕19号）；6）、《政府采购促进中小企业发展管理办法》（财库〔2020〕46号）；7）、陕西省财政厅关于印 发《陕西省中小企业政府采购信用融资办法》（陕财办采〔2018〕23号）；8）、《关于进一步加大政府采购支持中小企 业力度的通知》（财库〔2022〕19号）；9）、《关于扩大政府采购支持绿色建材促进建筑品质提升政策实施范围的通 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投标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信用状况</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供应商具备建设行政主管部门核发的【建筑装修装饰工程专业承包二级】及以上资质，有效的安全生产许可证</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 专业：注册建造师资格 补充说明：有效的安全生产考核合格证，本单位注册且无在建工程项目</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供应商名称与获取竞争性磋商文件登记的单位名称一致</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报价唯一，未超采购预算或最高限价</w:t>
            </w:r>
          </w:p>
        </w:tc>
        <w:tc>
          <w:tcPr>
            <w:tcW w:type="dxa" w:w="1661"/>
          </w:tcPr>
          <w:p>
            <w:pPr>
              <w:pStyle w:val="null3"/>
            </w:pPr>
            <w:r>
              <w:rPr>
                <w:rFonts w:ascii="仿宋_GB2312" w:hAnsi="仿宋_GB2312" w:cs="仿宋_GB2312" w:eastAsia="仿宋_GB2312"/>
              </w:rPr>
              <w:t>已标价工程量清单 技术商务偏离表及技术响应部分.docx 法定代表人证明及授权委托书.docx 中小企业声明函 资格证明文件.docx 响应文件封面 残疾人福利性单位声明函 报价函 磋商函及磋商第一次报价表.docx 标的清单 其他资料.docx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方案专门针对本项目编制，符合项目实际情况及实施要求，内容详尽且涵盖角度全面，合理性和可行性强，能够保障项目顺利实施的，得7分; 方案能够针对本项目编制，符合项目实际情况及实施要求，内容详尽且涵盖角度基本全面，有一定的合理性和可行性的，得5分; 方案基本能够针对本项目编制，基本符合项目实际情况及实施要求，内容较宽泛，涵盖角度不够全面，内容基本合理可行的，得3分; 具有方案内容但内容未贴合本项目，内容涵盖角度不够全面且实施有难度的，得2分; 具有方案内容但内容未针对本项目，内容空洞宽泛，基本不具有可实施性，得1分；未提供措施内容不得分。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安装设备方案</w:t>
            </w:r>
          </w:p>
        </w:tc>
        <w:tc>
          <w:tcPr>
            <w:tcW w:type="dxa" w:w="2492"/>
          </w:tcPr>
          <w:p>
            <w:pPr>
              <w:pStyle w:val="null3"/>
            </w:pPr>
            <w:r>
              <w:rPr>
                <w:rFonts w:ascii="仿宋_GB2312" w:hAnsi="仿宋_GB2312" w:cs="仿宋_GB2312" w:eastAsia="仿宋_GB2312"/>
              </w:rPr>
              <w:t>根据①设备来源渠道正常；②设备配置满足采购人要求、选型合理；③供货、配送、安装实施方案； 每个单项内容详细完整、方案合理、针对性强，得5分； 每个单项内容基本完整、方案基本合理、有一定针对性，得3分； 每个单项内容不完整、方案合理性、针对性均不强得1分；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措施内容专门针对本项目编制，符合项目实际情况及实施要求，内容详尽且涵盖角度全面，合理性和可行性强，能够保障项目顺利实施的，得7分; 措施内容能够针对本项目编制，符合项目实际情况及实施要求，内容详尽且涵盖角度基本全面，有一定的合理性和可行性的，得5分; 措施内容基本能够针对本项目编制，基本符合项目实际情况及实施要求，内容较详细，涵盖角度较全面，基本合理可行的，得3分; 具有措施内容但措施内容未贴合本项目，措施内容涵盖角度不全面且实施有难度的，得2分；具有措施内容但内容未针对本项目，内容空洞宽泛，可实施性不强，得1分；未提供措施内容不得分。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确保环境保护措施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措施内容专门针对本项目编制，符合项目实际情况及实施要求，内容详尽且涵盖角度全面，合理性和可行性强，能够保障项目顺利实施的，得7分; 措施内容能够针对本项目编制，符合项目实际情况及实施要求，内容详尽且涵盖角度基本全面，有一定的合理性和可行性的，得5分;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措施内容专门针对本项目编制，符合项目实际情况及实施要求，内容详尽且涵盖角度全面，合理性和可行性强，能够保障项目顺利实施的，得7分; 措施内容能够针对本项目编制，符合项目实际情况及实施要求，内容详尽且涵盖角度基本全面，有一定的合理性和可行性的，得5分;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措施内容专门针对本项目编制，符合项目实际情况及实施要求，内容详尽且涵盖角度全面，合理性和可行性强，能够保障项目顺利实施的，得7分; 措施内容能够针对本项目编制，符合项目实际情况及实施要求，内容详尽且涵盖角度基本全面，有一定的合理性和可行性的，得5分;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措施内容专门针对本项目编制，符合项目实际情况及实施要求，内容详尽且涵盖角度全面，合理性和可行性强，能够保障项目顺利实施的，得7分; 措施内容能够针对本项目编制，符合项目实际情况及实施要求，内容详尽且涵盖角度基本全面，有一定的合理性和可行性的，得5分;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项目部拟派人员</w:t>
            </w:r>
          </w:p>
        </w:tc>
        <w:tc>
          <w:tcPr>
            <w:tcW w:type="dxa" w:w="2492"/>
          </w:tcPr>
          <w:p>
            <w:pPr>
              <w:pStyle w:val="null3"/>
            </w:pPr>
            <w:r>
              <w:rPr>
                <w:rFonts w:ascii="仿宋_GB2312" w:hAnsi="仿宋_GB2312" w:cs="仿宋_GB2312" w:eastAsia="仿宋_GB2312"/>
              </w:rPr>
              <w:t>项目部拟派人员组织机构科学合理、人员表配置充足，有详细的人员配置清单，针对性强，能够很好的满足项目需求，得7分；项目部组成基本合理、人员表配置基本齐全，具有人员配置清单，有一定的针对性，能够满足项目需求，得5分；提供项目部组成情况，配置基本合理但组成不全面得3分；项目部组成人员配置缺乏合理性，无人员配置清单，得2分； 项目部组成内容简单笼统得1分；未提供项目部组成不得分。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施工设备配备</w:t>
            </w:r>
          </w:p>
        </w:tc>
        <w:tc>
          <w:tcPr>
            <w:tcW w:type="dxa" w:w="2492"/>
          </w:tcPr>
          <w:p>
            <w:pPr>
              <w:pStyle w:val="null3"/>
            </w:pPr>
            <w:r>
              <w:rPr>
                <w:rFonts w:ascii="仿宋_GB2312" w:hAnsi="仿宋_GB2312" w:cs="仿宋_GB2312" w:eastAsia="仿宋_GB2312"/>
              </w:rPr>
              <w:t>施工设备配备根据各供应商对本项目配置的施工机械及工器具的配备 情况，机械、设备工具数量及条件 搭配。 机械、设备工具数量及条件 搭配科学、合理完全满足需求得7分；机械、设备工具数量及条件搭配基本科学、合理得5分；机械、设备工具数量满足但搭配不合理得3分；机械、设备工具搭配合理但数量不足得2分；机械、设备工具数量及条件搭配不合理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应急保障措施的可行性</w:t>
            </w:r>
          </w:p>
        </w:tc>
        <w:tc>
          <w:tcPr>
            <w:tcW w:type="dxa" w:w="2492"/>
          </w:tcPr>
          <w:p>
            <w:pPr>
              <w:pStyle w:val="null3"/>
            </w:pPr>
            <w:r>
              <w:rPr>
                <w:rFonts w:ascii="仿宋_GB2312" w:hAnsi="仿宋_GB2312" w:cs="仿宋_GB2312" w:eastAsia="仿宋_GB2312"/>
              </w:rPr>
              <w:t>根据供应商针对突发事件应急保障措施的可行性（包含恶劣天气影响、自然灾害等特殊情况制定应急处置方案等）。 应急保障措施详尽、内容详尽且涵盖角度全面，合理性和可行性强，保障充分，得7分; 应急保障措施能够针对本项目编制，符合项目实际情况及实施要求，内容详尽且涵盖角度基本全面，有一定的合理性和可行性的，得5分；应急保障措施内容基本能够针对本项目编制，基本符合项目实际情况及实施要求，内容较详细，涵盖角度较全面，基本合理可行的，得3分; 具有应急保障措施内容但内容未贴合本项目，应急保障措施内容涵盖角度不全面且实施有难度的，得2分; 具有应急保障措施内容但内容未针对本项目，内容空洞宽泛，可实施性不强，得1分；未提供措施内容不得分。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项目完工后的维修服务及保修承诺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承诺方案专门针对本项目编制，符合项目实际情况及实施要求，内容详尽且涵盖角度全面，合理性和可行性强，保障充分，得7分; 承诺方案能够针对本项目编制，符合项目实际情况及实施要求，内容详尽且涵盖角度基本全面，有一定的合理性和可行性的，得5分；承诺方案内容基本能够针对本项目编制，基本符合项目实际情况及实施要求，内容较详细，涵盖角度较全面，基本合理可行的，得3分; 具有承诺内容但内容未贴合本项目，承诺内容涵盖角度不全面且实施有难度的，得2分; 具有承诺内容但内容未针对本项目，内容空洞宽泛，可实施性不强，得1分；未提供措施内容不得分。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 以来（以合同签订时间为准）类似 建筑工 程项目业绩，每提供1份得 2.5分，满分5分。 注：须提供合同 （协议），以 合同（协议）签订时 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 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磋商函及磋商第一次报价表.docx</w:t>
            </w:r>
          </w:p>
          <w:p>
            <w:pPr>
              <w:pStyle w:val="null3"/>
            </w:pPr>
            <w:r>
              <w:rPr>
                <w:rFonts w:ascii="仿宋_GB2312" w:hAnsi="仿宋_GB2312" w:cs="仿宋_GB2312" w:eastAsia="仿宋_GB2312"/>
              </w:rPr>
              <w:t>法定代表人证明及授权委托书.docx</w:t>
            </w:r>
          </w:p>
          <w:p>
            <w:pPr>
              <w:pStyle w:val="null3"/>
            </w:pPr>
            <w:r>
              <w:rPr>
                <w:rFonts w:ascii="仿宋_GB2312" w:hAnsi="仿宋_GB2312" w:cs="仿宋_GB2312" w:eastAsia="仿宋_GB2312"/>
              </w:rPr>
              <w:t>技术商务偏离表及技术响应部分.docx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其他资料.docx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详见附件：磋商函及磋商第一次报价表.docx</w:t>
      </w:r>
    </w:p>
    <w:p>
      <w:pPr>
        <w:pStyle w:val="null3"/>
        <w:ind w:firstLine="960"/>
      </w:pPr>
      <w:r>
        <w:rPr>
          <w:rFonts w:ascii="仿宋_GB2312" w:hAnsi="仿宋_GB2312" w:cs="仿宋_GB2312" w:eastAsia="仿宋_GB2312"/>
        </w:rPr>
        <w:t>详见附件：法定代表人证明及授权委托书.docx</w:t>
      </w:r>
    </w:p>
    <w:p>
      <w:pPr>
        <w:pStyle w:val="null3"/>
        <w:ind w:firstLine="960"/>
      </w:pPr>
      <w:r>
        <w:rPr>
          <w:rFonts w:ascii="仿宋_GB2312" w:hAnsi="仿宋_GB2312" w:cs="仿宋_GB2312" w:eastAsia="仿宋_GB2312"/>
        </w:rPr>
        <w:t>详见附件：技术商务偏离表及技术响应部分.docx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