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版本号：SXHC2025-07420250812001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陕西省服务国家战略交通运输保障方案项目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SXHC2025-074</w:t>
      </w:r>
      <w:r>
        <w:br/>
      </w:r>
      <w:r>
        <w:br/>
      </w:r>
      <w:r>
        <w:br/>
      </w:r>
    </w:p>
    <w:p>
      <w:pPr>
        <w:pStyle w:val="null3"/>
        <w:jc w:val="center"/>
        <w:outlineLvl w:val="2"/>
      </w:pPr>
      <w:r>
        <w:rPr>
          <w:rFonts w:ascii="仿宋_GB2312" w:hAnsi="仿宋_GB2312" w:cs="仿宋_GB2312" w:eastAsia="仿宋_GB2312"/>
          <w:sz w:val="28"/>
          <w:b/>
        </w:rPr>
        <w:t>陕西省交通运输厅机关</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陕西省交通运输厅机关</w:t>
      </w:r>
      <w:r>
        <w:rPr>
          <w:rFonts w:ascii="仿宋_GB2312" w:hAnsi="仿宋_GB2312" w:cs="仿宋_GB2312" w:eastAsia="仿宋_GB2312"/>
        </w:rPr>
        <w:t>委托，拟对</w:t>
      </w:r>
      <w:r>
        <w:rPr>
          <w:rFonts w:ascii="仿宋_GB2312" w:hAnsi="仿宋_GB2312" w:cs="仿宋_GB2312" w:eastAsia="仿宋_GB2312"/>
        </w:rPr>
        <w:t>陕西省服务国家战略交通运输保障方案项目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SXHC2025-074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陕西省服务国家战略交通运输保障方案项目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国家相关政策及陕西省在国家战略中的定位要求，依据共建“一带一路”、新时代西部大开发、黄河流域生态保护和高质量发展、西部陆海新通道、西安都市圈及关中平原城市群建设等国家战略，组织编制《陕西省服务国家战略交通运输保障方案》，全面分析陕西省综合交通运输发展现状，提出服务国家战略的指导思想、基本原则、战略目标、具体指标及发展任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p>
      <w:pPr>
        <w:pStyle w:val="null3"/>
      </w:pPr>
      <w:r>
        <w:rPr>
          <w:rFonts w:ascii="仿宋_GB2312" w:hAnsi="仿宋_GB2312" w:cs="仿宋_GB2312" w:eastAsia="仿宋_GB2312"/>
        </w:rPr>
        <w:t>2、法定代表人身份证明或法定代表人授权委托书：法定代表人直接参加投标的，须提供法定代表人身份证明；法定代表人授权代表参加投标的，须提供法定代表人授权委托书。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3、依法缴纳税收和社会保障资金：提供开标截止时间前6个月内任意时段已缴纳的纳税证明或完税证明和已缴存的社会保障资金缴费证明或参保证明。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4、履行本合同所必需的设备和专业技术能力：提供具有履行本合同所必需的设备和专业技术能力的书面声明。</w:t>
      </w:r>
    </w:p>
    <w:p>
      <w:pPr>
        <w:pStyle w:val="null3"/>
      </w:pPr>
      <w:r>
        <w:rPr>
          <w:rFonts w:ascii="仿宋_GB2312" w:hAnsi="仿宋_GB2312" w:cs="仿宋_GB2312" w:eastAsia="仿宋_GB2312"/>
        </w:rPr>
        <w:t>5、无重大违法记录书面声明：提供参加政府采购活动前3年内在经营活动中没有重大违法记录的书面声明。</w:t>
      </w:r>
    </w:p>
    <w:p>
      <w:pPr>
        <w:pStyle w:val="null3"/>
      </w:pPr>
      <w:r>
        <w:rPr>
          <w:rFonts w:ascii="仿宋_GB2312" w:hAnsi="仿宋_GB2312" w:cs="仿宋_GB2312" w:eastAsia="仿宋_GB2312"/>
        </w:rPr>
        <w:t>6、信誉要求：供应商未列入“失信被执行人”、“重大税收违法案件当事人名单”和“政府采购严重违法失信行为记录名单”。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陕西省交通运输厅机关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陕西省西安市雁塔区唐延路6号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029-88869050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西安高新区锦业路1号绿地领海大厦B座10楼1006室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潘聪、张聪聪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开户名称：陕西华采招标有限公司</w:t>
            </w:r>
          </w:p>
          <w:p>
            <w:pPr>
              <w:pStyle w:val="null3"/>
            </w:pPr>
            <w:r>
              <w:rPr>
                <w:rFonts w:ascii="仿宋_GB2312" w:hAnsi="仿宋_GB2312" w:cs="仿宋_GB2312" w:eastAsia="仿宋_GB2312"/>
              </w:rPr>
              <w:t>开户银行：交通银行陕西自贸试验区西安锦业路支行</w:t>
            </w:r>
          </w:p>
          <w:p>
            <w:pPr>
              <w:pStyle w:val="null3"/>
            </w:pPr>
            <w:r>
              <w:rPr>
                <w:rFonts w:ascii="仿宋_GB2312" w:hAnsi="仿宋_GB2312" w:cs="仿宋_GB2312" w:eastAsia="仿宋_GB2312"/>
              </w:rPr>
              <w:t>银行账号：611301132018010166661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代理服务费收费标准：参照《国家计委关于印发〈招标代理服务收费管理暂行办法〉的通知》（计价格〔2002〕1980号）规定标准的90%收取。 代理服务费缴纳信息如下： 银行户名：陕西华采招标有限公司 开户行名称：招商银行陕西自贸试验区西安高新科技支行 行 号：308791011305 账 号：129905942210666 联 系 人：韩工 联系电话：029-68255920-802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陕西省交通运输厅机关</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陕西省交通运输厅机关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陕西省交通运输厅机关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联系电话：029-68255920-806</w:t>
      </w:r>
    </w:p>
    <w:p>
      <w:pPr>
        <w:pStyle w:val="null3"/>
      </w:pPr>
      <w:r>
        <w:rPr>
          <w:rFonts w:ascii="仿宋_GB2312" w:hAnsi="仿宋_GB2312" w:cs="仿宋_GB2312" w:eastAsia="仿宋_GB2312"/>
        </w:rPr>
        <w:t>地址：西安高新区锦业路1号绿地领海大厦B座10楼1006室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国家相关政策及陕西省在国家战略中的定位要求，依据共建“一带一路”、新时代西部大开发、黄河流域生态保护和高质量发展、西部陆海新通道、西安都市圈及关中平原城市群建设等国家战略，组织编制《陕西省服务国家战略交通运输保障方案》，全面分析陕西省综合交通运输发展现状，提出服务国家战略的指导思想、基本原则、战略目标、具体指标及发展任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陕西省服务国家战略交通运输保障方案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标的名称：陕西省服务国家战略交通运输保障方案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pPr>
            <w:r>
              <w:rPr>
                <w:rFonts w:ascii="仿宋_GB2312" w:hAnsi="仿宋_GB2312" w:cs="仿宋_GB2312" w:eastAsia="仿宋_GB2312"/>
                <w:b/>
              </w:rPr>
              <w:t>一、项目概况</w:t>
            </w:r>
          </w:p>
          <w:p>
            <w:pPr>
              <w:pStyle w:val="null3"/>
              <w:ind w:firstLine="560"/>
            </w:pPr>
            <w:r>
              <w:rPr>
                <w:rFonts w:ascii="仿宋_GB2312" w:hAnsi="仿宋_GB2312" w:cs="仿宋_GB2312" w:eastAsia="仿宋_GB2312"/>
              </w:rPr>
              <w:t>按照国家相关政策及陕西省在国家战略中的定位要求，依据共建“一带一路”、新时代西部大开发、黄河流域生态保护和高质量发展、西部陆海新通道、西安都市圈及关中平原城市群建设等国家战略，组织编制《陕西省服务国家战略交通运输保障方案》，全面分析陕西省综合交通运输发展现状，提出服务国家战略的指导思想、基本原则、战略目标、具体指标及发展任务。</w:t>
            </w:r>
          </w:p>
          <w:p>
            <w:pPr>
              <w:pStyle w:val="null3"/>
              <w:ind w:firstLine="562"/>
            </w:pPr>
            <w:r>
              <w:rPr>
                <w:rFonts w:ascii="仿宋_GB2312" w:hAnsi="仿宋_GB2312" w:cs="仿宋_GB2312" w:eastAsia="仿宋_GB2312"/>
                <w:b/>
              </w:rPr>
              <w:t>二、服务内容及要求</w:t>
            </w:r>
          </w:p>
          <w:p>
            <w:pPr>
              <w:pStyle w:val="null3"/>
              <w:ind w:firstLine="560"/>
            </w:pPr>
            <w:r>
              <w:rPr>
                <w:rFonts w:ascii="仿宋_GB2312" w:hAnsi="仿宋_GB2312" w:cs="仿宋_GB2312" w:eastAsia="仿宋_GB2312"/>
              </w:rPr>
              <w:t>（一）根据国家相关政策及陕西省在国家战略中的定位，全面分析陕西在共建“一带一路”、新时代西部大开发、黄河流域生态保护和高质量发展、西部陆海新通道、西安都市圈及关中平原城市群建设等国家战略中的功能定位，剖析综合交通运输发展面临的机遇与挑战。</w:t>
            </w:r>
          </w:p>
          <w:p>
            <w:pPr>
              <w:pStyle w:val="null3"/>
              <w:ind w:firstLine="560"/>
            </w:pPr>
            <w:r>
              <w:rPr>
                <w:rFonts w:ascii="仿宋_GB2312" w:hAnsi="仿宋_GB2312" w:cs="仿宋_GB2312" w:eastAsia="仿宋_GB2312"/>
              </w:rPr>
              <w:t>（二）围绕交通运输更好服务国家战略，总结陕西省综合交通运输发展成效，分析发展短板、薄弱环节、突出问题及制约因素，并提出交通运输更好服务国家战略的指导思想、基本原则、战略目标及具体指标。</w:t>
            </w:r>
          </w:p>
          <w:p>
            <w:pPr>
              <w:pStyle w:val="null3"/>
              <w:ind w:firstLine="560"/>
            </w:pPr>
            <w:r>
              <w:rPr>
                <w:rFonts w:ascii="仿宋_GB2312" w:hAnsi="仿宋_GB2312" w:cs="仿宋_GB2312" w:eastAsia="仿宋_GB2312"/>
              </w:rPr>
              <w:t>（三）结合发展目标，从补强重点方向通道、提升交通网络覆盖、提高综合运输服务效率、加强运输投送保障、提升抢修抢通水平等方面，提出具体发展任务、工作重点及项目清单，形成完整的《陕西省服务国家战略交通运输保障方案》。</w:t>
            </w:r>
          </w:p>
          <w:p>
            <w:pPr>
              <w:pStyle w:val="null3"/>
              <w:ind w:firstLine="560"/>
            </w:pPr>
            <w:r>
              <w:rPr>
                <w:rFonts w:ascii="仿宋_GB2312" w:hAnsi="仿宋_GB2312" w:cs="仿宋_GB2312" w:eastAsia="仿宋_GB2312"/>
              </w:rPr>
              <w:t>（四）配合采购人完成与方案编制相关的各类临时性工作，包括但不限于参与方案评审会议、根据评审意见修改完善方案、提供相关技术咨询及补充材料。</w:t>
            </w:r>
          </w:p>
          <w:p>
            <w:pPr>
              <w:pStyle w:val="null3"/>
              <w:ind w:firstLine="562"/>
            </w:pPr>
            <w:r>
              <w:rPr>
                <w:rFonts w:ascii="仿宋_GB2312" w:hAnsi="仿宋_GB2312" w:cs="仿宋_GB2312" w:eastAsia="仿宋_GB2312"/>
                <w:b/>
              </w:rPr>
              <w:t>三、商务要求</w:t>
            </w:r>
          </w:p>
          <w:p>
            <w:pPr>
              <w:pStyle w:val="null3"/>
              <w:ind w:firstLine="560"/>
            </w:pPr>
            <w:r>
              <w:rPr>
                <w:rFonts w:ascii="仿宋_GB2312" w:hAnsi="仿宋_GB2312" w:cs="仿宋_GB2312" w:eastAsia="仿宋_GB2312"/>
              </w:rPr>
              <w:t>（一）服务期：自合同签订之日起一年。</w:t>
            </w:r>
          </w:p>
          <w:p>
            <w:pPr>
              <w:pStyle w:val="null3"/>
            </w:pPr>
            <w:r>
              <w:rPr>
                <w:rFonts w:ascii="仿宋_GB2312" w:hAnsi="仿宋_GB2312" w:cs="仿宋_GB2312" w:eastAsia="仿宋_GB2312"/>
                <w:color w:val="000000"/>
              </w:rPr>
              <w:t xml:space="preserve">    （二）服务地点：陕西省交通运输厅，具体以采购人指定地点为准。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陕西省交通运输厅，具体以采购人指定地点为准。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经采购人验收合格后，确定项目完成，验收标准符合国家有关规定、规范。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本合同自生效之日起，成交供应商向采购人提供同等金额的专票后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其他未列明行业（根据《中小企业划型标准规定》（工信部联企业〔2011〕300号），其他未列明行业划分标准为“从业人员300人以下的为中小微型企业。其中，从业人员100人及以上的为中型企业；从业人员10人及以上的为小型企业；从业人员10人以下的为微型企业”）。（2）因系统格式设置无法调整，合同付款支付要求以第八章“拟签订采购合同文本”中体现的内容为准。（3）成交供应商在领取成交通知书前，须向采购代理机构提供纸质版响应文件3套（一正两副），且提供的响应文件必须与在陕西省政府采购综合管理平台的项目电子化交易系统中递交的电子响应文件内容一致，纸质版响应文件必须装订成册签字盖章。（4）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提供具有审计资质单位出具的2024年度经审计的财务报告，成立时间至提交响应文件截止时间不足一年的可提供成立后任意时段的资产负债表），或其开标前六个月内基本开户银行出具的资信证明，或信用担保机构出具的投标担保函（以上三种形式的资料提供任何一种即可）。分支机构参与投标时，须另提供总公司授权或出具总公司的有关文件或制度等能够证明总公司授权其独立开展业务的证明，但其民事责任由其总公司承担。基本资格条件中可以提供总公司或分支机构经审计的财务报告。（以上内容响应文件中提供复印件或扫描件并进行电子签章。</w:t>
            </w:r>
          </w:p>
        </w:tc>
        <w:tc>
          <w:tcPr>
            <w:tcW w:type="dxa" w:w="1661"/>
          </w:tcPr>
          <w:p>
            <w:pPr>
              <w:pStyle w:val="null3"/>
            </w:pPr>
            <w:r>
              <w:rPr>
                <w:rFonts w:ascii="仿宋_GB2312" w:hAnsi="仿宋_GB2312" w:cs="仿宋_GB2312" w:eastAsia="仿宋_GB2312"/>
              </w:rPr>
              <w:t>健全的财务会计制度的证明材料.docx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依法缴纳税收和社会保障资金.docx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履行本合同所必需的设备和专业技术能力.docx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无重大违法记录书面声明.docx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1、投标报价唯一；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自提交响应文件的截止之日起不少于90个日历日。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合同主要条款响应偏离表.docx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项目理解及分析</w:t>
            </w:r>
          </w:p>
        </w:tc>
        <w:tc>
          <w:tcPr>
            <w:tcW w:type="dxa" w:w="2492"/>
          </w:tcPr>
          <w:p>
            <w:pPr>
              <w:pStyle w:val="null3"/>
            </w:pPr>
            <w:r>
              <w:rPr>
                <w:rFonts w:ascii="仿宋_GB2312" w:hAnsi="仿宋_GB2312" w:cs="仿宋_GB2312" w:eastAsia="仿宋_GB2312"/>
              </w:rPr>
              <w:t>内容至少包括①项目背景调查及解读；②总体工作思路；③国家重大战略、重大政策及陕西定位分析等。 评审标准：项目理解及分析各部分内容全面详细、阐述条理清晰详尽、符合本项目采购需求得9分，每缺一项内容扣3分，评审内容有瑕疵的根据情况扣分，扣完为止。 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重点、难点分析及解决措施</w:t>
            </w:r>
          </w:p>
        </w:tc>
        <w:tc>
          <w:tcPr>
            <w:tcW w:type="dxa" w:w="2492"/>
          </w:tcPr>
          <w:p>
            <w:pPr>
              <w:pStyle w:val="null3"/>
            </w:pPr>
            <w:r>
              <w:rPr>
                <w:rFonts w:ascii="仿宋_GB2312" w:hAnsi="仿宋_GB2312" w:cs="仿宋_GB2312" w:eastAsia="仿宋_GB2312"/>
              </w:rPr>
              <w:t>内容至少包括①重、难点分析；②风险点分析；③解决措施等。 评审标准：重点、难点分析及解决措施各部分内容全面详细、阐述条理清晰详尽、符合本项目采购需求得9分，每缺一项内容扣3分，评审内容有瑕疵的根据情况扣分，扣完为止。 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内容至少包括①重点方向通道；②交通网络覆盖；③综合运输服务效率；④运输投送保障；⑤抢修抢通水平等。 评审标准：服务方案内容各部分内容全面详细、阐述条理清晰详尽、符合本项目采购需求得20分，每缺一项内容扣4分，评审内容有瑕疵的根据情况扣分，扣完为止。 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内容至少包括①工作计划安排及过程中实施保障措施（包含但不限于人员保障措施，时效保障措施等）；②质量保障措施；③风险管理措施；④后续服务保障等。 评审标准：服务保障措施各部分内容全面详细、阐述条理清晰详尽、符合本项目采购需求得16分，每缺一项内容扣4分，评审内容有瑕疵的根据情况扣分，扣完为止。 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拟投入的团队人员配备方案</w:t>
            </w:r>
          </w:p>
        </w:tc>
        <w:tc>
          <w:tcPr>
            <w:tcW w:type="dxa" w:w="2492"/>
          </w:tcPr>
          <w:p>
            <w:pPr>
              <w:pStyle w:val="null3"/>
            </w:pPr>
            <w:r>
              <w:rPr>
                <w:rFonts w:ascii="仿宋_GB2312" w:hAnsi="仿宋_GB2312" w:cs="仿宋_GB2312" w:eastAsia="仿宋_GB2312"/>
              </w:rPr>
              <w:t>内容至少包括①项目实施服务团队组织方案；②团队人员配备清单；③岗位工作职责及管理制度；④团队人员考核制度等。 评审标准：拟投入的团队人员配备方案各部分内容全面详细、阐述条理清晰详尽、符合本项目采购需求得12分，每缺一项内容扣3分，评审内容有瑕疵的根据情况扣分，扣完为止。 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保密方案及档案管理</w:t>
            </w:r>
          </w:p>
        </w:tc>
        <w:tc>
          <w:tcPr>
            <w:tcW w:type="dxa" w:w="2492"/>
          </w:tcPr>
          <w:p>
            <w:pPr>
              <w:pStyle w:val="null3"/>
            </w:pPr>
            <w:r>
              <w:rPr>
                <w:rFonts w:ascii="仿宋_GB2312" w:hAnsi="仿宋_GB2312" w:cs="仿宋_GB2312" w:eastAsia="仿宋_GB2312"/>
              </w:rPr>
              <w:t>内容至少包括①保密管理制度及保密承诺；②数据和信息安全保密措施；③档案管理措施等。 评审标准：保密方案及档案管理各部分内容全面详细、阐述条理清晰详尽、符合本项目采购需求得9分，每缺一项内容扣3分，评审内容有瑕疵的根据情况扣分，扣完为止。 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供应商提供2022年06月01日至今（以合同签订时间为准）的类似项目业绩，每提供一份得3分，满分15分。 注：响应文件中提供合同复印件加盖供应商公章。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满足磋商文件内容及技术要求且最后磋商报价最低的价格为评审基准价，其价格分为满分。 其他供应商的价格分统一按照下列公式计算：磋商报价得分=（评审基准价／最后磋商报价）×价格权值×100。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费用组成明细表.docx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详见附件：健全的财务会计制度的证明材料.docx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详见附件：依法缴纳税收和社会保障资金.docx</w:t>
      </w:r>
    </w:p>
    <w:p>
      <w:pPr>
        <w:pStyle w:val="null3"/>
        <w:ind w:firstLine="960"/>
      </w:pPr>
      <w:r>
        <w:rPr>
          <w:rFonts w:ascii="仿宋_GB2312" w:hAnsi="仿宋_GB2312" w:cs="仿宋_GB2312" w:eastAsia="仿宋_GB2312"/>
        </w:rPr>
        <w:t>详见附件：履行本合同所必需的设备和专业技术能力.docx</w:t>
      </w:r>
    </w:p>
    <w:p>
      <w:pPr>
        <w:pStyle w:val="null3"/>
        <w:ind w:firstLine="960"/>
      </w:pPr>
      <w:r>
        <w:rPr>
          <w:rFonts w:ascii="仿宋_GB2312" w:hAnsi="仿宋_GB2312" w:cs="仿宋_GB2312" w:eastAsia="仿宋_GB2312"/>
        </w:rPr>
        <w:t>详见附件：无重大违法记录书面声明.docx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详见附件：合同主要条款响应偏离表.docx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详见附件：业绩的有关证明材料.docx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