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版本号：【KRDL】K1-250406820250829002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礼堂网架、风雨操场排架加固及水塔维修改造项目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【KRDL】K1-2504068</w:t>
      </w:r>
      <w:r>
        <w:br/>
      </w:r>
      <w:r>
        <w:br/>
      </w:r>
      <w:r>
        <w:br/>
      </w:r>
    </w:p>
    <w:p>
      <w:pPr>
        <w:pStyle w:val="null3"/>
        <w:jc w:val="center"/>
        <w:outlineLvl w:val="2"/>
      </w:pPr>
      <w:r>
        <w:rPr>
          <w:rFonts w:ascii="仿宋_GB2312" w:hAnsi="仿宋_GB2312" w:cs="仿宋_GB2312" w:eastAsia="仿宋_GB2312"/>
          <w:sz w:val="28"/>
          <w:b/>
        </w:rPr>
        <w:t>陕西财经职业技术学院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陕西财经职业技术学院</w:t>
      </w:r>
      <w:r>
        <w:rPr>
          <w:rFonts w:ascii="仿宋_GB2312" w:hAnsi="仿宋_GB2312" w:cs="仿宋_GB2312" w:eastAsia="仿宋_GB2312"/>
        </w:rPr>
        <w:t>委托，拟对</w:t>
      </w:r>
      <w:r>
        <w:rPr>
          <w:rFonts w:ascii="仿宋_GB2312" w:hAnsi="仿宋_GB2312" w:cs="仿宋_GB2312" w:eastAsia="仿宋_GB2312"/>
        </w:rPr>
        <w:t>礼堂网架、风雨操场排架加固及水塔维修改造项目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【KRDL】K1-2504068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礼堂网架、风雨操场排架加固及水塔维修改造项目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本工程为陕西财经职业技术学院加固工程，主要工程内容包括：风雨操场结构加固、食堂兼礼堂网架结构加固、水塔维修加固、装饰装修工程等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1、主体资格：投标人为向招标人提供相关工程及服务的法人或其他组织；</w:t>
      </w:r>
    </w:p>
    <w:p>
      <w:pPr>
        <w:pStyle w:val="null3"/>
      </w:pPr>
      <w:r>
        <w:rPr>
          <w:rFonts w:ascii="仿宋_GB2312" w:hAnsi="仿宋_GB2312" w:cs="仿宋_GB2312" w:eastAsia="仿宋_GB2312"/>
        </w:rPr>
        <w:t>2、企业资质及要求：供应商具备建设行政主管部门颁发合法有效的建筑工程施工总承包三级及以上资质，并具备有效的安全生产许可证，且在人员、设备、资金等方面具备相应施工能力。</w:t>
      </w:r>
    </w:p>
    <w:p>
      <w:pPr>
        <w:pStyle w:val="null3"/>
      </w:pPr>
      <w:r>
        <w:rPr>
          <w:rFonts w:ascii="仿宋_GB2312" w:hAnsi="仿宋_GB2312" w:cs="仿宋_GB2312" w:eastAsia="仿宋_GB2312"/>
        </w:rPr>
        <w:t>3、拟派项目经理资格及要求：供应商拟派项目经理具备建筑工程专业二级及以上注册执业资格及有效的安全生产考核合格证，在本单位注册且未担任其他在建工程项目的项目经理</w:t>
      </w:r>
    </w:p>
    <w:p>
      <w:pPr>
        <w:pStyle w:val="null3"/>
      </w:pPr>
      <w:r>
        <w:rPr>
          <w:rFonts w:ascii="仿宋_GB2312" w:hAnsi="仿宋_GB2312" w:cs="仿宋_GB2312" w:eastAsia="仿宋_GB2312"/>
        </w:rPr>
        <w:t>4、信誉要求：截止至响应文件递交截止时间之前，供应商未被“信用中国”网站列入失信被执行人、重大税收违法失信主体名单，未被“中国政府采购网”网站列入政府采购严重违法失信行为记录名单；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5、其他要求：供应商及其拟派项目经理须在“陕西省住房和城乡建设厅”官方网站可查询；如供应商为外省进陕企业，还须同时提供“陕西省住房和城乡建设厅”官网企业库外省进陕施工企业信息首页截图；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6、授权代表：供应商应授权合法的人员参加本项目采购活动全过程</w:t>
      </w:r>
    </w:p>
    <w:p>
      <w:pPr>
        <w:pStyle w:val="null3"/>
      </w:pPr>
      <w:r>
        <w:rPr>
          <w:rFonts w:ascii="仿宋_GB2312" w:hAnsi="仿宋_GB2312" w:cs="仿宋_GB2312" w:eastAsia="仿宋_GB2312"/>
        </w:rPr>
        <w:t>7、是否面向中、小企业采购：本项目为非专门面向中、小企业采购项目；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陕西财经职业技术学院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咸阳市秦都区文林路1号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原老师、党老师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029-33732421、029-33732426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王昭、蔺玉栋、刘昆、张晨、王森、姚瑶、代光艳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029-89569197、18740707410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采购包1：2,620,074.20元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陕西财经职业技术学院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陕西财经职业技术学院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陕西财经职业技术学院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联系电话：18740707410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2,620,074.20</w:t>
      </w:r>
    </w:p>
    <w:p>
      <w:pPr>
        <w:pStyle w:val="null3"/>
      </w:pPr>
      <w:r>
        <w:rPr>
          <w:rFonts w:ascii="仿宋_GB2312" w:hAnsi="仿宋_GB2312" w:cs="仿宋_GB2312" w:eastAsia="仿宋_GB2312"/>
        </w:rPr>
        <w:t>采购包最高限价（元）: 2,620,074.20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2,620,074.20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FF"/>
              </w:rPr>
              <w:t>一、</w:t>
            </w:r>
            <w:r>
              <w:rPr>
                <w:rFonts w:ascii="仿宋_GB2312" w:hAnsi="仿宋_GB2312" w:cs="仿宋_GB2312" w:eastAsia="仿宋_GB2312"/>
                <w:sz w:val="24"/>
                <w:b/>
                <w:color w:val="0000FF"/>
              </w:rPr>
              <w:t>技术要求</w:t>
            </w:r>
          </w:p>
          <w:p>
            <w:pPr>
              <w:pStyle w:val="null3"/>
              <w:ind w:firstLine="482"/>
              <w:jc w:val="both"/>
            </w:pPr>
            <w:r>
              <w:rPr>
                <w:rFonts w:ascii="仿宋_GB2312" w:hAnsi="仿宋_GB2312" w:cs="仿宋_GB2312" w:eastAsia="仿宋_GB2312"/>
                <w:sz w:val="24"/>
                <w:b/>
                <w:color w:val="0000FF"/>
              </w:rPr>
              <w:t>1.本工程旨在消除建筑安全隐患。陕西财经职业技术学院礼堂网架、风雨操场排架加固前的结构安全等级为Dsu级，加固后应至少达到建筑安全等级Bsu级及以上。施工单位应严格按照清单内要求，委托具有专业资质的检测单位对施工后的礼堂网架、风雨操场排架进行结构安全等级鉴定，并出具可用于上传政府主管部门系统的专用报告，该费用已包括在清单内对应项目内。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ind w:firstLine="482"/>
              <w:jc w:val="both"/>
            </w:pPr>
            <w:r>
              <w:rPr>
                <w:rFonts w:ascii="仿宋_GB2312" w:hAnsi="仿宋_GB2312" w:cs="仿宋_GB2312" w:eastAsia="仿宋_GB2312"/>
                <w:sz w:val="24"/>
                <w:b/>
                <w:color w:val="0000FF"/>
              </w:rPr>
              <w:t>2.本工程其他技术标准及要求执行现行规范和采购人实际需求。</w:t>
            </w:r>
          </w:p>
          <w:p>
            <w:pPr>
              <w:pStyle w:val="null3"/>
              <w:ind w:firstLine="482"/>
              <w:jc w:val="both"/>
            </w:pPr>
            <w:r>
              <w:rPr>
                <w:rFonts w:ascii="仿宋_GB2312" w:hAnsi="仿宋_GB2312" w:cs="仿宋_GB2312" w:eastAsia="仿宋_GB2312"/>
                <w:sz w:val="24"/>
                <w:b/>
                <w:color w:val="0000FF"/>
              </w:rPr>
              <w:t>3.在施工过程中，如果国家或有关部门颁布了新的技术部分准或规范，则承包人应采用新的标准或规范进行施工。</w:t>
            </w:r>
          </w:p>
          <w:p>
            <w:pPr>
              <w:pStyle w:val="null3"/>
              <w:ind w:firstLine="482"/>
              <w:jc w:val="both"/>
            </w:pPr>
            <w:r>
              <w:rPr>
                <w:rFonts w:ascii="仿宋_GB2312" w:hAnsi="仿宋_GB2312" w:cs="仿宋_GB2312" w:eastAsia="仿宋_GB2312"/>
                <w:sz w:val="24"/>
                <w:b/>
                <w:color w:val="0000FF"/>
              </w:rPr>
              <w:t>4. 采购人提供工程的施工方案和相关技术文件，是采购人现有的能被供应商利用的资料，招标人对供应商做出的任何推论、理解均不负责任。</w:t>
            </w:r>
          </w:p>
          <w:p>
            <w:pPr>
              <w:pStyle w:val="null3"/>
              <w:ind w:firstLine="482"/>
              <w:jc w:val="both"/>
            </w:pPr>
            <w:r>
              <w:rPr>
                <w:rFonts w:ascii="仿宋_GB2312" w:hAnsi="仿宋_GB2312" w:cs="仿宋_GB2312" w:eastAsia="仿宋_GB2312"/>
                <w:sz w:val="24"/>
                <w:b/>
                <w:color w:val="0000FF"/>
              </w:rPr>
              <w:t>5.供应商应先到工地踏勘以充分了解工地位置、施工场地空间、施工措施、进出场道路、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ind w:firstLine="482"/>
              <w:jc w:val="both"/>
            </w:pPr>
            <w:r>
              <w:rPr>
                <w:rFonts w:ascii="仿宋_GB2312" w:hAnsi="仿宋_GB2312" w:cs="仿宋_GB2312" w:eastAsia="仿宋_GB2312"/>
                <w:sz w:val="24"/>
                <w:b/>
                <w:color w:val="0000FF"/>
              </w:rPr>
              <w:t>6.暂列金按20万计入风雨操场结构加固其他项目费中。</w:t>
            </w:r>
          </w:p>
          <w:p>
            <w:pPr>
              <w:pStyle w:val="null3"/>
              <w:ind w:firstLine="482"/>
              <w:jc w:val="both"/>
            </w:pPr>
            <w:r>
              <w:rPr>
                <w:rFonts w:ascii="仿宋_GB2312" w:hAnsi="仿宋_GB2312" w:cs="仿宋_GB2312" w:eastAsia="仿宋_GB2312"/>
                <w:sz w:val="24"/>
                <w:b/>
                <w:color w:val="0000FF"/>
              </w:rPr>
              <w:t>二</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商务要求</w:t>
            </w:r>
          </w:p>
          <w:p>
            <w:pPr>
              <w:pStyle w:val="null3"/>
              <w:ind w:firstLine="482"/>
              <w:jc w:val="both"/>
            </w:pPr>
            <w:r>
              <w:rPr>
                <w:rFonts w:ascii="仿宋_GB2312" w:hAnsi="仿宋_GB2312" w:cs="仿宋_GB2312" w:eastAsia="仿宋_GB2312"/>
                <w:sz w:val="24"/>
                <w:b/>
                <w:color w:val="0000FF"/>
              </w:rPr>
              <w:t>（一）工期：</w:t>
            </w:r>
            <w:r>
              <w:rPr>
                <w:rFonts w:ascii="仿宋_GB2312" w:hAnsi="仿宋_GB2312" w:cs="仿宋_GB2312" w:eastAsia="仿宋_GB2312"/>
                <w:sz w:val="24"/>
                <w:color w:val="0000FF"/>
              </w:rPr>
              <w:t>150</w:t>
            </w:r>
            <w:r>
              <w:rPr>
                <w:rFonts w:ascii="仿宋_GB2312" w:hAnsi="仿宋_GB2312" w:cs="仿宋_GB2312" w:eastAsia="仿宋_GB2312"/>
                <w:sz w:val="24"/>
                <w:color w:val="0000FF"/>
              </w:rPr>
              <w:t>个日历天内。</w:t>
            </w:r>
          </w:p>
          <w:p>
            <w:pPr>
              <w:pStyle w:val="null3"/>
              <w:ind w:firstLine="482"/>
              <w:jc w:val="both"/>
            </w:pPr>
            <w:r>
              <w:rPr>
                <w:rFonts w:ascii="仿宋_GB2312" w:hAnsi="仿宋_GB2312" w:cs="仿宋_GB2312" w:eastAsia="仿宋_GB2312"/>
                <w:sz w:val="24"/>
                <w:b/>
                <w:color w:val="0000FF"/>
              </w:rPr>
              <w:t>（二）工程地点</w:t>
            </w:r>
            <w:r>
              <w:rPr>
                <w:rFonts w:ascii="仿宋_GB2312" w:hAnsi="仿宋_GB2312" w:cs="仿宋_GB2312" w:eastAsia="仿宋_GB2312"/>
                <w:sz w:val="24"/>
                <w:color w:val="0000FF"/>
              </w:rPr>
              <w:t>：</w:t>
            </w:r>
            <w:r>
              <w:rPr>
                <w:rFonts w:ascii="仿宋_GB2312" w:hAnsi="仿宋_GB2312" w:cs="仿宋_GB2312" w:eastAsia="仿宋_GB2312"/>
                <w:sz w:val="24"/>
                <w:color w:val="0000FF"/>
              </w:rPr>
              <w:t>陕西财经职业技术学院内</w:t>
            </w:r>
            <w:r>
              <w:rPr>
                <w:rFonts w:ascii="仿宋_GB2312" w:hAnsi="仿宋_GB2312" w:cs="仿宋_GB2312" w:eastAsia="仿宋_GB2312"/>
                <w:sz w:val="24"/>
                <w:color w:val="0000FF"/>
              </w:rPr>
              <w:t>。</w:t>
            </w:r>
          </w:p>
          <w:p>
            <w:pPr>
              <w:pStyle w:val="null3"/>
              <w:ind w:firstLine="482"/>
              <w:jc w:val="both"/>
            </w:pPr>
            <w:r>
              <w:rPr>
                <w:rFonts w:ascii="仿宋_GB2312" w:hAnsi="仿宋_GB2312" w:cs="仿宋_GB2312" w:eastAsia="仿宋_GB2312"/>
                <w:sz w:val="24"/>
                <w:b/>
                <w:color w:val="0000FF"/>
              </w:rPr>
              <w:t>（三）质量要求</w:t>
            </w:r>
            <w:r>
              <w:rPr>
                <w:rFonts w:ascii="仿宋_GB2312" w:hAnsi="仿宋_GB2312" w:cs="仿宋_GB2312" w:eastAsia="仿宋_GB2312"/>
                <w:sz w:val="24"/>
                <w:color w:val="0000FF"/>
              </w:rPr>
              <w:t>：</w:t>
            </w:r>
            <w:r>
              <w:rPr>
                <w:rFonts w:ascii="仿宋_GB2312" w:hAnsi="仿宋_GB2312" w:cs="仿宋_GB2312" w:eastAsia="仿宋_GB2312"/>
                <w:sz w:val="24"/>
                <w:color w:val="0000FF"/>
              </w:rPr>
              <w:t>符合本工程磋商文件技术要求及国家、行业强制性标准，达到合格</w:t>
            </w:r>
            <w:r>
              <w:rPr>
                <w:rFonts w:ascii="仿宋_GB2312" w:hAnsi="仿宋_GB2312" w:cs="仿宋_GB2312" w:eastAsia="仿宋_GB2312"/>
                <w:sz w:val="24"/>
                <w:color w:val="0000FF"/>
              </w:rPr>
              <w:t>。</w:t>
            </w:r>
          </w:p>
          <w:p>
            <w:pPr>
              <w:pStyle w:val="null3"/>
              <w:ind w:firstLine="482"/>
              <w:jc w:val="both"/>
            </w:pPr>
            <w:r>
              <w:rPr>
                <w:rFonts w:ascii="仿宋_GB2312" w:hAnsi="仿宋_GB2312" w:cs="仿宋_GB2312" w:eastAsia="仿宋_GB2312"/>
                <w:sz w:val="24"/>
                <w:b/>
                <w:color w:val="0000FF"/>
              </w:rPr>
              <w:t>（四）付款方式：</w:t>
            </w:r>
          </w:p>
          <w:p>
            <w:pPr>
              <w:pStyle w:val="null3"/>
              <w:ind w:firstLine="482"/>
              <w:jc w:val="both"/>
            </w:pPr>
            <w:r>
              <w:rPr>
                <w:rFonts w:ascii="仿宋_GB2312" w:hAnsi="仿宋_GB2312" w:cs="仿宋_GB2312" w:eastAsia="仿宋_GB2312"/>
                <w:sz w:val="24"/>
                <w:b/>
                <w:color w:val="0000FF"/>
              </w:rPr>
              <w:t>4.1项目加固改造施工完成后，经专业第三方机构出具结构安全等级检测合格书面报告并经发包人确认后</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工程款</w:t>
            </w:r>
            <w:r>
              <w:rPr>
                <w:rFonts w:ascii="仿宋_GB2312" w:hAnsi="仿宋_GB2312" w:cs="仿宋_GB2312" w:eastAsia="仿宋_GB2312"/>
                <w:sz w:val="24"/>
                <w:b/>
                <w:color w:val="0000FF"/>
              </w:rPr>
              <w:t>（包括预付款和安全文明施工措施费）累计付至合同价</w:t>
            </w:r>
            <w:r>
              <w:rPr>
                <w:rFonts w:ascii="仿宋_GB2312" w:hAnsi="仿宋_GB2312" w:cs="仿宋_GB2312" w:eastAsia="仿宋_GB2312"/>
                <w:sz w:val="24"/>
                <w:b/>
                <w:color w:val="0000FF"/>
              </w:rPr>
              <w:t>[不含暂列金（预留金）、专业工程暂估价]的</w:t>
            </w:r>
            <w:r>
              <w:rPr>
                <w:rFonts w:ascii="仿宋_GB2312" w:hAnsi="仿宋_GB2312" w:cs="仿宋_GB2312" w:eastAsia="仿宋_GB2312"/>
                <w:sz w:val="24"/>
                <w:b/>
                <w:color w:val="0000FF"/>
              </w:rPr>
              <w:t>60</w:t>
            </w:r>
            <w:r>
              <w:rPr>
                <w:rFonts w:ascii="仿宋_GB2312" w:hAnsi="仿宋_GB2312" w:cs="仿宋_GB2312" w:eastAsia="仿宋_GB2312"/>
                <w:sz w:val="24"/>
                <w:b/>
                <w:color w:val="0000FF"/>
              </w:rPr>
              <w:t>%。</w:t>
            </w:r>
          </w:p>
          <w:p>
            <w:pPr>
              <w:pStyle w:val="null3"/>
              <w:ind w:firstLine="482"/>
              <w:jc w:val="both"/>
            </w:pPr>
            <w:r>
              <w:rPr>
                <w:rFonts w:ascii="仿宋_GB2312" w:hAnsi="仿宋_GB2312" w:cs="仿宋_GB2312" w:eastAsia="仿宋_GB2312"/>
                <w:sz w:val="24"/>
                <w:b/>
                <w:color w:val="0000FF"/>
              </w:rPr>
              <w:t>4.2</w:t>
            </w:r>
            <w:r>
              <w:rPr>
                <w:rFonts w:ascii="仿宋_GB2312" w:hAnsi="仿宋_GB2312" w:cs="仿宋_GB2312" w:eastAsia="仿宋_GB2312"/>
                <w:sz w:val="24"/>
                <w:b/>
                <w:color w:val="0000FF"/>
              </w:rPr>
              <w:t>工程竣工预验收合格</w:t>
            </w:r>
            <w:r>
              <w:rPr>
                <w:rFonts w:ascii="仿宋_GB2312" w:hAnsi="仿宋_GB2312" w:cs="仿宋_GB2312" w:eastAsia="仿宋_GB2312"/>
                <w:sz w:val="24"/>
                <w:b/>
                <w:color w:val="0000FF"/>
              </w:rPr>
              <w:t>后</w:t>
            </w:r>
            <w:r>
              <w:rPr>
                <w:rFonts w:ascii="仿宋_GB2312" w:hAnsi="仿宋_GB2312" w:cs="仿宋_GB2312" w:eastAsia="仿宋_GB2312"/>
                <w:sz w:val="24"/>
                <w:b/>
                <w:color w:val="0000FF"/>
              </w:rPr>
              <w:t>，工程款（包括预付款和安全文明施工措施费）累计付至合同价</w:t>
            </w:r>
            <w:r>
              <w:rPr>
                <w:rFonts w:ascii="仿宋_GB2312" w:hAnsi="仿宋_GB2312" w:cs="仿宋_GB2312" w:eastAsia="仿宋_GB2312"/>
                <w:sz w:val="24"/>
                <w:b/>
                <w:color w:val="0000FF"/>
              </w:rPr>
              <w:t>[不含暂列金（预留金）、专业工程暂估价]的80%；</w:t>
            </w:r>
          </w:p>
          <w:p>
            <w:pPr>
              <w:pStyle w:val="null3"/>
              <w:ind w:firstLine="482"/>
              <w:jc w:val="both"/>
            </w:pPr>
            <w:r>
              <w:rPr>
                <w:rFonts w:ascii="仿宋_GB2312" w:hAnsi="仿宋_GB2312" w:cs="仿宋_GB2312" w:eastAsia="仿宋_GB2312"/>
                <w:sz w:val="24"/>
                <w:b/>
                <w:color w:val="0000FF"/>
              </w:rPr>
              <w:t>4.3</w:t>
            </w:r>
            <w:r>
              <w:rPr>
                <w:rFonts w:ascii="仿宋_GB2312" w:hAnsi="仿宋_GB2312" w:cs="仿宋_GB2312" w:eastAsia="仿宋_GB2312"/>
                <w:sz w:val="24"/>
                <w:b/>
                <w:color w:val="0000FF"/>
              </w:rPr>
              <w:t>完成工程结算资料送审</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竣工图提交，工完场清并</w:t>
            </w:r>
            <w:r>
              <w:rPr>
                <w:rFonts w:ascii="仿宋_GB2312" w:hAnsi="仿宋_GB2312" w:cs="仿宋_GB2312" w:eastAsia="仿宋_GB2312"/>
                <w:sz w:val="24"/>
                <w:b/>
                <w:color w:val="0000FF"/>
              </w:rPr>
              <w:t>拆除临建后，工程款（包括预付款和安全文明施工措施费）累计付至合同价</w:t>
            </w:r>
            <w:r>
              <w:rPr>
                <w:rFonts w:ascii="仿宋_GB2312" w:hAnsi="仿宋_GB2312" w:cs="仿宋_GB2312" w:eastAsia="仿宋_GB2312"/>
                <w:sz w:val="24"/>
                <w:b/>
                <w:color w:val="0000FF"/>
              </w:rPr>
              <w:t>[不含暂列金（预留金）、专业工程暂估价]的85%</w:t>
            </w:r>
            <w:r>
              <w:rPr>
                <w:rFonts w:ascii="仿宋_GB2312" w:hAnsi="仿宋_GB2312" w:cs="仿宋_GB2312" w:eastAsia="仿宋_GB2312"/>
                <w:sz w:val="24"/>
                <w:color w:val="0000FF"/>
              </w:rPr>
              <w:t>。</w:t>
            </w:r>
          </w:p>
          <w:p>
            <w:pPr>
              <w:pStyle w:val="null3"/>
              <w:ind w:firstLine="482"/>
              <w:jc w:val="both"/>
            </w:pPr>
            <w:r>
              <w:rPr>
                <w:rFonts w:ascii="仿宋_GB2312" w:hAnsi="仿宋_GB2312" w:cs="仿宋_GB2312" w:eastAsia="仿宋_GB2312"/>
                <w:sz w:val="24"/>
                <w:b/>
                <w:color w:val="0000FF"/>
              </w:rPr>
              <w:t>（五）质量保证期：</w:t>
            </w:r>
            <w:r>
              <w:rPr>
                <w:rFonts w:ascii="仿宋_GB2312" w:hAnsi="仿宋_GB2312" w:cs="仿宋_GB2312" w:eastAsia="仿宋_GB2312"/>
                <w:sz w:val="24"/>
                <w:b/>
                <w:color w:val="0000FF"/>
              </w:rPr>
              <w:t>本项目竣工验收合格通过之日起</w:t>
            </w:r>
            <w:r>
              <w:rPr>
                <w:rFonts w:ascii="仿宋_GB2312" w:hAnsi="仿宋_GB2312" w:cs="仿宋_GB2312" w:eastAsia="仿宋_GB2312"/>
                <w:sz w:val="24"/>
                <w:b/>
                <w:color w:val="0000FF"/>
              </w:rPr>
              <w:t>2</w:t>
            </w:r>
            <w:r>
              <w:rPr>
                <w:rFonts w:ascii="仿宋_GB2312" w:hAnsi="仿宋_GB2312" w:cs="仿宋_GB2312" w:eastAsia="仿宋_GB2312"/>
                <w:sz w:val="24"/>
                <w:b/>
                <w:color w:val="0000FF"/>
              </w:rPr>
              <w:t>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符合本工程磋商文件技术要求及国家、行业强制性标准，达到合格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供应商应按照磋商文件中规定的时间及地点前往项目地点踏勘，以充分了解工地位置、情况、道路、储存空间、装卸限制及任何其他足以影响响应报价的情况，供应商因忽视或误解工地情况而导致的其提出的任何索赔或工期延长申请将不被批准。凡因供应商对竞争性磋商文件阅读疏忽或误解，或因对施工现场、施工环境、市场行情等了解不清而造成的后果和风险，由供应商自行负责。在施工期间，供应商自行协调施工现场周边社会关系，不得以协调不力而影响工程进度，所发生的一切费用应在报价时加以考虑。 2.磋商报价时各供应商应根据文件说明、做法、施工组织设计、施工验收规范、现场条件、工程特点等内容编制磋商报价。 3.所有材料必须使用合格产品，竞争性磋商文件如对材料的材质、品牌等有明确要求的，不得变更相关要求，使用前应当由采购人认质确认后方可投入使用。工程施工完毕后需对施工场地进行保洁，保洁标准达到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工期：150日历天 （一）工期：150个日历天内。 （二）工程地点：陕西财经职业技术学院内。 （三）质量要求：符合本工程磋商文件技术要求及国家、行业强制性标准，达到合格。 （四）付款方式： 4.1项目加固改造施工完成后，经专业第三方机构出具结构安全等级检测合格书面报告并经发包人确认后，工程款（包括预付款和安全文明施工措施费）累计付至合同价[不含暂列金（预留金）、专业工程暂估价]的60%。 4.2工程竣工预验收合格后，工程款（包括预付款和安全文明施工措施费）累计付至合同价[不含暂列金（预留金）、专业工程暂估价]的80%； 4.3完成工程结算资料送审、竣工图提交，工完场清并拆除临建后，工程款（包括预付款和安全文明施工措施费）累计付至合同价[不含暂列金（预留金）、专业工程暂估价]的85%。 （五）质量保证期：本项目竣工验收合格通过之日起2年。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投标人为向招标人提供相关工程及服务的法人或其他组织；</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企业资质及要求</w:t>
            </w:r>
          </w:p>
        </w:tc>
        <w:tc>
          <w:tcPr>
            <w:tcW w:type="dxa" w:w="3322"/>
          </w:tcPr>
          <w:p>
            <w:pPr>
              <w:pStyle w:val="null3"/>
            </w:pPr>
            <w:r>
              <w:rPr>
                <w:rFonts w:ascii="仿宋_GB2312" w:hAnsi="仿宋_GB2312" w:cs="仿宋_GB2312" w:eastAsia="仿宋_GB2312"/>
              </w:rPr>
              <w:t>供应商具备建设行政主管部门颁发合法有效的建筑工程施工总承包三级及以上资质，并具备有效的安全生产许可证，且在人员、设备、资金等方面具备相应施工能力。</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拟派项目经理资格及要求</w:t>
            </w:r>
          </w:p>
        </w:tc>
        <w:tc>
          <w:tcPr>
            <w:tcW w:type="dxa" w:w="3322"/>
          </w:tcPr>
          <w:p>
            <w:pPr>
              <w:pStyle w:val="null3"/>
            </w:pPr>
            <w:r>
              <w:rPr>
                <w:rFonts w:ascii="仿宋_GB2312" w:hAnsi="仿宋_GB2312" w:cs="仿宋_GB2312" w:eastAsia="仿宋_GB2312"/>
              </w:rPr>
              <w:t>供应商拟派项目经理具备建筑工程专业二级及以上注册执业资格及有效的安全生产考核合格证，在本单位注册且未担任其他在建工程项目的项目经理</w:t>
            </w:r>
          </w:p>
        </w:tc>
        <w:tc>
          <w:tcPr>
            <w:tcW w:type="dxa" w:w="1661"/>
          </w:tcPr>
          <w:p>
            <w:pPr>
              <w:pStyle w:val="null3"/>
            </w:pPr>
            <w:r>
              <w:rPr>
                <w:rFonts w:ascii="仿宋_GB2312" w:hAnsi="仿宋_GB2312" w:cs="仿宋_GB2312" w:eastAsia="仿宋_GB2312"/>
              </w:rPr>
              <w:t>项目管理机构组成表 供应商应提交的资格审查资料.docx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供应商及其拟派项目经理须在“陕西省住房和城乡建设厅”官方网站可查询；如供应商为外省进陕企业，还须同时提供“陕西省住房和城乡建设厅”官网企业库外省进陕施工企业信息首页截图；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供应商名称是否与营业执照、资质证书、安全生产许可证一致</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响应文件封面 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响应函是否按磋商文件要求签署、盖章的</w:t>
            </w:r>
          </w:p>
        </w:tc>
        <w:tc>
          <w:tcPr>
            <w:tcW w:type="dxa" w:w="3322"/>
          </w:tcPr>
          <w:p>
            <w:pPr>
              <w:pStyle w:val="null3"/>
            </w:pPr>
            <w:r>
              <w:rPr>
                <w:rFonts w:ascii="仿宋_GB2312" w:hAnsi="仿宋_GB2312" w:cs="仿宋_GB2312" w:eastAsia="仿宋_GB2312"/>
              </w:rPr>
              <w:t>响应函应需在项目电子化交易系统中按要求填写《响应函》、《报价函》完成承诺并进行电子签章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响应文件报价是否唯一</w:t>
            </w:r>
          </w:p>
        </w:tc>
        <w:tc>
          <w:tcPr>
            <w:tcW w:type="dxa" w:w="3322"/>
          </w:tcPr>
          <w:p>
            <w:pPr>
              <w:pStyle w:val="null3"/>
            </w:pPr>
            <w:r>
              <w:rPr>
                <w:rFonts w:ascii="仿宋_GB2312" w:hAnsi="仿宋_GB2312" w:cs="仿宋_GB2312" w:eastAsia="仿宋_GB2312"/>
              </w:rPr>
              <w:t>每次报价只能有一个有效报价，且未超出采购预算及采购最高限价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响应文件是否存在无效磋商的情形及未实质性响应磋商文件的情况</w:t>
            </w:r>
          </w:p>
        </w:tc>
        <w:tc>
          <w:tcPr>
            <w:tcW w:type="dxa" w:w="3322"/>
          </w:tcPr>
          <w:p>
            <w:pPr>
              <w:pStyle w:val="null3"/>
            </w:pPr>
            <w:r>
              <w:rPr>
                <w:rFonts w:ascii="仿宋_GB2312" w:hAnsi="仿宋_GB2312" w:cs="仿宋_GB2312" w:eastAsia="仿宋_GB2312"/>
              </w:rPr>
              <w:t>响应文件未存在法律法规或磋商文件明确规定的其他被视为“无效磋商”的情形及未实质性响应磋商文件的情况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已标价工程量清单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8月1日（以合同签订日期为准）至今承担过的类似项目的业绩合同，每提供一份计5分，满分15分。注：业绩证明材料为加盖供应商公章的合同复印件或扫描件（包含合同主要内容及签字盖章等关键信息），时间以合同签订时间为准，未提供或提供不全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1.拟派项目经理业绩（2分） 投标人提供拟派项目经理自2022年8月至今的类似工程业绩证明材料，提供1项业绩的得1分，此项最多得2分。 评审依据：业绩证明材料以合同或中标通知书为准，业绩时间以合同签订时间或中标通知书为准。业绩证明材料须体现拟派项目经理的姓名。拟派项目经理的业绩证明材料与企业业绩证明材料可同时计分。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项目部人员构成</w:t>
            </w:r>
          </w:p>
        </w:tc>
        <w:tc>
          <w:tcPr>
            <w:tcW w:type="dxa" w:w="2492"/>
          </w:tcPr>
          <w:p>
            <w:pPr>
              <w:pStyle w:val="null3"/>
            </w:pPr>
            <w:r>
              <w:rPr>
                <w:rFonts w:ascii="仿宋_GB2312" w:hAnsi="仿宋_GB2312" w:cs="仿宋_GB2312" w:eastAsia="仿宋_GB2312"/>
              </w:rPr>
              <w:t>1.拟派项目部其他管理人员（除拟派项目经理外）至少应包括： 建筑工程建造师1人、施工员1人、安全员1人。 满足以上全部要求的得2分，任意一项不满足要求的得0分； 评审依据：提供身份证和相应专业职称证书或注册证书或资格证书，其中安全员必须提供安全员C证，评审时以投标人提供加盖投标人公章的证书复印件为准，未提供以上资料的相应人员不予认定和赋分。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项目部人员构成2</w:t>
            </w:r>
          </w:p>
        </w:tc>
        <w:tc>
          <w:tcPr>
            <w:tcW w:type="dxa" w:w="2492"/>
          </w:tcPr>
          <w:p>
            <w:pPr>
              <w:pStyle w:val="null3"/>
            </w:pPr>
            <w:r>
              <w:rPr>
                <w:rFonts w:ascii="仿宋_GB2312" w:hAnsi="仿宋_GB2312" w:cs="仿宋_GB2312" w:eastAsia="仿宋_GB2312"/>
              </w:rPr>
              <w:t>根据投标人提供针对本项目拟派项目部其他管理人员的专业搭配、工作内容配置、人员数量等因素进行评审0-1分；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供应商针对本项目提供施工方案</w:t>
            </w:r>
          </w:p>
        </w:tc>
        <w:tc>
          <w:tcPr>
            <w:tcW w:type="dxa" w:w="2492"/>
          </w:tcPr>
          <w:p>
            <w:pPr>
              <w:pStyle w:val="null3"/>
            </w:pPr>
            <w:r>
              <w:rPr>
                <w:rFonts w:ascii="仿宋_GB2312" w:hAnsi="仿宋_GB2312" w:cs="仿宋_GB2312" w:eastAsia="仿宋_GB2312"/>
              </w:rPr>
              <w:t>供应商针对本项目提供施工方案。 内容详细齐全、合理且切实可行，完全满足采购人需求，具有优化建议的计10分； 内容基本全面、可行，但存在逻辑漏洞或前后内容不一致的计5分； 内容有较大缺陷，或完全套用其他项目且内容较少的计3分；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供应商针对本项目提供项目经理部组成方案</w:t>
            </w:r>
          </w:p>
        </w:tc>
        <w:tc>
          <w:tcPr>
            <w:tcW w:type="dxa" w:w="2492"/>
          </w:tcPr>
          <w:p>
            <w:pPr>
              <w:pStyle w:val="null3"/>
            </w:pPr>
            <w:r>
              <w:rPr>
                <w:rFonts w:ascii="仿宋_GB2312" w:hAnsi="仿宋_GB2312" w:cs="仿宋_GB2312" w:eastAsia="仿宋_GB2312"/>
              </w:rPr>
              <w:t>供应商针对本项目提供项目经理部组成方案。 内容详细齐全、合理且切实可行，完全满足采购人需求，具有优化建议的计5分； 内容基本全面、可行，但存在逻辑漏洞或前后内容不一致的计3分； 内容有较大缺陷，或完全套用其他项目且内容较少的计1分；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供应商针对本项目提供确保工程质量的技术组织措施</w:t>
            </w:r>
          </w:p>
        </w:tc>
        <w:tc>
          <w:tcPr>
            <w:tcW w:type="dxa" w:w="2492"/>
          </w:tcPr>
          <w:p>
            <w:pPr>
              <w:pStyle w:val="null3"/>
            </w:pPr>
            <w:r>
              <w:rPr>
                <w:rFonts w:ascii="仿宋_GB2312" w:hAnsi="仿宋_GB2312" w:cs="仿宋_GB2312" w:eastAsia="仿宋_GB2312"/>
              </w:rPr>
              <w:t>供应商针对本项目提供确保工程质量的技术组织措施。 内容详细齐全、合理且切实可行，完全满足采购人需求，具有优化建议的计5分； 内容基本全面、可行，但存在逻辑漏洞或前后内容不一致的计3分； 内容有较大缺陷，或完全套用其他项目且内容较少的计1分；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供应商针对本项目提供确保安全生产的技术组织措施</w:t>
            </w:r>
          </w:p>
        </w:tc>
        <w:tc>
          <w:tcPr>
            <w:tcW w:type="dxa" w:w="2492"/>
          </w:tcPr>
          <w:p>
            <w:pPr>
              <w:pStyle w:val="null3"/>
            </w:pPr>
            <w:r>
              <w:rPr>
                <w:rFonts w:ascii="仿宋_GB2312" w:hAnsi="仿宋_GB2312" w:cs="仿宋_GB2312" w:eastAsia="仿宋_GB2312"/>
              </w:rPr>
              <w:t>供应商针对本项目提供确保安全生产的技术组织措施。 内容详细齐全、合理且切实可行，完全满足采购人需求，具有优化建议的计5分； 内容基本全面、可行，但存在逻辑漏洞或前后内容不一致的计3分； 内容有较大缺陷，或完全套用其他项目且内容较少的计1分；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供应商针对本项目提供确保文明施工的技术组织措施及环境保护措施</w:t>
            </w:r>
          </w:p>
        </w:tc>
        <w:tc>
          <w:tcPr>
            <w:tcW w:type="dxa" w:w="2492"/>
          </w:tcPr>
          <w:p>
            <w:pPr>
              <w:pStyle w:val="null3"/>
            </w:pPr>
            <w:r>
              <w:rPr>
                <w:rFonts w:ascii="仿宋_GB2312" w:hAnsi="仿宋_GB2312" w:cs="仿宋_GB2312" w:eastAsia="仿宋_GB2312"/>
              </w:rPr>
              <w:t>供应商针对本项目提供确保文明施工的技术组织措施及环境保护措施。 内容详细齐全、合理且切实可行，完全满足采购人需求，具有优化建议的计5分； 内容基本全面、可行，但存在逻辑漏洞或前后内容不一致的计3分； 内容有较大缺陷，或完全套用其他项目且内容较少的计1分；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供应商针对本项目提供施工机械配备和材料投入计划</w:t>
            </w:r>
          </w:p>
        </w:tc>
        <w:tc>
          <w:tcPr>
            <w:tcW w:type="dxa" w:w="2492"/>
          </w:tcPr>
          <w:p>
            <w:pPr>
              <w:pStyle w:val="null3"/>
            </w:pPr>
            <w:r>
              <w:rPr>
                <w:rFonts w:ascii="仿宋_GB2312" w:hAnsi="仿宋_GB2312" w:cs="仿宋_GB2312" w:eastAsia="仿宋_GB2312"/>
              </w:rPr>
              <w:t>供应商针对本项目提供施工机械配备和材料投入计划。 内容详细齐全、合理且切实可行，完全满足采购人需求，具有优化建议的计5分； 内容基本全面、可行，但存在逻辑漏洞或前后内容不一致的计3分； 内容有较大缺陷，或完全套用其他项目且内容较少的计1分；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供应商针对本项目提供施工进度表或施工网络图</w:t>
            </w:r>
          </w:p>
        </w:tc>
        <w:tc>
          <w:tcPr>
            <w:tcW w:type="dxa" w:w="2492"/>
          </w:tcPr>
          <w:p>
            <w:pPr>
              <w:pStyle w:val="null3"/>
            </w:pPr>
            <w:r>
              <w:rPr>
                <w:rFonts w:ascii="仿宋_GB2312" w:hAnsi="仿宋_GB2312" w:cs="仿宋_GB2312" w:eastAsia="仿宋_GB2312"/>
              </w:rPr>
              <w:t>供应商针对本项目提供施工进度表或施工网络图。 内容详细齐全、合理且切实可行，完全满足采购人需求，具有优化建议的计5分； 内容基本全面、可行，但存在逻辑漏洞或前后内容不一致的计3分； 内容有较大缺陷，或完全套用其他项目且内容较少的计1分；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供应商针对本项目提供新技术、新产品、新工艺、新材料应用措施</w:t>
            </w:r>
          </w:p>
        </w:tc>
        <w:tc>
          <w:tcPr>
            <w:tcW w:type="dxa" w:w="2492"/>
          </w:tcPr>
          <w:p>
            <w:pPr>
              <w:pStyle w:val="null3"/>
            </w:pPr>
            <w:r>
              <w:rPr>
                <w:rFonts w:ascii="仿宋_GB2312" w:hAnsi="仿宋_GB2312" w:cs="仿宋_GB2312" w:eastAsia="仿宋_GB2312"/>
              </w:rPr>
              <w:t>供应商针对本项目提供新技术、新产品、新工艺、新材料应用措施。 内容详细齐全、合理且切实可行，完全满足采购人需求，具有优化建议的计5分； 内容基本全面、可行，但存在逻辑漏洞或前后内容不一致的计3分； 内容有较大缺陷，或完全套用其他项目且内容较少的计1分；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磋商报价得分=（磋商基准价/最后磋商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详见附件：供应商应提交的资格审查资料.docx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