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版本号：XHZX-25-04420250813001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石川河河湖复苏及富平地下水库工程大型入渗试验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XHZX-25-044</w:t>
      </w:r>
      <w:r>
        <w:br/>
      </w:r>
      <w:r>
        <w:br/>
      </w:r>
      <w:r>
        <w:br/>
      </w:r>
    </w:p>
    <w:p>
      <w:pPr>
        <w:pStyle w:val="null3"/>
        <w:jc w:val="center"/>
        <w:outlineLvl w:val="2"/>
      </w:pPr>
      <w:r>
        <w:rPr>
          <w:rFonts w:ascii="仿宋_GB2312" w:hAnsi="仿宋_GB2312" w:cs="仿宋_GB2312" w:eastAsia="仿宋_GB2312"/>
          <w:sz w:val="28"/>
          <w:b/>
        </w:rPr>
        <w:t>陕西省地下水保护与监测中心</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陕西省地下水保护与监测中心</w:t>
      </w:r>
      <w:r>
        <w:rPr>
          <w:rFonts w:ascii="仿宋_GB2312" w:hAnsi="仿宋_GB2312" w:cs="仿宋_GB2312" w:eastAsia="仿宋_GB2312"/>
        </w:rPr>
        <w:t>委托，拟对</w:t>
      </w:r>
      <w:r>
        <w:rPr>
          <w:rFonts w:ascii="仿宋_GB2312" w:hAnsi="仿宋_GB2312" w:cs="仿宋_GB2312" w:eastAsia="仿宋_GB2312"/>
        </w:rPr>
        <w:t>石川河河湖复苏及富平地下水库工程大型入渗试验</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XHZX-25-044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石川河河湖复苏及富平地下水库工程大型入渗试验</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关于石川河地下水超采治理及地下水库工程可行性研究报告初步审查意见的函》（陕水建工函〔2024〕4号），可行性研究阶段需尽快补充开展典型区大型原位渗水专项试验、抽注水专项试验及河道入渗专项试验，并对地下水库下游出口处水文地质条件进行专项论证，补充完善补水源与原位地下水组分的化学反应研究。本次大型入渗试验目的为石川河地下水库建设的可行性研究、建设工程设计布局、回灌方案规划提供试验数据支撑。 工作内容包括：试验场址选择与勘察设计，试验场地建设，大型渗水试验，试验成果分析并完成试验成果分析报告及相关附图附表的编制。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1、法定代表人授权委托书：法定代表人授权书(附法定代表人、被授权人身份证复印件)及被授权人身份证复印件(法定代表人直接参加投标的，须提供法定代表人身份证明及身份证复印件)；非法人单位参照执行。</w:t>
      </w:r>
    </w:p>
    <w:p>
      <w:pPr>
        <w:pStyle w:val="null3"/>
      </w:pPr>
      <w:r>
        <w:rPr>
          <w:rFonts w:ascii="仿宋_GB2312" w:hAnsi="仿宋_GB2312" w:cs="仿宋_GB2312" w:eastAsia="仿宋_GB2312"/>
        </w:rPr>
        <w:t>2、投标人关联关系声明：单位负责人为同一人或者存在直接控股、管理关系的不同投标人，不得参加同一项目的招标活动；（提供承诺书）</w:t>
      </w:r>
    </w:p>
    <w:p>
      <w:pPr>
        <w:pStyle w:val="null3"/>
      </w:pPr>
      <w:r>
        <w:rPr>
          <w:rFonts w:ascii="仿宋_GB2312" w:hAnsi="仿宋_GB2312" w:cs="仿宋_GB2312" w:eastAsia="仿宋_GB2312"/>
        </w:rPr>
        <w:t>3、企业信用：供应商不得为“信用中国” 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4、资质条件：具备工程勘察综合类甲级或工程勘察专业类（水文地质勘察）甲级或工程勘察专业类（岩土工程）甲级</w:t>
      </w:r>
    </w:p>
    <w:p>
      <w:pPr>
        <w:pStyle w:val="null3"/>
      </w:pPr>
      <w:r>
        <w:rPr>
          <w:rFonts w:ascii="仿宋_GB2312" w:hAnsi="仿宋_GB2312" w:cs="仿宋_GB2312" w:eastAsia="仿宋_GB2312"/>
        </w:rPr>
        <w:t>5、项目经理：项目经理需具备注册岩土工程师资格或水文地质相关专业高级或以上职称。</w:t>
      </w:r>
    </w:p>
    <w:p>
      <w:pPr>
        <w:pStyle w:val="null3"/>
      </w:pPr>
      <w:r>
        <w:rPr>
          <w:rFonts w:ascii="仿宋_GB2312" w:hAnsi="仿宋_GB2312" w:cs="仿宋_GB2312" w:eastAsia="仿宋_GB2312"/>
        </w:rPr>
        <w:t>6、联合体投标：1.允许组成联合体投标； 2.联合体成员不得作为独立供应商或加入本项目其他联合体参加本项目磋商。联合体应递交一份联合体协议书，该协议书须明确联合体各成员对本项目项下的全部责任和义务承担连带法律责任。该协议书须有各成员的法定代表人或授权代表签字并加盖公章，并明确约定联合体牵头人和联合体成员计划承担的份额和分工责任的说明。3.联合体各成员还须共同提交一份由各成员的法定代表人或授权代表签字的授权书，授权联合体牵头人代表各成员在本项目招标投标过程中，及合同执行过程中（如联合体被授予合同）以联合体的名义并代表联合体进行澄清、签署文件和处理一切与此事有关的全部事务。同时，与采购人之间的来往信函将通过联合体牵头人传递。</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陕西省地下水保护与监测中心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陕西省西安市莲湖路185号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029-87329060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开户名称：信宏工程咨询有限公司</w:t>
            </w:r>
          </w:p>
          <w:p>
            <w:pPr>
              <w:pStyle w:val="null3"/>
            </w:pPr>
            <w:r>
              <w:rPr>
                <w:rFonts w:ascii="仿宋_GB2312" w:hAnsi="仿宋_GB2312" w:cs="仿宋_GB2312" w:eastAsia="仿宋_GB2312"/>
              </w:rPr>
              <w:t>开户银行：中国工商银行西安雁塔南路支行（长安区支行）</w:t>
            </w:r>
          </w:p>
          <w:p>
            <w:pPr>
              <w:pStyle w:val="null3"/>
            </w:pPr>
            <w:r>
              <w:rPr>
                <w:rFonts w:ascii="仿宋_GB2312" w:hAnsi="仿宋_GB2312" w:cs="仿宋_GB2312" w:eastAsia="仿宋_GB2312"/>
              </w:rPr>
              <w:t>银行账号：3700 0351 1910 0019 340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说明：投标人在中标后向采购人缴纳履约保证金（履约保函形式），履约保证金在验收合格无质量问题后10日内退还，办理履约保证金需要的手续费（不限于银行手续费、担保费等）等由中标人自行承担。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以中标价为基数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陕西省地下水保护与监测中心</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陕西省地下水保护与监测中心</w:t>
      </w:r>
      <w:r>
        <w:rPr>
          <w:rFonts w:ascii="仿宋_GB2312" w:hAnsi="仿宋_GB2312" w:cs="仿宋_GB2312" w:eastAsia="仿宋_GB2312"/>
        </w:rPr>
        <w:t>负责解释。除上述招标文件内容，其他内容由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陕西省地下水保护与监测中心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应符合《石川河河湖复苏及富平地下水库工程可行性研究报告初步审查意见》《关于石川河河湖复苏及富平地下水库工程大型入渗试验任务书的批复》（陕水规计发﹝2024﹞76号）要求，建设过程执行《地下水监测工程技术标准》（GB/T 51040-2023）、《水文水井地质钻探规程》（DZ/T0148-2014）和《机井工程技术标准》（GB/T50625-2023）等现行相关规范。本项目按照《陕西省水利前期工作项目验收管理办法（暂行）》相关规定，采购人完成合同相关工作任务并通过自验,具备验收条件后提出申请，由项目主管单位根据相关技术标准和合同要求开展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地址：西安曲江新区雁塔南路金辉环球中心C座513室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关于石川河地下水超采治理及地下水库工程可行性研究报告初步审查意见的函》（陕水建工函〔2024〕4号），可行性研究阶段需尽快补充开展典型区大型原位渗水专项试验、抽注水专项试验及河道入渗专项试验，并对地下水库下游出口处水文地质条件进行专项论证，补充完善补水源与原位地下水组分的化学反应研究。本次大型入渗试验目的为石川河地下水库建设的可行性研究、建设工程设计布局、回灌方案规划提供试验数据支撑。 工作内容包括：试验场址选择与勘察设计，试验场地建设，大型渗水试验，试验成果分析并完成试验成果分析报告及相关附图附表的编制。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5,090,000.00</w:t>
      </w:r>
    </w:p>
    <w:p>
      <w:pPr>
        <w:pStyle w:val="null3"/>
      </w:pPr>
      <w:r>
        <w:rPr>
          <w:rFonts w:ascii="仿宋_GB2312" w:hAnsi="仿宋_GB2312" w:cs="仿宋_GB2312" w:eastAsia="仿宋_GB2312"/>
        </w:rPr>
        <w:t>采购包最高限价（元）: 5,090,000.00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石川河河湖复苏及富平地下水库工程大型入渗试验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标的名称：石川河河湖复苏及富平地下水库工程大型入渗试验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color w:val="000000"/>
              </w:rPr>
              <w:t>（一）工作范围为：本次试验选择《可研报告》设计的</w:t>
            </w:r>
            <w:r>
              <w:rPr>
                <w:rFonts w:ascii="仿宋_GB2312" w:hAnsi="仿宋_GB2312" w:cs="仿宋_GB2312" w:eastAsia="仿宋_GB2312"/>
                <w:sz w:val="21"/>
                <w:color w:val="000000"/>
              </w:rPr>
              <w:t>2#渗坑及石川河中段的交口城—湾渡村河段，面积4.14平方公里。</w:t>
            </w:r>
          </w:p>
          <w:p>
            <w:pPr>
              <w:pStyle w:val="null3"/>
              <w:ind w:firstLine="420"/>
              <w:jc w:val="both"/>
            </w:pPr>
            <w:r>
              <w:rPr>
                <w:rFonts w:ascii="仿宋_GB2312" w:hAnsi="仿宋_GB2312" w:cs="仿宋_GB2312" w:eastAsia="仿宋_GB2312"/>
                <w:sz w:val="21"/>
                <w:color w:val="000000"/>
              </w:rPr>
              <w:t>（二）工作任务为：试验场地的测量、勘察、设计及工程建设；制定试验方案，开展静水入渗试验；通过试验监测数据分析计算静水入渗条件下地表水体初始入渗速率、稳定入渗速率、地下水有效入渗补给量，确定地下水库的入渗能力；评价入渗水源对地下水水质的影响，初步探讨回灌引起入渗场地及含水层堵塞的可能性；评价地下水库下游出口处水文地质条件；基于石川河河谷区水文地质条件及试验成果，提出富平地下水库人工补给调蓄模式、入渗方式与规模的相关建议。</w:t>
            </w:r>
          </w:p>
          <w:p>
            <w:pPr>
              <w:pStyle w:val="null3"/>
              <w:ind w:firstLine="420"/>
              <w:jc w:val="both"/>
            </w:pPr>
            <w:r>
              <w:rPr>
                <w:rFonts w:ascii="仿宋_GB2312" w:hAnsi="仿宋_GB2312" w:cs="仿宋_GB2312" w:eastAsia="仿宋_GB2312"/>
                <w:sz w:val="21"/>
                <w:color w:val="000000"/>
              </w:rPr>
              <w:t>（三）主要工作内容</w:t>
            </w:r>
          </w:p>
          <w:p>
            <w:pPr>
              <w:pStyle w:val="null3"/>
              <w:ind w:firstLine="420"/>
              <w:jc w:val="both"/>
            </w:pPr>
            <w:r>
              <w:rPr>
                <w:rFonts w:ascii="仿宋_GB2312" w:hAnsi="仿宋_GB2312" w:cs="仿宋_GB2312" w:eastAsia="仿宋_GB2312"/>
                <w:sz w:val="21"/>
                <w:color w:val="000000"/>
              </w:rPr>
              <w:t>1.试验场址选择与勘察设计：选定入渗坑及河道段，进行测量和勘察工作，为渗坑入渗工程、河道段挡水工程、渗井工程的设计提供依据，完成试验场地工程的设计工作。</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1）场地勘测。进行2#渗坑、河道、引水管线线路代表性点位高程测量；以附近水准点为基准站，采用RTK进行渗坑、河道等代表性点位经纬度和高程测量。</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场地补充取样勘察。对试验场地浅部地层岩性补充取样勘察，尤其需要查明上部弱透水层的埋深、分布、厚度、渗透性等，各试验场布置勘察和取样孔共10孔，其中地质勘察孔4孔，取样孔6孔，完成试验场地工程的设计工作。</w:t>
            </w:r>
          </w:p>
          <w:p>
            <w:pPr>
              <w:pStyle w:val="null3"/>
              <w:ind w:firstLine="420"/>
              <w:jc w:val="both"/>
            </w:pPr>
            <w:r>
              <w:rPr>
                <w:rFonts w:ascii="仿宋_GB2312" w:hAnsi="仿宋_GB2312" w:cs="仿宋_GB2312" w:eastAsia="仿宋_GB2312"/>
                <w:sz w:val="21"/>
                <w:color w:val="000000"/>
              </w:rPr>
              <w:t>2.试验场地建设：建设渗坑入渗工程1.0万m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、河道挡水工程</w:t>
            </w:r>
            <w:r>
              <w:rPr>
                <w:rFonts w:ascii="仿宋_GB2312" w:hAnsi="仿宋_GB2312" w:cs="仿宋_GB2312" w:eastAsia="仿宋_GB2312"/>
                <w:sz w:val="21"/>
                <w:color w:val="000000"/>
              </w:rPr>
              <w:t>1处、渗井工程2座等。</w:t>
            </w:r>
          </w:p>
          <w:p>
            <w:pPr>
              <w:pStyle w:val="null3"/>
              <w:ind w:firstLine="420"/>
              <w:jc w:val="both"/>
            </w:pPr>
            <w:r>
              <w:rPr>
                <w:rFonts w:ascii="仿宋_GB2312" w:hAnsi="仿宋_GB2312" w:cs="仿宋_GB2312" w:eastAsia="仿宋_GB2312"/>
                <w:sz w:val="21"/>
                <w:color w:val="000000"/>
              </w:rPr>
              <w:t>3.大型渗水试验：布设自动监测设备、制定取样计划；开展静水入渗试验；同步监测地下水水位、地表蓄水位等试验数据；分析评估稳定入渗速率、地下水有效补给量、补给系数；通过室内简易回灌堵塞试验，初步探讨回灌水源引起表面和含水层堵塞的可能性。</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1）场地三维地形、河道断面测量。在试验场地勘测及相关土建工程完成后，开展试验场三维地形测量、河道断面测量，绘制蓄水水位～面积曲线、蓄水水位～蓄水容量曲线、河道断面图。</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试验监测孔及设备布设、施工与安装。布设地下水位观测孔14个；安装地下与地表蓄水位自动监测设备、包气带土壤含水量自动监测设备、降水与蒸发等监测设备；沿石川河上、中、下游等布设地表水监测断面，监测石川河流量变化。</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3）入渗水源。依据本次试验场入渗条件和入渗能力，考虑输水损失后，2#试验场计划引水总量为79万m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，河道试验场计划引水总量为</w:t>
            </w:r>
            <w:r>
              <w:rPr>
                <w:rFonts w:ascii="仿宋_GB2312" w:hAnsi="仿宋_GB2312" w:cs="仿宋_GB2312" w:eastAsia="仿宋_GB2312"/>
                <w:sz w:val="21"/>
                <w:color w:val="000000"/>
              </w:rPr>
              <w:t>39万m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，合计外购水量</w:t>
            </w:r>
            <w:r>
              <w:rPr>
                <w:rFonts w:ascii="仿宋_GB2312" w:hAnsi="仿宋_GB2312" w:cs="仿宋_GB2312" w:eastAsia="仿宋_GB2312"/>
                <w:sz w:val="21"/>
                <w:color w:val="000000"/>
              </w:rPr>
              <w:t>118万m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。投标单位自行协调解决水源。</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4）试验数据监测与取样检测分析。</w:t>
            </w:r>
          </w:p>
          <w:p>
            <w:pPr>
              <w:pStyle w:val="null3"/>
              <w:ind w:firstLine="420"/>
              <w:jc w:val="left"/>
            </w:pPr>
            <w:r>
              <w:rPr>
                <w:rFonts w:ascii="仿宋_GB2312" w:hAnsi="仿宋_GB2312" w:cs="仿宋_GB2312" w:eastAsia="仿宋_GB2312"/>
                <w:sz w:val="21"/>
                <w:color w:val="000000"/>
              </w:rPr>
              <w:t>监测地下水水位、地表蓄水位、降水、蒸发、次引水补给量等试验数据；同步采集地表水与地下水监测井中水样，分析各水样的温度、</w:t>
            </w:r>
            <w:r>
              <w:rPr>
                <w:rFonts w:ascii="仿宋_GB2312" w:hAnsi="仿宋_GB2312" w:cs="仿宋_GB2312" w:eastAsia="仿宋_GB2312"/>
                <w:sz w:val="21"/>
                <w:color w:val="000000"/>
              </w:rPr>
              <w:t>pH值、溶解氧、浊度等、主要化学离子、水化学类型、胶体、微生物等；在关键时间节点采集试验场地底部土样以及含水层、包气带与弱透水层原位土样，分析渗坑及河床底部土样的渗透性变化，检测分析含水层与弱透水层土样渗透性、给水度与颗粒级配，分析包气带土样的含水率变化。</w:t>
            </w:r>
          </w:p>
          <w:p>
            <w:pPr>
              <w:pStyle w:val="null3"/>
              <w:ind w:firstLine="420"/>
              <w:jc w:val="left"/>
            </w:pPr>
            <w:r>
              <w:rPr>
                <w:rFonts w:ascii="仿宋_GB2312" w:hAnsi="仿宋_GB2312" w:cs="仿宋_GB2312" w:eastAsia="仿宋_GB2312"/>
                <w:sz w:val="21"/>
                <w:color w:val="000000"/>
              </w:rPr>
              <w:t>地表水测流，河道全段增加地表水测流，需进行局部河道整治，然后布设监测断面。</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5）试验成果分析。</w:t>
            </w:r>
          </w:p>
          <w:p>
            <w:pPr>
              <w:pStyle w:val="null3"/>
              <w:ind w:firstLine="420"/>
              <w:jc w:val="left"/>
            </w:pPr>
            <w:r>
              <w:rPr>
                <w:rFonts w:ascii="仿宋_GB2312" w:hAnsi="仿宋_GB2312" w:cs="仿宋_GB2312" w:eastAsia="仿宋_GB2312"/>
                <w:sz w:val="21"/>
                <w:color w:val="000000"/>
              </w:rPr>
              <w:t>关键指标计算分析，一是基于水均衡法，结合地表蓄水位、降水、蒸发监测数据计算初期入渗速率，绘制入渗速率过程线，分析评估稳定入渗速率，利用次引水量监测结果，同时考虑渗漏损失，对比校验地表水体蓄变量；二是基于入渗量计算结果，结合包气带含水量监测和包气带土样的取样分析结果，计算地下水有效补给量、地下水有效入渗补给系数。</w:t>
            </w:r>
          </w:p>
          <w:p>
            <w:pPr>
              <w:pStyle w:val="null3"/>
              <w:ind w:firstLine="420"/>
              <w:jc w:val="left"/>
            </w:pPr>
            <w:r>
              <w:rPr>
                <w:rFonts w:ascii="仿宋_GB2312" w:hAnsi="仿宋_GB2312" w:cs="仿宋_GB2312" w:eastAsia="仿宋_GB2312"/>
                <w:sz w:val="21"/>
                <w:color w:val="000000"/>
              </w:rPr>
              <w:t>构建入渗场数值模拟模型，结合地下水水位监测结果，分析计算地下水补给量，并与水均衡法计算结果对比验证。</w:t>
            </w:r>
          </w:p>
          <w:p>
            <w:pPr>
              <w:pStyle w:val="null3"/>
              <w:ind w:firstLine="420"/>
              <w:jc w:val="left"/>
            </w:pPr>
            <w:r>
              <w:rPr>
                <w:rFonts w:ascii="仿宋_GB2312" w:hAnsi="仿宋_GB2312" w:cs="仿宋_GB2312" w:eastAsia="仿宋_GB2312"/>
                <w:sz w:val="21"/>
                <w:color w:val="000000"/>
              </w:rPr>
              <w:t>评价水源水质、地下水水质变化，初步探讨回灌水源引起堵塞的可能性，</w:t>
            </w:r>
            <w:r>
              <w:rPr>
                <w:rFonts w:ascii="仿宋_GB2312" w:hAnsi="仿宋_GB2312" w:cs="仿宋_GB2312" w:eastAsia="仿宋_GB2312"/>
              </w:rPr>
              <w:t xml:space="preserve"> </w:t>
            </w:r>
            <w:r>
              <w:rPr>
                <w:rFonts w:ascii="仿宋_GB2312" w:hAnsi="仿宋_GB2312" w:cs="仿宋_GB2312" w:eastAsia="仿宋_GB2312"/>
                <w:sz w:val="21"/>
                <w:color w:val="000000"/>
              </w:rPr>
              <w:t>基于试验过程中地表水和地下水水取样分析结果，评价入渗水源对地下水水质的影响，通过室内简易回灌堵塞试验结果，分析探讨回灌水源引起表面和含水层堵塞的可能性，根据试验成果，提出富平地下水库的人工补给调蓄模式、入渗方式、工程规模等相关建议。</w:t>
            </w:r>
          </w:p>
          <w:p>
            <w:pPr>
              <w:pStyle w:val="null3"/>
              <w:ind w:firstLine="420"/>
              <w:jc w:val="left"/>
            </w:pPr>
            <w:r>
              <w:rPr>
                <w:rFonts w:ascii="仿宋_GB2312" w:hAnsi="仿宋_GB2312" w:cs="仿宋_GB2312" w:eastAsia="仿宋_GB2312"/>
                <w:sz w:val="21"/>
                <w:color w:val="000000"/>
              </w:rPr>
              <w:t>4、水库出口处地质勘探孔：在出口处布设2眼水文地质钻孔，进行抽水和注水试验，计算含水层相关参数。</w:t>
            </w:r>
          </w:p>
          <w:p>
            <w:pPr>
              <w:pStyle w:val="null3"/>
              <w:spacing w:after="165"/>
              <w:ind w:firstLine="420"/>
              <w:jc w:val="left"/>
            </w:pPr>
            <w:r>
              <w:rPr>
                <w:rFonts w:ascii="仿宋_GB2312" w:hAnsi="仿宋_GB2312" w:cs="仿宋_GB2312" w:eastAsia="仿宋_GB2312"/>
                <w:sz w:val="21"/>
                <w:color w:val="000000"/>
              </w:rPr>
              <w:t>5、其他：组织编制《石川河河湖复苏及富平地下水库工程大型入渗试验项目设计方案》，工作内容不局限于招标清单工作内容，以该设计方案通过技术审查的工作内容为准。</w:t>
            </w:r>
          </w:p>
          <w:p>
            <w:pPr>
              <w:pStyle w:val="null3"/>
              <w:ind w:firstLine="420"/>
              <w:jc w:val="left"/>
            </w:pPr>
            <w:r>
              <w:rPr>
                <w:rFonts w:ascii="仿宋_GB2312" w:hAnsi="仿宋_GB2312" w:cs="仿宋_GB2312" w:eastAsia="仿宋_GB2312"/>
                <w:sz w:val="21"/>
                <w:color w:val="000000"/>
              </w:rPr>
              <w:t>6.主要工作成果</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大型入渗试验报告：提交《石川河河湖复苏及富平地下水库工程大型入渗试验成果报告》（含相关附图附表）。该成果报告需满足《石川河河湖复苏及富平地下水库工程可行性研究报告初步审查意见》及相关技术需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评审验收：《成果报告》（含相关附图附表）需经咨询、审查，修改完善后提交最终成果，为石川河地下水库人工补给调蓄模式、入渗方式与规模等提供相关建议。承担单位须配合《石川河河湖复苏及富平地下水库工程可行性研究报告》修编工作，直至该可研报告通过相关技术审查。</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用于本项目的仪器设备应符合相关国家技术标准。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自合同签订后，365日历天提交最终出成果（试验场地工程建设及原位入渗试验的土建工作必须在2025年12月31日前完成）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渭南市富平县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应符合《石川河河湖复苏及富平地下水库工程可行性研究报告初步审查意见》《关于石川河河湖复苏及富平地下水库工程大型入渗试验任务书的批复》（陕水规计发﹝2024﹞76号）要求，建设过程执行《地下水监测工程技术标准》（GB/T 51040-2023）、《水文水井地质钻探规程》（DZ/T0148-2014）和《机井工程技术标准》（GB/T50625-2023）等现行相关规范。本项目按照《陕西省水利前期工作项目验收管理办法（暂行）》相关规定，采购人完成合同相关工作任务并通过自验,具备验收条件后提出申请，由项目主管单位根据相关技术标准和合同要求开展验收。验收过程可参照《&lt;水文设施工程验收规程&gt;SL650-2014》《&lt;水利水电建设工程验收规程&gt;SL223-2025》等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项目试验场地工程建设及改造及原位入渗试验准备工作完工后（试验场地工程建设及原位入渗试验的土建工作必须在2025年12月31日前完成）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完成所有合同内容，且验收合格后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详见第七章拟签订采购合同文本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领取中标通知书前向代理机构提供纸质版投标文件（投标文件必须与在陕西省政府采购综合管理平台的项目电子化交易系统中递交的电子响应文件内容一致），投标文件为正本一份，副本二份，电子U盘二个（U盘内容包括Word版本、签字盖章扫描后的PDF版本响应文件）。纸质响应文件均须A4纸打印，分别各自装订成册并编制目录和页码。 2、本项目所属行业为：其他未列明行业。 3、如招标文件中融资相关内容与新政策要求有出入，按照最新要求执行。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2.完税证明：投标人须提供投标截止时间前一年内，已缴纳的任意一个月的纳税证明或完税证明，纳税证明或完税证明上应有代收机构或税务机关的公章或业务专用章，依法免税的投标人应提供相关文件证明；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投标人须提供2024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投标截止时间前6个月内）及基本存款账户开户许可证（基本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法定代表人授权书(附法定代表人、被授权人身份证复印件)及被授权人身份证复印件(法定代表人直接参加投标的，须提供法定代表人身份证明及身份证复印件)；非法人单位参照执行。</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单位负责人为同一人或者存在直接控股、管理关系的不同投标人，不得参加同一项目的招标活动；（提供承诺书）</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 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具备工程勘察综合类甲级或工程勘察专业类（水文地质勘察）甲级或工程勘察专业类（岩土工程）甲级</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项目经理需具备注册岩土工程师资格或水文地质相关专业高级或以上职称。</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1.允许组成联合体投标； 2.联合体成员不得作为独立供应商或加入本项目其他联合体参加本项目磋商。联合体应递交一份联合体协议书，该协议书须明确联合体各成员对本项目项下的全部责任和义务承担连带法律责任。该协议书须有各成员的法定代表人或授权代表签字并加盖公章，并明确约定联合体牵头人和联合体成员计划承担的份额和分工责任的说明。3.联合体各成员还须共同提交一份由各成员的法定代表人或授权代表签字的授权书，授权联合体牵头人代表各成员在本项目招标投标过程中，及合同执行过程中（如联合体被授予合同）以联合体的名义并代表联合体进行澄清、签署文件和处理一切与此事有关的全部事务。同时，与采购人之间的来往信函将通过联合体牵头人传递。</w:t>
            </w:r>
          </w:p>
        </w:tc>
        <w:tc>
          <w:tcPr>
            <w:tcW w:type="dxa" w:w="1661"/>
          </w:tcPr>
          <w:p>
            <w:pPr>
              <w:pStyle w:val="null3"/>
            </w:pPr>
            <w:r>
              <w:rPr>
                <w:rFonts w:ascii="仿宋_GB2312" w:hAnsi="仿宋_GB2312" w:cs="仿宋_GB2312" w:eastAsia="仿宋_GB2312"/>
              </w:rPr>
              <w:t>投标函 供应商应提交的相关资格证明材料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投标文件签字盖章要求</w:t>
            </w:r>
          </w:p>
        </w:tc>
        <w:tc>
          <w:tcPr>
            <w:tcW w:type="dxa" w:w="3322"/>
          </w:tcPr>
          <w:p>
            <w:pPr>
              <w:pStyle w:val="null3"/>
            </w:pPr>
            <w:r>
              <w:rPr>
                <w:rFonts w:ascii="仿宋_GB2312" w:hAnsi="仿宋_GB2312" w:cs="仿宋_GB2312" w:eastAsia="仿宋_GB2312"/>
              </w:rPr>
              <w:t>投标人应按招标文件要求对投标文件进行电子签章。</w:t>
            </w:r>
          </w:p>
        </w:tc>
        <w:tc>
          <w:tcPr>
            <w:tcW w:type="dxa" w:w="1661"/>
          </w:tcPr>
          <w:p>
            <w:pPr>
              <w:pStyle w:val="null3"/>
            </w:pPr>
            <w:r>
              <w:rPr>
                <w:rFonts w:ascii="仿宋_GB2312" w:hAnsi="仿宋_GB2312" w:cs="仿宋_GB2312" w:eastAsia="仿宋_GB2312"/>
              </w:rPr>
              <w:t>开标一览表 服务内容及服务邀请应答表 业绩（1）.docx 中小企业声明函 商务应答表 供应商应提交的相关资格证明材料 投标函 残疾人福利性单位声明函 服务方案 标的清单 投标文件封面 其他（1）.docx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服务内容及服务邀请应答表 业绩（1）.docx 商务应答表 标的清单 供应商应提交的相关资格证明材料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报价唯一，报价不得超过招标文件中规定的最高限价。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符合招标文件要求，提供投标保证金缴纳凭证或担保机构出具的保函</w:t>
            </w:r>
          </w:p>
        </w:tc>
        <w:tc>
          <w:tcPr>
            <w:tcW w:type="dxa" w:w="1661"/>
          </w:tcPr>
          <w:p>
            <w:pPr>
              <w:pStyle w:val="null3"/>
            </w:pPr>
            <w:r>
              <w:rPr>
                <w:rFonts w:ascii="仿宋_GB2312" w:hAnsi="仿宋_GB2312" w:cs="仿宋_GB2312" w:eastAsia="仿宋_GB2312"/>
              </w:rPr>
              <w:t>供应商应提交的相关资格证明材料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满足招标文件中要求的服务期限</w:t>
            </w:r>
          </w:p>
        </w:tc>
        <w:tc>
          <w:tcPr>
            <w:tcW w:type="dxa" w:w="1661"/>
          </w:tcPr>
          <w:p>
            <w:pPr>
              <w:pStyle w:val="null3"/>
            </w:pPr>
            <w:r>
              <w:rPr>
                <w:rFonts w:ascii="仿宋_GB2312" w:hAnsi="仿宋_GB2312" w:cs="仿宋_GB2312" w:eastAsia="仿宋_GB2312"/>
              </w:rPr>
              <w:t>投标函 商务应答表 服务方案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对投标文件响应程度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开标一览表 服务内容及服务邀请应答表 商务应答表 服务方案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1.针对本项目的特点提供总体的项目实施方案（包括但不限①目标任务；②工作部署；③技术路线;④工作方法及技术要求；⑤重要资料收集工作安排等），根据方案的全面性、科学性、合理性、针对性综合评审。 方案科学合理、切实可行，不缺项且有针对性解释说明得14分； 2.方案比较合理、有一定的可行性，不缺项且有针对性解释说明得12分； 3.方案比较合理、有一定的可行性，有针对性解释说明但缺项1项得10分； 4.方案基本合理、具有可操作性，存在不确定因素，有针对性解释说明但缺项1项得8分； 5.方案基本合理、可操作性不强，存在不确定因素，有针对性解释说明但缺项2项得6分； 6.方案不够合理、可操作性不强，解释说明缺项2项得4分； 7.方案不够合理、可操作性不强，存在缺项3项得2分； 8.方案存在漏项较多，可操作性差，得1分； 未提供或完全脱离项目实际的不得分。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1.重点和难点分析全面，合理，并且提出切实可行的解决办法的，得8分； 2.重点和难点分析全面，合理，对于重难点的解决办法较为合理可行的，得6分； 3.重点和难点分析全面，合理，对于重难点的解决办法可行性一般的，得4分； 4.重点和难点分析基本全面，基本合理，对于重难点的解决办法基本可行的，得2分； 5.重点和难点分析不全面，不合理，对于重难点的解决办法不可行的，得1分；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技术人员配备(不含主要负责人）</w:t>
            </w:r>
          </w:p>
        </w:tc>
        <w:tc>
          <w:tcPr>
            <w:tcW w:type="dxa" w:w="2492"/>
          </w:tcPr>
          <w:p>
            <w:pPr>
              <w:pStyle w:val="null3"/>
            </w:pPr>
            <w:r>
              <w:rPr>
                <w:rFonts w:ascii="仿宋_GB2312" w:hAnsi="仿宋_GB2312" w:cs="仿宋_GB2312" w:eastAsia="仿宋_GB2312"/>
              </w:rPr>
              <w:t>1.技术人员数量要求:达到19人及以上得2分，19人以下不得分。 2.技术人员资历要求：为本项目配置的技术人员专业应涵盖水文地质或工程地质或环境地质(不少于14名)、测绘(不少于1人)、钻探(不少于3人)、安全员(不少于1人)，全部专业均需具有中级或以上技术职称(安全员只需要提供安全员上岗证/岗位培训证，钻探人员中级工视同中级职称，测量员视同中级职称)，任意1个专业满足要求的得2.5分，本项满分10分。备注:同时提供人员对应证书、身份证、开标时间前近6个月内任意一个月投标人为其缴纳社保证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主要负责人</w:t>
            </w:r>
          </w:p>
        </w:tc>
        <w:tc>
          <w:tcPr>
            <w:tcW w:type="dxa" w:w="2492"/>
          </w:tcPr>
          <w:p>
            <w:pPr>
              <w:pStyle w:val="null3"/>
            </w:pPr>
            <w:r>
              <w:rPr>
                <w:rFonts w:ascii="仿宋_GB2312" w:hAnsi="仿宋_GB2312" w:cs="仿宋_GB2312" w:eastAsia="仿宋_GB2312"/>
              </w:rPr>
              <w:t>(1)项目负责人具有与本项目类似专业本科以上学历的得2分。 项目负责人业绩：2020年8月1日至投标截止前完成过类似项目每个得1分，最多得2分； (2)技术负责人业绩；2020年8月1日至投标截止前完成过类似项目每个得1分，最多得2分。 备注:投标人同时提供上述人员职称证书、身份证、开标时间前近6个月内任意一个月投标人为其缴纳社保证明、相应业绩证明材料(业绩证明材料以合同、任务书、中标通知书、主管部门委托函、项目履约验收单、成果报告评审意见、业主方开具的证明等任意一种均可，但必须体现该人员姓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1.安全生产管理体系健全完善、安全生产目标明确，预防和动态控制措施及制度内容完整，安全经费投入明确,完全满足项目实施计6分； 2.安全生产目标明确，管理体系较完善，预防和动态控制措施及制度较完整，安全经费投入不明确,满足项目实施计4分； 3.安全生产目标基本明确，管理体系基本完善，预防和动态控制措施及制度基本完整，未明确安全经费投入,基本满足项目实施计2分； 4.安全生产目标不够明确，管理体系不完善，预防和动态控制措施及制度不完整计1分；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质量管理体系及保证措施</w:t>
            </w:r>
          </w:p>
        </w:tc>
        <w:tc>
          <w:tcPr>
            <w:tcW w:type="dxa" w:w="2492"/>
          </w:tcPr>
          <w:p>
            <w:pPr>
              <w:pStyle w:val="null3"/>
            </w:pPr>
            <w:r>
              <w:rPr>
                <w:rFonts w:ascii="仿宋_GB2312" w:hAnsi="仿宋_GB2312" w:cs="仿宋_GB2312" w:eastAsia="仿宋_GB2312"/>
              </w:rPr>
              <w:t>1.质量管理体系健全完善、质量目标明确，保证措施内容非常全面，条理清晰，针对性充足且完全满足项目实施计6分； 2.质量管理体系较完善、质量目标明确，保证措施详细、内容完整，有针对性计4分； 3.质量管理体系基本完善，保证措基本较详细，内容基本完整，有一定针对性，基本能够满足项目实施计2分； 4.无管理体系，保证措施内容简单粗略，针对性不足计1分；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机械设备配备</w:t>
            </w:r>
          </w:p>
        </w:tc>
        <w:tc>
          <w:tcPr>
            <w:tcW w:type="dxa" w:w="2492"/>
          </w:tcPr>
          <w:p>
            <w:pPr>
              <w:pStyle w:val="null3"/>
            </w:pPr>
            <w:r>
              <w:rPr>
                <w:rFonts w:ascii="仿宋_GB2312" w:hAnsi="仿宋_GB2312" w:cs="仿宋_GB2312" w:eastAsia="仿宋_GB2312"/>
              </w:rPr>
              <w:t>拟投入本项目机械设备配备齐全、数量充足，并能明确设备来源及使用情况，有相关证明材料，完全满足项目实施需求计6分； 2.机械配备较合理，有对设备来源进行说明，能够满足项目实施需求计4分； 3.机械配备基本合理，基本满足项目实施需求计2分； 4.机械设备配备不足，不能保障项目的顺利进行计1分；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1.项目风险预测与防范、事故应急预案考虑全面，内容切实可行且，经济合理计6分； 2.项目风险预测与防范、事故应急预案考虑较全面，基本可行性计4分； 3.项目风险预测与防范、事故应急预案明确且基本可行计2分； 4.项目风险预测与防范、事故应急预案含糊且可行性不足计1分； 未提供或完全脱离项目实际的不得分。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规范和技术标准措施</w:t>
            </w:r>
          </w:p>
        </w:tc>
        <w:tc>
          <w:tcPr>
            <w:tcW w:type="dxa" w:w="2492"/>
          </w:tcPr>
          <w:p>
            <w:pPr>
              <w:pStyle w:val="null3"/>
            </w:pPr>
            <w:r>
              <w:rPr>
                <w:rFonts w:ascii="仿宋_GB2312" w:hAnsi="仿宋_GB2312" w:cs="仿宋_GB2312" w:eastAsia="仿宋_GB2312"/>
              </w:rPr>
              <w:t>1.根据对服务符合相关规范和技术标准的措施。 措施方案全面具体、规范和技术标准高、数据可靠、能有效保障项目实施的得8分； 2.措施方案较全面较具体、规范和技术标准较高、数据可靠、较能有效保障项目实施的得6分； 3.措施方案基本全面、规范和技术标准高、数据较为可靠、对项目实施有利性一般得4分； 4.措施方案不全面、规范和技术标准低、数据基本可靠、基本有利于对项目实施的的得2分； 5.措施方案不全面、规范和技术标准低、数据不可靠的，不利于对项目实施的的得1分； 未提供或完全脱离项目实际的不得分。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1.承诺全面且从多个角度明确地做出承诺，合理可行且完全能满足采购人对项目需求的，得4分； 2.承诺基本全面且承诺内容基本可行的，得3分； 3.承诺基本全面但实施有难度的，得2分； 4.承诺不全面且实施难度大的，得1分； 未提供或完全脱离项目实际的不得分。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1.建议全面且从多个角度考虑，合理可行且对项目实施具有较强的指导作用的得4分； 2.建议基本全面且建议内容基本可行的，得3分； 3.建议基本全面但实施有难度的，得2分； 4.建议不全面且实施难度大的，得1分； 未提供或完全脱离项目实际的不得分。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1、供应商提供2020年8月1日至投标文件递交截止时间内的类似业绩，每提供一项单个合同项目得2分，累计最多得10分。 注 ：以投标文件中所附的加盖公章的业绩合同复印件为准，时间以合同签订时间为准；未提供业绩证明资料、业绩证明资料未显示时间、业绩证明资料显示时间不符合要求者不得分。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满足招标文件要求且报价最低的供应商的价格为评标基准价，其价格分为满分。其他供应商的价格分统一按照下列公式计算：投标报价得分=（评标基准价/投标报价） ×分值；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详见附件：业绩（1）.docx</w:t>
      </w:r>
    </w:p>
    <w:p>
      <w:pPr>
        <w:pStyle w:val="null3"/>
        <w:ind w:firstLine="960"/>
      </w:pPr>
      <w:r>
        <w:rPr>
          <w:rFonts w:ascii="仿宋_GB2312" w:hAnsi="仿宋_GB2312" w:cs="仿宋_GB2312" w:eastAsia="仿宋_GB2312"/>
        </w:rPr>
        <w:t>详见附件：其他（1）.docx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详见附件：石川河河湖复苏及富平地下水库工程大型入渗试验合同8.14上传.docx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