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B7028">
      <w:pPr>
        <w:spacing w:before="156" w:beforeLines="50" w:line="360" w:lineRule="auto"/>
        <w:jc w:val="center"/>
        <w:rPr>
          <w:b/>
          <w:color w:val="auto"/>
          <w:sz w:val="24"/>
          <w:highlight w:val="none"/>
        </w:rPr>
      </w:pPr>
      <w:r>
        <w:rPr>
          <w:rFonts w:hint="eastAsia"/>
          <w:b/>
          <w:color w:val="auto"/>
          <w:sz w:val="24"/>
          <w:highlight w:val="none"/>
        </w:rPr>
        <w:t>（此合同仅作为参考，最终签订的合同以采购人确定的合同内容为准。）</w:t>
      </w:r>
    </w:p>
    <w:p w14:paraId="3F9B3A5B">
      <w:pPr>
        <w:spacing w:line="460" w:lineRule="exact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1.工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程概述：</w:t>
      </w:r>
    </w:p>
    <w:p w14:paraId="15BF6986">
      <w:pPr>
        <w:spacing w:line="460" w:lineRule="exact"/>
        <w:ind w:firstLine="480" w:firstLineChars="20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工程名称：西安科技大学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雁塔校区北院消防施工整改一期工程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</w:rPr>
        <w:t xml:space="preserve"> </w:t>
      </w:r>
    </w:p>
    <w:p w14:paraId="1EFDE41D">
      <w:pPr>
        <w:spacing w:line="46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工程地址：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西安科技大学</w:t>
      </w:r>
      <w:r>
        <w:rPr>
          <w:rFonts w:hint="eastAsia" w:ascii="宋体" w:hAnsi="宋体"/>
          <w:color w:val="auto"/>
          <w:sz w:val="24"/>
          <w:highlight w:val="none"/>
        </w:rPr>
        <w:t>指定地点</w:t>
      </w:r>
    </w:p>
    <w:p w14:paraId="0ED04F10">
      <w:pPr>
        <w:tabs>
          <w:tab w:val="left" w:pos="1155"/>
        </w:tabs>
        <w:spacing w:line="460" w:lineRule="exact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2.工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程工期：</w:t>
      </w:r>
    </w:p>
    <w:p w14:paraId="047FDB78"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2.1开工日期：合同</w:t>
      </w:r>
      <w:r>
        <w:rPr>
          <w:rFonts w:ascii="宋体" w:hAnsi="宋体" w:cs="宋体-18030"/>
          <w:bCs/>
          <w:color w:val="auto"/>
          <w:sz w:val="24"/>
          <w:highlight w:val="none"/>
        </w:rPr>
        <w:t>约定</w:t>
      </w:r>
    </w:p>
    <w:p w14:paraId="5547C0FD">
      <w:pPr>
        <w:spacing w:line="460" w:lineRule="exact"/>
        <w:ind w:firstLine="480" w:firstLineChars="200"/>
        <w:rPr>
          <w:rFonts w:ascii="宋体" w:hAnsi="宋体" w:cs="宋体-18030"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2.2竣工日期：合同</w:t>
      </w:r>
      <w:r>
        <w:rPr>
          <w:rFonts w:ascii="宋体" w:hAnsi="宋体" w:cs="宋体-18030"/>
          <w:bCs/>
          <w:color w:val="auto"/>
          <w:sz w:val="24"/>
          <w:highlight w:val="none"/>
        </w:rPr>
        <w:t>约定</w:t>
      </w:r>
    </w:p>
    <w:p w14:paraId="2B3AC08C"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2.3成交供应商未征得采购人同意和谅解而单方面延迟工期，将按违约终止合同。</w:t>
      </w:r>
    </w:p>
    <w:p w14:paraId="5AF801CC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2.4成交供应商遇到可能妨碍按期完工的情况时，须及时以书面形式通知采购人，说明原由、拖延的期限等；采购人、采购代理机构在收到通知后，尽快进行情况评估并确定是否通过修改合同，酌情延长工期时间或者通过协商加收误期赔偿金。</w:t>
      </w:r>
    </w:p>
    <w:p w14:paraId="284270C4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-1803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-18030"/>
          <w:bCs/>
          <w:color w:val="auto"/>
          <w:sz w:val="24"/>
          <w:highlight w:val="none"/>
          <w:lang w:val="en-US" w:eastAsia="zh-CN"/>
        </w:rPr>
        <w:t>2.5因供应商原因导致工期延误</w:t>
      </w:r>
    </w:p>
    <w:p w14:paraId="076BEF17"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eastAsia="宋体" w:cs="宋体-1803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-18030"/>
          <w:bCs/>
          <w:color w:val="auto"/>
          <w:sz w:val="24"/>
          <w:highlight w:val="none"/>
          <w:lang w:val="en-US" w:eastAsia="zh-CN"/>
        </w:rPr>
        <w:t>因供应商原因造成工期延误，逾期竣工违约金的计算方法为：因供应商原因，工程工期每延误一天，供应商按10000元/天向采购人支付违约金，如工期延误超过10天（含第10天），采购人还有权单方面解除合同，违约金不足以弥补采购人损失的，供应商应补足。</w:t>
      </w:r>
    </w:p>
    <w:p w14:paraId="2CEFBDAB">
      <w:pPr>
        <w:tabs>
          <w:tab w:val="left" w:pos="1155"/>
        </w:tabs>
        <w:spacing w:line="460" w:lineRule="exact"/>
        <w:ind w:firstLine="480" w:firstLineChars="200"/>
        <w:rPr>
          <w:rFonts w:hint="default" w:ascii="宋体" w:hAnsi="宋体" w:eastAsia="宋体" w:cs="宋体-18030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-18030"/>
          <w:bCs/>
          <w:color w:val="auto"/>
          <w:sz w:val="24"/>
          <w:highlight w:val="none"/>
          <w:lang w:val="en-US" w:eastAsia="zh-CN"/>
        </w:rPr>
        <w:t>当供应商在规定工期内未完成本项目承包范围内施工内容，采购人有权利对分项工程进行单独分包，由采购人直接与具有相应资质的分包单位另行签订合同并结算，该部分工程量从承包范围中直接扣除，同时，供应商应支付约定的违约金，违约金不足以弥补采购人损失的，供应商应补足。</w:t>
      </w:r>
    </w:p>
    <w:p w14:paraId="4630ACCA">
      <w:pPr>
        <w:adjustRightInd w:val="0"/>
        <w:snapToGrid w:val="0"/>
        <w:spacing w:line="460" w:lineRule="exac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3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.合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同总价款：</w:t>
      </w:r>
      <w:r>
        <w:rPr>
          <w:rFonts w:hint="eastAsia" w:ascii="宋体" w:hAnsi="宋体" w:cs="仿宋_GB2312"/>
          <w:color w:val="auto"/>
          <w:sz w:val="24"/>
          <w:szCs w:val="24"/>
          <w:highlight w:val="none"/>
        </w:rPr>
        <w:t>本工程合同形式为固定综合单价合同</w:t>
      </w:r>
      <w:r>
        <w:rPr>
          <w:rFonts w:hint="eastAsia" w:ascii="宋体" w:hAnsi="宋体"/>
          <w:color w:val="auto"/>
          <w:sz w:val="24"/>
          <w:highlight w:val="none"/>
        </w:rPr>
        <w:t>。</w:t>
      </w:r>
    </w:p>
    <w:p w14:paraId="10C581A8">
      <w:pPr>
        <w:tabs>
          <w:tab w:val="left" w:pos="1155"/>
        </w:tabs>
        <w:spacing w:line="460" w:lineRule="exact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4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.工程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技术资料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：即国家主管部门的批文、行业监管部门的许可、工程勘察设计资料等。</w:t>
      </w:r>
    </w:p>
    <w:p w14:paraId="61EEE922">
      <w:pPr>
        <w:tabs>
          <w:tab w:val="left" w:pos="1155"/>
        </w:tabs>
        <w:spacing w:line="460" w:lineRule="exact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5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识产权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：即成交供应商在提供施工技术、工程材料、工程设备等时，对涉及任何有关知识产权的法律诉讼承担全责。</w:t>
      </w:r>
    </w:p>
    <w:p w14:paraId="74045EF7">
      <w:pPr>
        <w:tabs>
          <w:tab w:val="left" w:pos="1155"/>
        </w:tabs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  <w:u w:val="thick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6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程施工的配合与责任</w:t>
      </w:r>
    </w:p>
    <w:p w14:paraId="017BDB44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6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.1采购人的责任（在合同中明确）。</w:t>
      </w:r>
    </w:p>
    <w:p w14:paraId="666B6673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6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.2成交供应商的责任（在合同中明确）。</w:t>
      </w:r>
    </w:p>
    <w:p w14:paraId="2B909A2F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6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.3监理单位的责任（在合同中明确）。</w:t>
      </w:r>
    </w:p>
    <w:p w14:paraId="1B677EA2">
      <w:pPr>
        <w:tabs>
          <w:tab w:val="left" w:pos="1155"/>
        </w:tabs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．施工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的组织</w:t>
      </w:r>
    </w:p>
    <w:p w14:paraId="0C06DA57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.1施工现场各方委派总责任人的职责和具体委派办法。</w:t>
      </w:r>
    </w:p>
    <w:p w14:paraId="22890C6B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.2安全施工保障措施及安全责任。</w:t>
      </w:r>
    </w:p>
    <w:p w14:paraId="56F998F9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.3开工、延期开工手续与开工确认。</w:t>
      </w:r>
    </w:p>
    <w:p w14:paraId="69BD8B69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.4暂停施工的原由、期限、再复工的确认及费用承担。</w:t>
      </w:r>
    </w:p>
    <w:p w14:paraId="0CC6677B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.5非正常情况下，工期可顺延的因素和确认条件。</w:t>
      </w:r>
    </w:p>
    <w:p w14:paraId="5DBCF5E8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.6工期奖罚条件。</w:t>
      </w:r>
    </w:p>
    <w:p w14:paraId="2EEA21B1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.7项目施工进展计划。</w:t>
      </w:r>
    </w:p>
    <w:p w14:paraId="2EEFD2D6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7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.8施工现场管理办法。</w:t>
      </w:r>
    </w:p>
    <w:p w14:paraId="6DF2B3C4"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8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工程质量保证</w:t>
      </w:r>
    </w:p>
    <w:p w14:paraId="493F8D8B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8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</w:t>
      </w:r>
      <w:r>
        <w:rPr>
          <w:rFonts w:hint="eastAsia" w:ascii="宋体" w:hAnsi="宋体" w:cs="宋体"/>
          <w:color w:val="auto"/>
          <w:kern w:val="0"/>
          <w:sz w:val="24"/>
          <w:szCs w:val="22"/>
          <w:highlight w:val="none"/>
        </w:rPr>
        <w:t>成交供应商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须按照国家颁布的施工规范进行施工，接受采购人及其代理人的监督检查，并承担不合格工程的返工施工及费用。因返工耽误的工期不得顺延。</w:t>
      </w:r>
    </w:p>
    <w:p w14:paraId="0261E34B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8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.2对工程施工质量出现争议的，须由质量监督部门进行认定。败诉方承担认定费用，并对造成的其他损失给予相应的补偿。</w:t>
      </w:r>
    </w:p>
    <w:p w14:paraId="19B68DA0">
      <w:pPr>
        <w:spacing w:line="460" w:lineRule="exact"/>
        <w:ind w:firstLine="470" w:firstLineChars="196"/>
        <w:rPr>
          <w:rFonts w:ascii="宋体" w:hAnsi="宋体" w:cs="宋体-18030"/>
          <w:b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8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</w:t>
      </w:r>
      <w:r>
        <w:rPr>
          <w:rFonts w:hint="eastAsia" w:ascii="宋体" w:hAnsi="宋体" w:cs="宋体"/>
          <w:color w:val="auto"/>
          <w:kern w:val="0"/>
          <w:sz w:val="24"/>
          <w:szCs w:val="22"/>
          <w:highlight w:val="none"/>
        </w:rPr>
        <w:t>成交供应商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 xml:space="preserve">对隐蔽工程的施工，具备覆盖、掩盖条件或达到协议条款约定的部分时，须自检合格后在隐蔽施工48小时前书面通知采购人代表，经采购人代表签字确认后，方可进行隐蔽工程的施工。 </w:t>
      </w:r>
    </w:p>
    <w:p w14:paraId="02E978E5"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ascii="宋体" w:hAnsi="宋体" w:cs="宋体-18030"/>
          <w:b/>
          <w:color w:val="auto"/>
          <w:sz w:val="24"/>
          <w:highlight w:val="none"/>
        </w:rPr>
        <w:t>9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.工程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材料设备供应</w:t>
      </w:r>
    </w:p>
    <w:p w14:paraId="19933D1D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9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.1由采购人供应的材料设备，由采购人提供清单，运达协商确定的地点，并在24小时前通知成交供应商验收（具体验收方式在合同中明确）。</w:t>
      </w:r>
    </w:p>
    <w:p w14:paraId="29F64A34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9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.2由成交供应商自供的材料设备，由成交供应商提供清单，运达指定地点，并在到货24小时内通知甲方代表验收（具体验收方式在合同中明确）。</w:t>
      </w:r>
    </w:p>
    <w:p w14:paraId="14108D25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ascii="宋体" w:hAnsi="宋体" w:cs="宋体-18030"/>
          <w:bCs/>
          <w:color w:val="auto"/>
          <w:sz w:val="24"/>
          <w:highlight w:val="none"/>
        </w:rPr>
        <w:t>9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.3由于工程建设的需要，经采购人同意后，可以对相应的材料进行调整，并协商确定价格差额计算方法和负担办法。</w:t>
      </w:r>
    </w:p>
    <w:p w14:paraId="58C97986"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color w:val="auto"/>
          <w:sz w:val="24"/>
          <w:highlight w:val="none"/>
        </w:rPr>
        <w:t>0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.工程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设计的变更</w:t>
      </w:r>
    </w:p>
    <w:p w14:paraId="1CFC6CF1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0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.1工程设计变更的内容与审批手续。</w:t>
      </w:r>
    </w:p>
    <w:p w14:paraId="00B368FE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0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.2工程设计变更后的工程价款的计算、建设工期确定的具体办法。</w:t>
      </w:r>
    </w:p>
    <w:p w14:paraId="47A9A6CA"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.竣工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验收与质保期</w:t>
      </w:r>
    </w:p>
    <w:p w14:paraId="30880398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.1竣工须达到的标准和具备工程验收的条件。</w:t>
      </w:r>
    </w:p>
    <w:p w14:paraId="5287ED98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.2工程验收规范、标准，验收的组织实施。</w:t>
      </w:r>
    </w:p>
    <w:p w14:paraId="1319328D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.3工程验收合格须移交的工程资料和竣工图纸等。</w:t>
      </w:r>
    </w:p>
    <w:p w14:paraId="76516589">
      <w:pPr>
        <w:spacing w:line="460" w:lineRule="exact"/>
        <w:ind w:firstLine="470" w:firstLineChars="196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Cs/>
          <w:color w:val="auto"/>
          <w:sz w:val="24"/>
          <w:highlight w:val="none"/>
        </w:rPr>
        <w:t>1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.4工程质保期</w:t>
      </w:r>
      <w:r>
        <w:rPr>
          <w:rFonts w:hint="eastAsia" w:ascii="宋体" w:hAnsi="宋体" w:cs="宋体-18030"/>
          <w:bCs/>
          <w:color w:val="auto"/>
          <w:sz w:val="24"/>
          <w:highlight w:val="none"/>
          <w:lang w:val="en-US" w:eastAsia="zh-CN"/>
        </w:rPr>
        <w:t>：符合国家规范要求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。</w:t>
      </w:r>
    </w:p>
    <w:p w14:paraId="3DB21FBE">
      <w:pPr>
        <w:tabs>
          <w:tab w:val="left" w:pos="840"/>
        </w:tabs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12.款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项结算：</w:t>
      </w:r>
    </w:p>
    <w:p w14:paraId="0220217E">
      <w:pPr>
        <w:tabs>
          <w:tab w:val="left" w:pos="840"/>
        </w:tabs>
        <w:spacing w:line="46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1、</w:t>
      </w:r>
      <w:r>
        <w:rPr>
          <w:rFonts w:hint="eastAsia" w:ascii="宋体" w:hAnsi="宋体" w:cs="宋体"/>
          <w:color w:val="auto"/>
          <w:sz w:val="24"/>
          <w:highlight w:val="none"/>
        </w:rPr>
        <w:t>结算单位：</w:t>
      </w:r>
      <w:r>
        <w:rPr>
          <w:rFonts w:hint="eastAsia" w:ascii="宋体" w:hAnsi="宋体"/>
          <w:color w:val="auto"/>
          <w:sz w:val="24"/>
          <w:highlight w:val="none"/>
        </w:rPr>
        <w:t>采购人结算，在付款前，必须开具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等额</w:t>
      </w:r>
      <w:r>
        <w:rPr>
          <w:rFonts w:hint="eastAsia" w:ascii="宋体" w:hAnsi="宋体" w:cs="宋体"/>
          <w:color w:val="auto"/>
          <w:sz w:val="24"/>
          <w:highlight w:val="none"/>
          <w:lang w:val="hr-HR"/>
        </w:rPr>
        <w:t>发票给</w:t>
      </w:r>
      <w:r>
        <w:rPr>
          <w:rFonts w:ascii="宋体" w:hAnsi="宋体" w:cs="宋体"/>
          <w:color w:val="auto"/>
          <w:sz w:val="24"/>
          <w:highlight w:val="none"/>
          <w:lang w:val="hr-HR"/>
        </w:rPr>
        <w:t>采购人</w:t>
      </w:r>
      <w:r>
        <w:rPr>
          <w:rFonts w:hint="eastAsia" w:ascii="宋体" w:hAnsi="宋体" w:cs="宋体"/>
          <w:color w:val="auto"/>
          <w:sz w:val="24"/>
          <w:highlight w:val="none"/>
          <w:lang w:val="hr-HR"/>
        </w:rPr>
        <w:t>；</w:t>
      </w:r>
    </w:p>
    <w:p w14:paraId="2690507A">
      <w:pPr>
        <w:spacing w:line="460" w:lineRule="exact"/>
        <w:ind w:firstLine="480" w:firstLineChars="200"/>
        <w:rPr>
          <w:rFonts w:hint="default" w:ascii="宋体" w:hAnsi="宋体" w:cs="宋体-18030" w:eastAsia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-18030"/>
          <w:color w:val="auto"/>
          <w:sz w:val="24"/>
          <w:highlight w:val="none"/>
        </w:rPr>
        <w:t>2、付款方式：</w:t>
      </w:r>
      <w:r>
        <w:rPr>
          <w:rFonts w:hint="eastAsia" w:ascii="宋体" w:hAnsi="宋体" w:cs="宋体-18030"/>
          <w:color w:val="auto"/>
          <w:sz w:val="24"/>
          <w:highlight w:val="none"/>
          <w:lang w:val="en-US" w:eastAsia="zh-CN"/>
        </w:rPr>
        <w:t>按成交供应商响应内容。</w:t>
      </w:r>
    </w:p>
    <w:p w14:paraId="1A6C3531">
      <w:pPr>
        <w:spacing w:line="460" w:lineRule="exact"/>
        <w:rPr>
          <w:rFonts w:ascii="宋体" w:hAnsi="宋体" w:cs="宋体-18030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color w:val="auto"/>
          <w:sz w:val="24"/>
          <w:highlight w:val="none"/>
        </w:rPr>
        <w:t>3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.合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同争议的解决</w:t>
      </w:r>
      <w:r>
        <w:rPr>
          <w:rFonts w:hint="eastAsia" w:ascii="宋体" w:hAnsi="宋体" w:cs="宋体-18030"/>
          <w:bCs/>
          <w:color w:val="auto"/>
          <w:sz w:val="24"/>
          <w:highlight w:val="none"/>
        </w:rPr>
        <w:t>：</w:t>
      </w:r>
    </w:p>
    <w:p w14:paraId="4E7F5091"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合同执行中发生争议的，当事人双方须协商解决，协商达不成一致时，可向当地行政仲裁机关申请仲裁或者向人民法院提请诉讼。</w:t>
      </w:r>
    </w:p>
    <w:p w14:paraId="3D2C97EF"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在发生不可抗力情况下的应对措施和解决办法。</w:t>
      </w:r>
    </w:p>
    <w:p w14:paraId="6E8BD206">
      <w:pPr>
        <w:tabs>
          <w:tab w:val="left" w:pos="1155"/>
        </w:tabs>
        <w:spacing w:line="460" w:lineRule="exact"/>
        <w:ind w:firstLine="480" w:firstLineChars="200"/>
        <w:rPr>
          <w:rFonts w:ascii="宋体" w:hAnsi="宋体" w:cs="宋体-18030"/>
          <w:bCs/>
          <w:color w:val="auto"/>
          <w:sz w:val="24"/>
          <w:highlight w:val="none"/>
        </w:rPr>
      </w:pPr>
      <w:r>
        <w:rPr>
          <w:rFonts w:hint="eastAsia" w:ascii="宋体" w:hAnsi="宋体" w:cs="宋体-18030"/>
          <w:bCs/>
          <w:color w:val="auto"/>
          <w:sz w:val="24"/>
          <w:highlight w:val="none"/>
        </w:rPr>
        <w:t>合同一经签订，不得擅自变更、中止或者终止合同。对确需变更、调整或者中止、终止合同的，须按规定履行相应的手续。</w:t>
      </w:r>
    </w:p>
    <w:p w14:paraId="5EF28BFE">
      <w:pPr>
        <w:tabs>
          <w:tab w:val="left" w:pos="1155"/>
        </w:tabs>
        <w:spacing w:line="460" w:lineRule="exact"/>
        <w:rPr>
          <w:rFonts w:ascii="宋体" w:hAnsi="宋体" w:cs="宋体-18030"/>
          <w:b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bCs/>
          <w:color w:val="auto"/>
          <w:sz w:val="24"/>
          <w:highlight w:val="none"/>
        </w:rPr>
        <w:t>4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.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违约责任：</w:t>
      </w:r>
    </w:p>
    <w:p w14:paraId="00388DD1">
      <w:pPr>
        <w:tabs>
          <w:tab w:val="left" w:pos="1155"/>
        </w:tabs>
        <w:spacing w:line="460" w:lineRule="exact"/>
        <w:ind w:firstLine="470" w:firstLineChars="196"/>
        <w:rPr>
          <w:rFonts w:ascii="宋体" w:hAnsi="宋体" w:cs="宋体-18030"/>
          <w:color w:val="auto"/>
          <w:sz w:val="24"/>
          <w:highlight w:val="none"/>
        </w:rPr>
      </w:pPr>
      <w:r>
        <w:rPr>
          <w:rFonts w:hint="eastAsia" w:ascii="宋体" w:hAnsi="宋体" w:cs="宋体-18030"/>
          <w:color w:val="auto"/>
          <w:sz w:val="24"/>
          <w:highlight w:val="none"/>
          <w:lang w:val="en-US" w:eastAsia="zh-CN"/>
        </w:rPr>
        <w:t>依据</w:t>
      </w:r>
      <w:r>
        <w:rPr>
          <w:rFonts w:hint="eastAsia" w:ascii="宋体" w:hAnsi="宋体" w:cs="宋体-18030"/>
          <w:color w:val="auto"/>
          <w:sz w:val="24"/>
          <w:highlight w:val="none"/>
        </w:rPr>
        <w:t>《中华人民共和国民法典》</w:t>
      </w:r>
      <w:r>
        <w:rPr>
          <w:rFonts w:hint="eastAsia" w:ascii="宋体" w:hAnsi="宋体" w:cs="宋体-18030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cs="宋体-18030"/>
          <w:color w:val="auto"/>
          <w:sz w:val="24"/>
          <w:highlight w:val="none"/>
        </w:rPr>
        <w:t>《中华人民共和国政府采购法》的相关条款规定和本合同约定，成交供应商未全面履行合同义务或者发生违约，采购人会同采购代理机构有权终止合同，依法向成交供应商进行经济索赔。采购人违约的，须赔偿成交供应商的经济损失。</w:t>
      </w:r>
    </w:p>
    <w:p w14:paraId="035F76AA">
      <w:pPr>
        <w:tabs>
          <w:tab w:val="left" w:pos="980"/>
        </w:tabs>
        <w:kinsoku w:val="0"/>
        <w:spacing w:line="460" w:lineRule="exact"/>
        <w:rPr>
          <w:rFonts w:ascii="宋体" w:hAnsi="宋体" w:cs="宋体-18030"/>
          <w:b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color w:val="auto"/>
          <w:sz w:val="24"/>
          <w:highlight w:val="none"/>
        </w:rPr>
        <w:t>1</w:t>
      </w:r>
      <w:r>
        <w:rPr>
          <w:rFonts w:ascii="宋体" w:hAnsi="宋体" w:cs="宋体-18030"/>
          <w:b/>
          <w:color w:val="auto"/>
          <w:sz w:val="24"/>
          <w:highlight w:val="none"/>
        </w:rPr>
        <w:t>5</w:t>
      </w:r>
      <w:r>
        <w:rPr>
          <w:rFonts w:hint="eastAsia" w:ascii="宋体" w:hAnsi="宋体" w:cs="宋体-18030"/>
          <w:b/>
          <w:bCs/>
          <w:color w:val="auto"/>
          <w:sz w:val="24"/>
          <w:highlight w:val="none"/>
        </w:rPr>
        <w:t>.</w:t>
      </w:r>
      <w:r>
        <w:rPr>
          <w:rFonts w:hint="eastAsia" w:ascii="宋体" w:hAnsi="宋体" w:cs="宋体-18030"/>
          <w:b/>
          <w:color w:val="auto"/>
          <w:sz w:val="24"/>
          <w:highlight w:val="none"/>
        </w:rPr>
        <w:t>合同：</w:t>
      </w:r>
    </w:p>
    <w:p w14:paraId="6D67AD7B">
      <w:pPr>
        <w:tabs>
          <w:tab w:val="left" w:pos="980"/>
        </w:tabs>
        <w:wordWrap w:val="0"/>
        <w:spacing w:line="460" w:lineRule="exact"/>
        <w:ind w:firstLine="470" w:firstLineChars="196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本合同一式六份，甲方四份，乙方一份，采购代理</w:t>
      </w:r>
      <w:r>
        <w:rPr>
          <w:rFonts w:ascii="宋体" w:hAnsi="宋体"/>
          <w:color w:val="auto"/>
          <w:sz w:val="24"/>
          <w:highlight w:val="none"/>
        </w:rPr>
        <w:t>机构</w:t>
      </w:r>
      <w:r>
        <w:rPr>
          <w:rFonts w:hint="eastAsia" w:ascii="宋体" w:hAnsi="宋体"/>
          <w:color w:val="auto"/>
          <w:sz w:val="24"/>
          <w:highlight w:val="none"/>
        </w:rPr>
        <w:t>一份。甲乙双方签字盖章后生效，合同执行完毕自动失效。（合同的服务承诺则长期有效）。</w:t>
      </w:r>
    </w:p>
    <w:p w14:paraId="56D14B87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宋体-18030">
    <w:altName w:val="微软雅黑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EC69B">
    <w:pPr>
      <w:pStyle w:val="10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C213DD">
    <w:pPr>
      <w:pStyle w:val="11"/>
      <w:pBdr>
        <w:bottom w:val="none" w:color="auto" w:sz="0" w:space="0"/>
      </w:pBdr>
      <w:jc w:val="right"/>
      <w:rPr>
        <w:rFonts w:ascii="宋体"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3D16129"/>
    <w:rsid w:val="25E15FBC"/>
    <w:rsid w:val="3A43109D"/>
    <w:rsid w:val="3E413E27"/>
    <w:rsid w:val="6352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120" w:beforeLines="0" w:after="120" w:afterLines="0" w:line="360" w:lineRule="auto"/>
      <w:jc w:val="center"/>
      <w:outlineLvl w:val="0"/>
    </w:pPr>
    <w:rPr>
      <w:rFonts w:eastAsia="宋体"/>
      <w:b/>
      <w:bCs/>
      <w:kern w:val="44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20" w:after="120" w:line="360" w:lineRule="auto"/>
      <w:ind w:firstLine="200" w:firstLineChars="200"/>
      <w:jc w:val="center"/>
      <w:outlineLvl w:val="2"/>
    </w:pPr>
    <w:rPr>
      <w:b/>
      <w:bCs/>
      <w:sz w:val="36"/>
      <w:szCs w:val="32"/>
    </w:rPr>
  </w:style>
  <w:style w:type="paragraph" w:styleId="6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7">
    <w:name w:val="annotation text"/>
    <w:basedOn w:val="1"/>
    <w:qFormat/>
    <w:uiPriority w:val="0"/>
    <w:pPr>
      <w:jc w:val="left"/>
    </w:pPr>
    <w:rPr>
      <w:rFonts w:eastAsia="宋体"/>
      <w:sz w:val="21"/>
    </w:rPr>
  </w:style>
  <w:style w:type="paragraph" w:styleId="8">
    <w:name w:val="Body Text"/>
    <w:basedOn w:val="1"/>
    <w:next w:val="1"/>
    <w:qFormat/>
    <w:uiPriority w:val="1"/>
    <w:rPr>
      <w:color w:val="993300"/>
      <w:sz w:val="24"/>
    </w:rPr>
  </w:style>
  <w:style w:type="paragraph" w:styleId="9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10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11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="宋体"/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Body Text First Indent 2"/>
    <w:basedOn w:val="9"/>
    <w:next w:val="1"/>
    <w:qFormat/>
    <w:uiPriority w:val="0"/>
    <w:pPr>
      <w:spacing w:after="120"/>
      <w:ind w:firstLine="420" w:firstLineChars="200"/>
    </w:pPr>
    <w:rPr>
      <w:rFonts w:ascii="Times New Roman" w:eastAsia="宋?"/>
    </w:rPr>
  </w:style>
  <w:style w:type="character" w:styleId="16">
    <w:name w:val="annotation reference"/>
    <w:unhideWhenUsed/>
    <w:qFormat/>
    <w:uiPriority w:val="0"/>
    <w:rPr>
      <w:sz w:val="21"/>
      <w:szCs w:val="21"/>
    </w:rPr>
  </w:style>
  <w:style w:type="paragraph" w:customStyle="1" w:styleId="17">
    <w:name w:val="_Style 5"/>
    <w:basedOn w:val="2"/>
    <w:next w:val="1"/>
    <w:autoRedefine/>
    <w:qFormat/>
    <w:uiPriority w:val="0"/>
    <w:pPr>
      <w:outlineLvl w:val="9"/>
    </w:p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9">
    <w:name w:val="_Style 6"/>
    <w:basedOn w:val="2"/>
    <w:next w:val="1"/>
    <w:qFormat/>
    <w:uiPriority w:val="0"/>
    <w:pPr>
      <w:spacing w:before="340" w:after="330" w:line="578" w:lineRule="auto"/>
      <w:outlineLvl w:val="9"/>
    </w:pPr>
    <w:rPr>
      <w:rFonts w:ascii="Calibri" w:hAnsi="Calibri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1815</Words>
  <Characters>1914</Characters>
  <Lines>0</Lines>
  <Paragraphs>0</Paragraphs>
  <TotalTime>0</TotalTime>
  <ScaleCrop>false</ScaleCrop>
  <LinksUpToDate>false</LinksUpToDate>
  <CharactersWithSpaces>1917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2024-04-23T07:58:00Z</dcterms:created>
  <dc:creator>admin</dc:creator>
  <cp:lastModifiedBy>puppet</cp:lastModifiedBy>
  <dcterms:modified xsi:type="dcterms:W3CDTF">2025-08-13T02:44:54Z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D1E5F96A39674452B56B15F880F34956_12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