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版本号：XBGJZX-ZC-2025033320250827003</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中医药与人工智能深度融合的示范研究项目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XBGJZX-ZC-20250333</w:t>
      </w:r>
      <w:r>
        <w:br/>
      </w:r>
      <w:r>
        <w:br/>
      </w:r>
      <w:r>
        <w:br/>
      </w:r>
    </w:p>
    <w:p>
      <w:pPr>
        <w:pStyle w:val="null3"/>
        <w:jc w:val="center"/>
        <w:outlineLvl w:val="2"/>
      </w:pPr>
      <w:r>
        <w:rPr>
          <w:rFonts w:ascii="仿宋_GB2312" w:hAnsi="仿宋_GB2312" w:cs="仿宋_GB2312" w:eastAsia="仿宋_GB2312"/>
          <w:sz w:val="28"/>
          <w:b/>
        </w:rPr>
        <w:t>陕西中医药大学附属医院</w:t>
      </w:r>
    </w:p>
    <w:p>
      <w:pPr>
        <w:pStyle w:val="null3"/>
        <w:jc w:val="center"/>
        <w:outlineLvl w:val="2"/>
      </w:pPr>
      <w:r>
        <w:rPr>
          <w:rFonts w:ascii="仿宋_GB2312" w:hAnsi="仿宋_GB2312" w:cs="仿宋_GB2312" w:eastAsia="仿宋_GB2312"/>
          <w:sz w:val="28"/>
          <w:b/>
        </w:rPr>
        <w:t>西北（陕西）国际工程造价咨询有限公司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2025年08月15日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西北（陕西）国际工程造价咨询有限公司</w:t>
      </w:r>
      <w:r>
        <w:rPr>
          <w:rFonts w:ascii="仿宋_GB2312" w:hAnsi="仿宋_GB2312" w:cs="仿宋_GB2312" w:eastAsia="仿宋_GB2312"/>
        </w:rPr>
        <w:t>（以下简称“代理机构”）受</w:t>
      </w:r>
      <w:r>
        <w:rPr>
          <w:rFonts w:ascii="仿宋_GB2312" w:hAnsi="仿宋_GB2312" w:cs="仿宋_GB2312" w:eastAsia="仿宋_GB2312"/>
        </w:rPr>
        <w:t>陕西中医药大学附属医院</w:t>
      </w:r>
      <w:r>
        <w:rPr>
          <w:rFonts w:ascii="仿宋_GB2312" w:hAnsi="仿宋_GB2312" w:cs="仿宋_GB2312" w:eastAsia="仿宋_GB2312"/>
        </w:rPr>
        <w:t>委托，拟对</w:t>
      </w:r>
      <w:r>
        <w:rPr>
          <w:rFonts w:ascii="仿宋_GB2312" w:hAnsi="仿宋_GB2312" w:cs="仿宋_GB2312" w:eastAsia="仿宋_GB2312"/>
        </w:rPr>
        <w:t>中医药与人工智能深度融合的示范研究项目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XBGJZX-ZC-20250333</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中医药与人工智能深度融合的示范研究项目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本项目为中医药与人工智能深度融合的示范研究项目，主要功能或目标：通过建设名老中医智慧传承系统、中医大脑软件以及采购中医四诊仪、服务器等相关设备，构建起医院智慧传承信息平台，建立名老中医药专家数据库、知识库大模型，推进名老中医传承数字化、远程化、智慧化，助力医院医教研的高质量发展。</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的法人、其他组织或自然人：具有独立承担民事责任能力的法人、其他组织或自然人，提供合法有效的统一社会信用代码营业执照（事业单位提供事业单位法人证书，自然人应提供身份证）；</w:t>
      </w:r>
    </w:p>
    <w:p>
      <w:pPr>
        <w:pStyle w:val="null3"/>
      </w:pPr>
      <w:r>
        <w:rPr>
          <w:rFonts w:ascii="仿宋_GB2312" w:hAnsi="仿宋_GB2312" w:cs="仿宋_GB2312" w:eastAsia="仿宋_GB2312"/>
        </w:rPr>
        <w:t>2、社会保障资金缴纳证明：投标截止日12个月内任意一月缴纳社会保险证明（含养老、医疗、工伤，缺少一种即否决）；</w:t>
      </w:r>
    </w:p>
    <w:p>
      <w:pPr>
        <w:pStyle w:val="null3"/>
      </w:pPr>
      <w:r>
        <w:rPr>
          <w:rFonts w:ascii="仿宋_GB2312" w:hAnsi="仿宋_GB2312" w:cs="仿宋_GB2312" w:eastAsia="仿宋_GB2312"/>
        </w:rPr>
        <w:t>3、税收缴纳证明：投标截止日12个月内任意一个月依法缴纳税收的相关凭据（时间以税款所属日期为准），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4、财务状况证明：提供2024年度至投标截止时间止任意年度经审计的财务会计报告（包括审计报告、资产负债表、利润表、现金流量表、所有者权益变动表及其附注），成立时间至提交投标文件截止时间不足一年的可提供成立后任意时段的资产负债表或其开标前三个月内基本开户银行出具的资信证明，或信用担保机构出具的投标担保函（以上三种形式的资料提供任何一种即可）；</w:t>
      </w:r>
    </w:p>
    <w:p>
      <w:pPr>
        <w:pStyle w:val="null3"/>
      </w:pPr>
      <w:r>
        <w:rPr>
          <w:rFonts w:ascii="仿宋_GB2312" w:hAnsi="仿宋_GB2312" w:cs="仿宋_GB2312" w:eastAsia="仿宋_GB2312"/>
        </w:rPr>
        <w:t>5、违纪失信：参加本次政府采购活动前3年内在经营活动中没有重大违纪，以及未被列入失信被执行人、重大税收违法案件当事人名单、政府采购严重违法失信行为记录名单；（提供截图，并按格式要求声明）；</w:t>
      </w:r>
    </w:p>
    <w:p>
      <w:pPr>
        <w:pStyle w:val="null3"/>
      </w:pPr>
      <w:r>
        <w:rPr>
          <w:rFonts w:ascii="仿宋_GB2312" w:hAnsi="仿宋_GB2312" w:cs="仿宋_GB2312" w:eastAsia="仿宋_GB2312"/>
        </w:rPr>
        <w:t>6、具有履行合同所必需的设备和专业技术能力：具备履行合同所必需的设备和专业技术能力的承诺（格式自拟）；</w:t>
      </w:r>
    </w:p>
    <w:p>
      <w:pPr>
        <w:pStyle w:val="null3"/>
      </w:pPr>
      <w:r>
        <w:rPr>
          <w:rFonts w:ascii="仿宋_GB2312" w:hAnsi="仿宋_GB2312" w:cs="仿宋_GB2312" w:eastAsia="仿宋_GB2312"/>
        </w:rPr>
        <w:t>7、法定代表人或授权代表委托书：法定代表人直接参加的，须出具法人身份证并与营业执照上信息一致；法定代表人授权代表参加的，须出具法定代表人授权书、授权代表身份证以及被授权人有效的劳动合同或者截止开标前六个月内任意一个月本单位社保缴纳证明；</w:t>
      </w:r>
    </w:p>
    <w:p>
      <w:pPr>
        <w:pStyle w:val="null3"/>
      </w:pPr>
      <w:r>
        <w:rPr>
          <w:rFonts w:ascii="仿宋_GB2312" w:hAnsi="仿宋_GB2312" w:cs="仿宋_GB2312" w:eastAsia="仿宋_GB2312"/>
        </w:rPr>
        <w:t>8、非联合体声明：供应商提供非联合体书面声明（按格式要求声明）</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陕西中医药大学附属医院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陕西省咸阳市渭阳西路副2号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712046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康老师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029-33320910</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西北（陕西）国际工程造价咨询有限公司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雁塔区雁翔路与南三环交汇处东北角旺座曲江F座1601室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胡丹、岳迁迁、吴浩强</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029-89195131</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采购包1：1,600,000.00元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否</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否</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否</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采购包1保证金金额：30,000.00元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开户名称：西北（陕西）国际工程造价咨询有限公司</w:t>
            </w:r>
          </w:p>
          <w:p>
            <w:pPr>
              <w:pStyle w:val="null3"/>
            </w:pPr>
            <w:r>
              <w:rPr>
                <w:rFonts w:ascii="仿宋_GB2312" w:hAnsi="仿宋_GB2312" w:cs="仿宋_GB2312" w:eastAsia="仿宋_GB2312"/>
              </w:rPr>
              <w:t>开户银行：中国建设银行股份有限公司西安玉祥门支行</w:t>
            </w:r>
          </w:p>
          <w:p>
            <w:pPr>
              <w:pStyle w:val="null3"/>
            </w:pPr>
            <w:r>
              <w:rPr>
                <w:rFonts w:ascii="仿宋_GB2312" w:hAnsi="仿宋_GB2312" w:cs="仿宋_GB2312" w:eastAsia="仿宋_GB2312"/>
              </w:rPr>
              <w:t>银行账号：61050174400000000569</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代理服务费收费标准：按照《国家计委关于印发&lt;采购代理服务收费管理暂行办法&gt;的通知》(计价格[2002]1980号)规定，按照标准下浮20%收取。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陕西中医药大学附属医院</w:t>
      </w:r>
      <w:r>
        <w:rPr>
          <w:rFonts w:ascii="仿宋_GB2312" w:hAnsi="仿宋_GB2312" w:cs="仿宋_GB2312" w:eastAsia="仿宋_GB2312"/>
        </w:rPr>
        <w:t>和</w:t>
      </w:r>
      <w:r>
        <w:rPr>
          <w:rFonts w:ascii="仿宋_GB2312" w:hAnsi="仿宋_GB2312" w:cs="仿宋_GB2312" w:eastAsia="仿宋_GB2312"/>
        </w:rPr>
        <w:t>西北（陕西）国际工程造价咨询有限公司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陕西中医药大学附属医院</w:t>
      </w:r>
      <w:r>
        <w:rPr>
          <w:rFonts w:ascii="仿宋_GB2312" w:hAnsi="仿宋_GB2312" w:cs="仿宋_GB2312" w:eastAsia="仿宋_GB2312"/>
        </w:rPr>
        <w:t>负责解释。除上述招标文件内容，其他内容由</w:t>
      </w:r>
      <w:r>
        <w:rPr>
          <w:rFonts w:ascii="仿宋_GB2312" w:hAnsi="仿宋_GB2312" w:cs="仿宋_GB2312" w:eastAsia="仿宋_GB2312"/>
        </w:rPr>
        <w:t>西北（陕西）国际工程造价咨询有限公司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陕西中医药大学附属医院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西北（陕西）国际工程造价咨询有限公司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所供全部产品验收要求：开箱验收，对货物名称、厂家、数量、品种、型号、规格等外观进行核对、检验。开箱验收合格的，如果核对无误，甲方或甲方指定使用单位在到货签收单上签字，到货签收单只作为外观检查的依据。如果在开箱检验中发现货物有任何短少、缺损、缺陷或与合同规定不符，双方代表当场签署一份详细报告，该报告将作为甲方在乙方有责任的情况下要求乙方进行更换、维修或补充发货的有效证据。且如果产品与合同约定不符，甲方有权拒绝接收，乙方应无条件退换货直至合格，并承担逾期交货的违约责任，赔偿甲方损失。 2.验收标准。除非另有约定，甲方依据合同厂家出厂标准、合同标准、合同附件（若有）、乙方的产品品质保证及质量承诺等。并需满足甲方稳定安全使用之合同目的。3.知识产权：采购人在中华人民共和国境内使用供应商提供的货物或服务时免受第三方提出的侵犯其专利权或其它知识产权的起诉。如果第三方提出侵权指控，成交供应商应承担由此而引起的一切法律责任和费用。</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西北（陕西）国际工程造价咨询有限公司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西北（陕西）国际工程造价咨询有限公司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西北（陕西）国际工程造价咨询有限公司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联系人：胡丹、岳迁迁、吴浩强</w:t>
      </w:r>
    </w:p>
    <w:p>
      <w:pPr>
        <w:pStyle w:val="null3"/>
      </w:pPr>
      <w:r>
        <w:rPr>
          <w:rFonts w:ascii="仿宋_GB2312" w:hAnsi="仿宋_GB2312" w:cs="仿宋_GB2312" w:eastAsia="仿宋_GB2312"/>
        </w:rPr>
        <w:t>联系电话：029-89195131</w:t>
      </w:r>
    </w:p>
    <w:p>
      <w:pPr>
        <w:pStyle w:val="null3"/>
      </w:pPr>
      <w:r>
        <w:rPr>
          <w:rFonts w:ascii="仿宋_GB2312" w:hAnsi="仿宋_GB2312" w:cs="仿宋_GB2312" w:eastAsia="仿宋_GB2312"/>
        </w:rPr>
        <w:t>地址：雁塔区雁翔路与南三环交汇处东北角旺座曲江F座1601室</w:t>
      </w:r>
    </w:p>
    <w:p>
      <w:pPr>
        <w:pStyle w:val="null3"/>
      </w:pPr>
      <w:r>
        <w:rPr>
          <w:rFonts w:ascii="仿宋_GB2312" w:hAnsi="仿宋_GB2312" w:cs="仿宋_GB2312" w:eastAsia="仿宋_GB2312"/>
        </w:rPr>
        <w:t>邮编：710061</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项目为中医药与人工智能深度融合的示范研究项目，主要功能或目标：通过建设名老中医智慧传承系统、中医大脑软件以及采购中医四诊仪、服务器等相关设备，构建起医院智慧传承信息平台，建立名老中医药专家数据库、知识库大模型，推进名老中医传承数字化、远程化、智慧化，助力医院医教研的高质量发展。</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1,600,000.00</w:t>
      </w:r>
    </w:p>
    <w:p>
      <w:pPr>
        <w:pStyle w:val="null3"/>
      </w:pPr>
      <w:r>
        <w:rPr>
          <w:rFonts w:ascii="仿宋_GB2312" w:hAnsi="仿宋_GB2312" w:cs="仿宋_GB2312" w:eastAsia="仿宋_GB2312"/>
        </w:rPr>
        <w:t>采购包最高限价（元）: 1,600,000.00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中医药与人工智能深度融合的示范研究项目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1,600,000.00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标的名称：中医药与人工智能深度融合的示范研究项目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before="165" w:after="165"/>
              <w:jc w:val="center"/>
              <w:outlineLvl w:val="1"/>
            </w:pPr>
            <w:r>
              <w:rPr>
                <w:rFonts w:ascii="仿宋_GB2312" w:hAnsi="仿宋_GB2312" w:cs="仿宋_GB2312" w:eastAsia="仿宋_GB2312"/>
                <w:sz w:val="28"/>
                <w:b/>
                <w:color w:val="000000"/>
              </w:rPr>
              <w:t>技术参数需求</w:t>
            </w:r>
          </w:p>
          <w:p>
            <w:pPr>
              <w:pStyle w:val="null3"/>
              <w:ind w:firstLine="480"/>
              <w:jc w:val="both"/>
            </w:pPr>
            <w:r>
              <w:rPr>
                <w:rFonts w:ascii="仿宋_GB2312" w:hAnsi="仿宋_GB2312" w:cs="仿宋_GB2312" w:eastAsia="仿宋_GB2312"/>
                <w:sz w:val="24"/>
              </w:rPr>
              <w:t>本次招标旨在</w:t>
            </w:r>
            <w:r>
              <w:rPr>
                <w:rFonts w:ascii="仿宋_GB2312" w:hAnsi="仿宋_GB2312" w:cs="仿宋_GB2312" w:eastAsia="仿宋_GB2312"/>
                <w:sz w:val="24"/>
              </w:rPr>
              <w:t>遴选</w:t>
            </w:r>
            <w:r>
              <w:rPr>
                <w:rFonts w:ascii="仿宋_GB2312" w:hAnsi="仿宋_GB2312" w:cs="仿宋_GB2312" w:eastAsia="仿宋_GB2312"/>
                <w:sz w:val="24"/>
              </w:rPr>
              <w:t>具备中医</w:t>
            </w:r>
            <w:r>
              <w:rPr>
                <w:rFonts w:ascii="仿宋_GB2312" w:hAnsi="仿宋_GB2312" w:cs="仿宋_GB2312" w:eastAsia="仿宋_GB2312"/>
                <w:sz w:val="24"/>
              </w:rPr>
              <w:t>传承</w:t>
            </w:r>
            <w:r>
              <w:rPr>
                <w:rFonts w:ascii="仿宋_GB2312" w:hAnsi="仿宋_GB2312" w:cs="仿宋_GB2312" w:eastAsia="仿宋_GB2312"/>
                <w:sz w:val="24"/>
              </w:rPr>
              <w:t>AI技术能力的合作伙伴，共同建设名老中医传承系统，</w:t>
            </w:r>
            <w:r>
              <w:rPr>
                <w:rFonts w:ascii="仿宋_GB2312" w:hAnsi="仿宋_GB2312" w:cs="仿宋_GB2312" w:eastAsia="仿宋_GB2312"/>
                <w:sz w:val="24"/>
              </w:rPr>
              <w:t>本</w:t>
            </w:r>
            <w:r>
              <w:rPr>
                <w:rFonts w:ascii="仿宋_GB2312" w:hAnsi="仿宋_GB2312" w:cs="仿宋_GB2312" w:eastAsia="仿宋_GB2312"/>
                <w:sz w:val="24"/>
              </w:rPr>
              <w:t>期采购范围包括四诊仪及名老中医系统，并作为整体</w:t>
            </w:r>
            <w:r>
              <w:rPr>
                <w:rFonts w:ascii="仿宋_GB2312" w:hAnsi="仿宋_GB2312" w:cs="仿宋_GB2312" w:eastAsia="仿宋_GB2312"/>
                <w:sz w:val="24"/>
              </w:rPr>
              <w:t>AI应用平台的首阶段实施内容</w:t>
            </w:r>
            <w:r>
              <w:rPr>
                <w:rFonts w:ascii="仿宋_GB2312" w:hAnsi="仿宋_GB2312" w:cs="仿宋_GB2312" w:eastAsia="仿宋_GB2312"/>
                <w:sz w:val="24"/>
              </w:rPr>
              <w:t>。</w:t>
            </w:r>
            <w:r>
              <w:rPr>
                <w:rFonts w:ascii="仿宋_GB2312" w:hAnsi="仿宋_GB2312" w:cs="仿宋_GB2312" w:eastAsia="仿宋_GB2312"/>
                <w:sz w:val="24"/>
              </w:rPr>
              <w:t>整体方案设计供应商需提交</w:t>
            </w:r>
            <w:r>
              <w:rPr>
                <w:rFonts w:ascii="仿宋_GB2312" w:hAnsi="仿宋_GB2312" w:cs="仿宋_GB2312" w:eastAsia="仿宋_GB2312"/>
                <w:sz w:val="24"/>
              </w:rPr>
              <w:t>基于</w:t>
            </w:r>
            <w:r>
              <w:rPr>
                <w:rFonts w:ascii="仿宋_GB2312" w:hAnsi="仿宋_GB2312" w:cs="仿宋_GB2312" w:eastAsia="仿宋_GB2312"/>
                <w:sz w:val="24"/>
              </w:rPr>
              <w:t>AI</w:t>
            </w:r>
            <w:r>
              <w:rPr>
                <w:rFonts w:ascii="仿宋_GB2312" w:hAnsi="仿宋_GB2312" w:cs="仿宋_GB2312" w:eastAsia="仿宋_GB2312"/>
                <w:sz w:val="24"/>
              </w:rPr>
              <w:t>的名老中医传承平台</w:t>
            </w:r>
            <w:r>
              <w:rPr>
                <w:rFonts w:ascii="仿宋_GB2312" w:hAnsi="仿宋_GB2312" w:cs="仿宋_GB2312" w:eastAsia="仿宋_GB2312"/>
                <w:sz w:val="24"/>
              </w:rPr>
              <w:t>的顶层设计，包括技术架构、数据治理方案及扩展性规划</w:t>
            </w:r>
            <w:r>
              <w:rPr>
                <w:rFonts w:ascii="仿宋_GB2312" w:hAnsi="仿宋_GB2312" w:cs="仿宋_GB2312" w:eastAsia="仿宋_GB2312"/>
                <w:sz w:val="24"/>
              </w:rPr>
              <w:t>，</w:t>
            </w:r>
            <w:r>
              <w:rPr>
                <w:rFonts w:ascii="仿宋_GB2312" w:hAnsi="仿宋_GB2312" w:cs="仿宋_GB2312" w:eastAsia="仿宋_GB2312"/>
                <w:sz w:val="24"/>
              </w:rPr>
              <w:t>并兼容医院现有</w:t>
            </w:r>
            <w:r>
              <w:rPr>
                <w:rFonts w:ascii="仿宋_GB2312" w:hAnsi="仿宋_GB2312" w:cs="仿宋_GB2312" w:eastAsia="仿宋_GB2312"/>
                <w:sz w:val="24"/>
              </w:rPr>
              <w:t>HIS/</w:t>
            </w:r>
            <w:r>
              <w:rPr>
                <w:rFonts w:ascii="仿宋_GB2312" w:hAnsi="仿宋_GB2312" w:cs="仿宋_GB2312" w:eastAsia="仿宋_GB2312"/>
                <w:sz w:val="24"/>
              </w:rPr>
              <w:t>电子病历</w:t>
            </w:r>
            <w:r>
              <w:rPr>
                <w:rFonts w:ascii="仿宋_GB2312" w:hAnsi="仿宋_GB2312" w:cs="仿宋_GB2312" w:eastAsia="仿宋_GB2312"/>
                <w:sz w:val="24"/>
              </w:rPr>
              <w:t>系统。</w:t>
            </w:r>
            <w:r>
              <w:rPr>
                <w:rFonts w:ascii="仿宋_GB2312" w:hAnsi="仿宋_GB2312" w:cs="仿宋_GB2312" w:eastAsia="仿宋_GB2312"/>
                <w:sz w:val="24"/>
              </w:rPr>
              <w:t xml:space="preserve">  </w:t>
            </w:r>
          </w:p>
          <w:tbl>
            <w:tblPr>
              <w:tblBorders>
                <w:top w:val="none" w:color="000000" w:sz="4"/>
                <w:left w:val="none" w:color="000000" w:sz="4"/>
                <w:bottom w:val="none" w:color="000000" w:sz="4"/>
                <w:right w:val="none" w:color="000000" w:sz="4"/>
                <w:insideH w:val="none"/>
                <w:insideV w:val="none"/>
              </w:tblBorders>
            </w:tblPr>
            <w:tblGrid>
              <w:gridCol w:w="209"/>
              <w:gridCol w:w="524"/>
              <w:gridCol w:w="1321"/>
              <w:gridCol w:w="250"/>
              <w:gridCol w:w="250"/>
            </w:tblGrid>
            <w:tr>
              <w:tc>
                <w:tcPr>
                  <w:tcW w:type="dxa" w:w="20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序号</w:t>
                  </w:r>
                </w:p>
              </w:tc>
              <w:tc>
                <w:tcPr>
                  <w:tcW w:type="dxa" w:w="52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项目名称</w:t>
                  </w:r>
                </w:p>
              </w:tc>
              <w:tc>
                <w:tcPr>
                  <w:tcW w:type="dxa" w:w="132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主要内容</w:t>
                  </w:r>
                </w:p>
              </w:tc>
              <w:tc>
                <w:tcPr>
                  <w:tcW w:type="dxa" w:w="2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数量</w:t>
                  </w:r>
                </w:p>
              </w:tc>
              <w:tc>
                <w:tcPr>
                  <w:tcW w:type="dxa" w:w="2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单位</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5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中医智慧传承</w:t>
                  </w:r>
                </w:p>
                <w:p>
                  <w:pPr>
                    <w:pStyle w:val="null3"/>
                    <w:jc w:val="center"/>
                  </w:pPr>
                  <w:r>
                    <w:rPr>
                      <w:rFonts w:ascii="仿宋_GB2312" w:hAnsi="仿宋_GB2312" w:cs="仿宋_GB2312" w:eastAsia="仿宋_GB2312"/>
                      <w:sz w:val="21"/>
                    </w:rPr>
                    <w:t>信息平台</w:t>
                  </w:r>
                </w:p>
              </w:tc>
              <w:tc>
                <w:tcPr>
                  <w:tcW w:type="dxa" w:w="13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名老中医药专家传承工作室建设</w:t>
                  </w:r>
                </w:p>
                <w:p>
                  <w:pPr>
                    <w:pStyle w:val="null3"/>
                    <w:jc w:val="left"/>
                  </w:pPr>
                  <w:r>
                    <w:rPr>
                      <w:rFonts w:ascii="仿宋_GB2312" w:hAnsi="仿宋_GB2312" w:cs="仿宋_GB2312" w:eastAsia="仿宋_GB2312"/>
                      <w:sz w:val="21"/>
                    </w:rPr>
                    <w:t>名老中医跟师学习</w:t>
                  </w:r>
                </w:p>
                <w:p>
                  <w:pPr>
                    <w:pStyle w:val="null3"/>
                    <w:jc w:val="left"/>
                  </w:pPr>
                  <w:r>
                    <w:rPr>
                      <w:rFonts w:ascii="仿宋_GB2312" w:hAnsi="仿宋_GB2312" w:cs="仿宋_GB2312" w:eastAsia="仿宋_GB2312"/>
                      <w:sz w:val="21"/>
                    </w:rPr>
                    <w:t>医案文献挖掘分析</w:t>
                  </w:r>
                </w:p>
                <w:p>
                  <w:pPr>
                    <w:pStyle w:val="null3"/>
                    <w:jc w:val="left"/>
                  </w:pPr>
                  <w:r>
                    <w:rPr>
                      <w:rFonts w:ascii="仿宋_GB2312" w:hAnsi="仿宋_GB2312" w:cs="仿宋_GB2312" w:eastAsia="仿宋_GB2312"/>
                      <w:sz w:val="21"/>
                    </w:rPr>
                    <w:t>名老中医学术研究</w:t>
                  </w:r>
                </w:p>
                <w:p>
                  <w:pPr>
                    <w:pStyle w:val="null3"/>
                    <w:jc w:val="left"/>
                  </w:pPr>
                  <w:r>
                    <w:rPr>
                      <w:rFonts w:ascii="仿宋_GB2312" w:hAnsi="仿宋_GB2312" w:cs="仿宋_GB2312" w:eastAsia="仿宋_GB2312"/>
                      <w:sz w:val="21"/>
                    </w:rPr>
                    <w:t>HIS系统接口</w:t>
                  </w:r>
                </w:p>
              </w:tc>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5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中医四诊仪</w:t>
                  </w:r>
                </w:p>
              </w:tc>
              <w:tc>
                <w:tcPr>
                  <w:tcW w:type="dxa" w:w="13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主机、脉诊仪、舌面诊仪器、心音检测设备、血压仪、</w:t>
                  </w:r>
                  <w:r>
                    <w:rPr>
                      <w:rFonts w:ascii="仿宋_GB2312" w:hAnsi="仿宋_GB2312" w:cs="仿宋_GB2312" w:eastAsia="仿宋_GB2312"/>
                      <w:sz w:val="21"/>
                    </w:rPr>
                    <w:t>HIS系统接口</w:t>
                  </w:r>
                </w:p>
              </w:tc>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5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中医大脑软件</w:t>
                  </w:r>
                </w:p>
              </w:tc>
              <w:tc>
                <w:tcPr>
                  <w:tcW w:type="dxa" w:w="13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人工智能中医辅助诊疗</w:t>
                  </w:r>
                </w:p>
              </w:tc>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年</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5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服务器</w:t>
                  </w:r>
                </w:p>
              </w:tc>
              <w:tc>
                <w:tcPr>
                  <w:tcW w:type="dxa" w:w="13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应用、数据库、视频服务器、</w:t>
                  </w:r>
                  <w:r>
                    <w:rPr>
                      <w:rFonts w:ascii="仿宋_GB2312" w:hAnsi="仿宋_GB2312" w:cs="仿宋_GB2312" w:eastAsia="仿宋_GB2312"/>
                      <w:sz w:val="21"/>
                    </w:rPr>
                    <w:t>GPU算力服务器</w:t>
                  </w:r>
                </w:p>
              </w:tc>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r>
          </w:tbl>
          <w:p>
            <w:pPr>
              <w:pStyle w:val="null3"/>
              <w:jc w:val="both"/>
              <w:outlineLvl w:val="2"/>
            </w:pPr>
            <w:r>
              <w:rPr>
                <w:rFonts w:ascii="仿宋_GB2312" w:hAnsi="仿宋_GB2312" w:cs="仿宋_GB2312" w:eastAsia="仿宋_GB2312"/>
                <w:sz w:val="28"/>
                <w:b/>
                <w:color w:val="000000"/>
              </w:rPr>
              <w:t>1.1中医智慧传承信息平台</w:t>
            </w:r>
          </w:p>
          <w:p>
            <w:pPr>
              <w:pStyle w:val="null3"/>
              <w:ind w:firstLine="480"/>
              <w:jc w:val="both"/>
            </w:pPr>
            <w:r>
              <w:rPr>
                <w:rFonts w:ascii="仿宋_GB2312" w:hAnsi="仿宋_GB2312" w:cs="仿宋_GB2312" w:eastAsia="仿宋_GB2312"/>
                <w:sz w:val="24"/>
              </w:rPr>
              <w:t>中医智慧传承信息平台满足国家智慧中医医院试点项目（名老中医传承型）的建设要求，具体评价指标要求如下：</w:t>
            </w:r>
          </w:p>
          <w:tbl>
            <w:tblPr>
              <w:tblBorders>
                <w:top w:val="none" w:color="000000" w:sz="4"/>
                <w:left w:val="none" w:color="000000" w:sz="4"/>
                <w:bottom w:val="none" w:color="000000" w:sz="4"/>
                <w:right w:val="none" w:color="000000" w:sz="4"/>
                <w:insideH w:val="none"/>
                <w:insideV w:val="none"/>
              </w:tblBorders>
            </w:tblPr>
            <w:tblGrid>
              <w:gridCol w:w="391"/>
              <w:gridCol w:w="395"/>
              <w:gridCol w:w="260"/>
              <w:gridCol w:w="1490"/>
            </w:tblGrid>
            <w:tr>
              <w:tc>
                <w:tcPr>
                  <w:tcW w:type="dxa" w:w="39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业务类别</w:t>
                  </w:r>
                </w:p>
              </w:tc>
              <w:tc>
                <w:tcPr>
                  <w:tcW w:type="dxa" w:w="39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业务项目</w:t>
                  </w:r>
                </w:p>
              </w:tc>
              <w:tc>
                <w:tcPr>
                  <w:tcW w:type="dxa" w:w="26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序号</w:t>
                  </w:r>
                </w:p>
              </w:tc>
              <w:tc>
                <w:tcPr>
                  <w:tcW w:type="dxa" w:w="149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主要评价内容</w:t>
                  </w:r>
                </w:p>
              </w:tc>
            </w:tr>
            <w:tr>
              <w:tc>
                <w:tcPr>
                  <w:tcW w:type="dxa" w:w="39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名老中医药专家传承工作室建设</w:t>
                  </w:r>
                </w:p>
              </w:tc>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工作室</w:t>
                  </w:r>
                </w:p>
                <w:p>
                  <w:pPr>
                    <w:pStyle w:val="null3"/>
                    <w:jc w:val="center"/>
                  </w:pPr>
                  <w:r>
                    <w:rPr>
                      <w:rFonts w:ascii="仿宋_GB2312" w:hAnsi="仿宋_GB2312" w:cs="仿宋_GB2312" w:eastAsia="仿宋_GB2312"/>
                      <w:sz w:val="21"/>
                    </w:rPr>
                    <w:t>基础管理</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1.1.1</w:t>
                  </w:r>
                </w:p>
              </w:tc>
              <w:tc>
                <w:tcPr>
                  <w:tcW w:type="dxa" w:w="1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支持名老中医药专家传承工作室管理、工作室成员管理，如工作室的图片、名称、简介、专长介绍、成员基本信息等。</w:t>
                  </w:r>
                </w:p>
              </w:tc>
            </w:tr>
            <w:tr>
              <w:tc>
                <w:tcPr>
                  <w:tcW w:type="dxa" w:w="391"/>
                  <w:vMerge/>
                  <w:tcBorders>
                    <w:top w:val="none" w:color="000000" w:sz="4"/>
                    <w:left w:val="single" w:color="000000" w:sz="4"/>
                    <w:bottom w:val="single" w:color="000000" w:sz="4"/>
                    <w:right w:val="single" w:color="000000" w:sz="4"/>
                  </w:tcBorders>
                </w:tcPr>
                <w:p/>
              </w:tc>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工作室</w:t>
                  </w:r>
                </w:p>
                <w:p>
                  <w:pPr>
                    <w:pStyle w:val="null3"/>
                    <w:jc w:val="center"/>
                  </w:pPr>
                  <w:r>
                    <w:rPr>
                      <w:rFonts w:ascii="仿宋_GB2312" w:hAnsi="仿宋_GB2312" w:cs="仿宋_GB2312" w:eastAsia="仿宋_GB2312"/>
                      <w:sz w:val="21"/>
                    </w:rPr>
                    <w:t>活动管理</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1.2.1</w:t>
                  </w:r>
                </w:p>
              </w:tc>
              <w:tc>
                <w:tcPr>
                  <w:tcW w:type="dxa" w:w="1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支持工作室讲座、读书会、名中医查房、病案讨论、示教观摩、培训等活动的信息管理。</w:t>
                  </w:r>
                </w:p>
              </w:tc>
            </w:tr>
            <w:tr>
              <w:tc>
                <w:tcPr>
                  <w:tcW w:type="dxa" w:w="391"/>
                  <w:vMerge/>
                  <w:tcBorders>
                    <w:top w:val="none" w:color="000000" w:sz="4"/>
                    <w:left w:val="single" w:color="000000" w:sz="4"/>
                    <w:bottom w:val="single" w:color="000000" w:sz="4"/>
                    <w:right w:val="single" w:color="000000" w:sz="4"/>
                  </w:tcBorders>
                </w:tcPr>
                <w:p/>
              </w:tc>
              <w:tc>
                <w:tcPr>
                  <w:tcW w:type="dxa" w:w="39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工作室</w:t>
                  </w:r>
                </w:p>
                <w:p>
                  <w:pPr>
                    <w:pStyle w:val="null3"/>
                    <w:jc w:val="center"/>
                  </w:pPr>
                  <w:r>
                    <w:rPr>
                      <w:rFonts w:ascii="仿宋_GB2312" w:hAnsi="仿宋_GB2312" w:cs="仿宋_GB2312" w:eastAsia="仿宋_GB2312"/>
                      <w:sz w:val="21"/>
                    </w:rPr>
                    <w:t>资源管理</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1.3.1</w:t>
                  </w:r>
                </w:p>
              </w:tc>
              <w:tc>
                <w:tcPr>
                  <w:tcW w:type="dxa" w:w="1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支持对医案基本信息进行管理维护，如医案名称、医师姓名、辨证分型、治则治法等；支持复诊管理，如处方名称、复诊日期、处方用量、中药名等；支持医案资源分享管理；支持工作室学员对工作室进行评价。</w:t>
                  </w:r>
                </w:p>
              </w:tc>
            </w:tr>
            <w:tr>
              <w:tc>
                <w:tcPr>
                  <w:tcW w:type="dxa" w:w="391"/>
                  <w:vMerge/>
                  <w:tcBorders>
                    <w:top w:val="none" w:color="000000" w:sz="4"/>
                    <w:left w:val="single" w:color="000000" w:sz="4"/>
                    <w:bottom w:val="single" w:color="000000" w:sz="4"/>
                    <w:right w:val="single" w:color="000000" w:sz="4"/>
                  </w:tcBorders>
                </w:tcPr>
                <w:p/>
              </w:tc>
              <w:tc>
                <w:tcPr>
                  <w:tcW w:type="dxa" w:w="395"/>
                  <w:vMerge/>
                  <w:tcBorders>
                    <w:top w:val="none" w:color="000000" w:sz="4"/>
                    <w:left w:val="single" w:color="000000" w:sz="4"/>
                    <w:bottom w:val="single" w:color="000000" w:sz="4"/>
                    <w:right w:val="single" w:color="000000" w:sz="4"/>
                  </w:tcBorders>
                </w:tcP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1.3.2</w:t>
                  </w:r>
                </w:p>
              </w:tc>
              <w:tc>
                <w:tcPr>
                  <w:tcW w:type="dxa" w:w="1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支持对年度计划、医话、读书心得、经验、书籍、获奖、专利、论文等基本信息进行管理维护；支持对上述内容进行分享；支持对上述内容进行注解评论。</w:t>
                  </w:r>
                </w:p>
              </w:tc>
            </w:tr>
            <w:tr>
              <w:tc>
                <w:tcPr>
                  <w:tcW w:type="dxa" w:w="391"/>
                  <w:vMerge/>
                  <w:tcBorders>
                    <w:top w:val="none" w:color="000000" w:sz="4"/>
                    <w:left w:val="single" w:color="000000" w:sz="4"/>
                    <w:bottom w:val="single" w:color="000000" w:sz="4"/>
                    <w:right w:val="single" w:color="000000" w:sz="4"/>
                  </w:tcBorders>
                </w:tcPr>
                <w:p/>
              </w:tc>
              <w:tc>
                <w:tcPr>
                  <w:tcW w:type="dxa" w:w="39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工作室</w:t>
                  </w:r>
                </w:p>
                <w:p>
                  <w:pPr>
                    <w:pStyle w:val="null3"/>
                    <w:jc w:val="center"/>
                  </w:pPr>
                  <w:r>
                    <w:rPr>
                      <w:rFonts w:ascii="仿宋_GB2312" w:hAnsi="仿宋_GB2312" w:cs="仿宋_GB2312" w:eastAsia="仿宋_GB2312"/>
                      <w:sz w:val="21"/>
                    </w:rPr>
                    <w:t>学员信息管理</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1.4.1</w:t>
                  </w:r>
                </w:p>
              </w:tc>
              <w:tc>
                <w:tcPr>
                  <w:tcW w:type="dxa" w:w="1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支持对名老中医工作室学员信息进行管理维护，如个人图片、基本信息、姓名、性别、身份证号等。</w:t>
                  </w:r>
                </w:p>
              </w:tc>
            </w:tr>
            <w:tr>
              <w:tc>
                <w:tcPr>
                  <w:tcW w:type="dxa" w:w="391"/>
                  <w:vMerge/>
                  <w:tcBorders>
                    <w:top w:val="none" w:color="000000" w:sz="4"/>
                    <w:left w:val="single" w:color="000000" w:sz="4"/>
                    <w:bottom w:val="single" w:color="000000" w:sz="4"/>
                    <w:right w:val="single" w:color="000000" w:sz="4"/>
                  </w:tcBorders>
                </w:tcPr>
                <w:p/>
              </w:tc>
              <w:tc>
                <w:tcPr>
                  <w:tcW w:type="dxa" w:w="395"/>
                  <w:vMerge/>
                  <w:tcBorders>
                    <w:top w:val="none" w:color="000000" w:sz="4"/>
                    <w:left w:val="single" w:color="000000" w:sz="4"/>
                    <w:bottom w:val="single" w:color="000000" w:sz="4"/>
                    <w:right w:val="single" w:color="000000" w:sz="4"/>
                  </w:tcBorders>
                </w:tcP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1.4.2</w:t>
                  </w:r>
                </w:p>
              </w:tc>
              <w:tc>
                <w:tcPr>
                  <w:tcW w:type="dxa" w:w="1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支持跟师申请查询、跟师批准、跟师管理等。</w:t>
                  </w:r>
                </w:p>
              </w:tc>
            </w:tr>
            <w:tr>
              <w:tc>
                <w:tcPr>
                  <w:tcW w:type="dxa" w:w="391"/>
                  <w:vMerge/>
                  <w:tcBorders>
                    <w:top w:val="none" w:color="000000" w:sz="4"/>
                    <w:left w:val="single" w:color="000000" w:sz="4"/>
                    <w:bottom w:val="single" w:color="000000" w:sz="4"/>
                    <w:right w:val="single" w:color="000000" w:sz="4"/>
                  </w:tcBorders>
                </w:tcPr>
                <w:p/>
              </w:tc>
              <w:tc>
                <w:tcPr>
                  <w:tcW w:type="dxa" w:w="395"/>
                  <w:vMerge/>
                  <w:tcBorders>
                    <w:top w:val="none" w:color="000000" w:sz="4"/>
                    <w:left w:val="single" w:color="000000" w:sz="4"/>
                    <w:bottom w:val="single" w:color="000000" w:sz="4"/>
                    <w:right w:val="single" w:color="000000" w:sz="4"/>
                  </w:tcBorders>
                </w:tcP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1.4.3</w:t>
                  </w:r>
                </w:p>
              </w:tc>
              <w:tc>
                <w:tcPr>
                  <w:tcW w:type="dxa" w:w="1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支持对论文基本信息进行管理维护，如论文标题、论文内容编写、上传相关附件；实现论文分享管理。</w:t>
                  </w:r>
                </w:p>
              </w:tc>
            </w:tr>
            <w:tr>
              <w:tc>
                <w:tcPr>
                  <w:tcW w:type="dxa" w:w="391"/>
                  <w:vMerge/>
                  <w:tcBorders>
                    <w:top w:val="none" w:color="000000" w:sz="4"/>
                    <w:left w:val="single" w:color="000000" w:sz="4"/>
                    <w:bottom w:val="single" w:color="000000" w:sz="4"/>
                    <w:right w:val="single" w:color="000000" w:sz="4"/>
                  </w:tcBorders>
                </w:tcPr>
                <w:p/>
              </w:tc>
              <w:tc>
                <w:tcPr>
                  <w:tcW w:type="dxa" w:w="395"/>
                  <w:vMerge/>
                  <w:tcBorders>
                    <w:top w:val="none" w:color="000000" w:sz="4"/>
                    <w:left w:val="single" w:color="000000" w:sz="4"/>
                    <w:bottom w:val="single" w:color="000000" w:sz="4"/>
                    <w:right w:val="single" w:color="000000" w:sz="4"/>
                  </w:tcBorders>
                </w:tcP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1.4.4</w:t>
                  </w:r>
                </w:p>
              </w:tc>
              <w:tc>
                <w:tcPr>
                  <w:tcW w:type="dxa" w:w="1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支持查询学员考核成绩，如按学员姓名、工作室名称、是否合格、分数排序查询；支持查看考核结果和详情。</w:t>
                  </w:r>
                </w:p>
              </w:tc>
            </w:tr>
            <w:tr>
              <w:tc>
                <w:tcPr>
                  <w:tcW w:type="dxa" w:w="391"/>
                  <w:vMerge/>
                  <w:tcBorders>
                    <w:top w:val="none" w:color="000000" w:sz="4"/>
                    <w:left w:val="single" w:color="000000" w:sz="4"/>
                    <w:bottom w:val="single" w:color="000000" w:sz="4"/>
                    <w:right w:val="single" w:color="000000" w:sz="4"/>
                  </w:tcBorders>
                </w:tcPr>
                <w:p/>
              </w:tc>
              <w:tc>
                <w:tcPr>
                  <w:tcW w:type="dxa" w:w="395"/>
                  <w:vMerge/>
                  <w:tcBorders>
                    <w:top w:val="none" w:color="000000" w:sz="4"/>
                    <w:left w:val="single" w:color="000000" w:sz="4"/>
                    <w:bottom w:val="single" w:color="000000" w:sz="4"/>
                    <w:right w:val="single" w:color="000000" w:sz="4"/>
                  </w:tcBorders>
                </w:tcP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1.4.5</w:t>
                  </w:r>
                </w:p>
              </w:tc>
              <w:tc>
                <w:tcPr>
                  <w:tcW w:type="dxa" w:w="1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支持查看跟师抄方和模拟抄方统计情况；支持按抄方内容和工作室查询；能够查看抄方详情、名医点评、删除模拟处方结果等。</w:t>
                  </w:r>
                </w:p>
              </w:tc>
            </w:tr>
            <w:tr>
              <w:tc>
                <w:tcPr>
                  <w:tcW w:type="dxa" w:w="391"/>
                  <w:vMerge/>
                  <w:tcBorders>
                    <w:top w:val="none" w:color="000000" w:sz="4"/>
                    <w:left w:val="single" w:color="000000" w:sz="4"/>
                    <w:bottom w:val="single" w:color="000000" w:sz="4"/>
                    <w:right w:val="single" w:color="000000" w:sz="4"/>
                  </w:tcBorders>
                </w:tcPr>
                <w:p/>
              </w:tc>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工作室</w:t>
                  </w:r>
                </w:p>
                <w:p>
                  <w:pPr>
                    <w:pStyle w:val="null3"/>
                    <w:jc w:val="center"/>
                  </w:pPr>
                  <w:r>
                    <w:rPr>
                      <w:rFonts w:ascii="仿宋_GB2312" w:hAnsi="仿宋_GB2312" w:cs="仿宋_GB2312" w:eastAsia="仿宋_GB2312"/>
                      <w:sz w:val="21"/>
                    </w:rPr>
                    <w:t>考核</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1.5.1</w:t>
                  </w:r>
                </w:p>
              </w:tc>
              <w:tc>
                <w:tcPr>
                  <w:tcW w:type="dxa" w:w="1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支持名老中医工作室考核。</w:t>
                  </w:r>
                </w:p>
              </w:tc>
            </w:tr>
            <w:tr>
              <w:tc>
                <w:tcPr>
                  <w:tcW w:type="dxa" w:w="39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名老中医跟师学习</w:t>
                  </w:r>
                </w:p>
              </w:tc>
              <w:tc>
                <w:tcPr>
                  <w:tcW w:type="dxa" w:w="39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活态传承</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2.1.1</w:t>
                  </w:r>
                </w:p>
              </w:tc>
              <w:tc>
                <w:tcPr>
                  <w:tcW w:type="dxa" w:w="1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支持名老中医诊疗过程、老药工特色技艺展示等直播发布、管理。</w:t>
                  </w:r>
                </w:p>
              </w:tc>
            </w:tr>
            <w:tr>
              <w:tc>
                <w:tcPr>
                  <w:tcW w:type="dxa" w:w="391"/>
                  <w:vMerge/>
                  <w:tcBorders>
                    <w:top w:val="none" w:color="000000" w:sz="4"/>
                    <w:left w:val="single" w:color="000000" w:sz="4"/>
                    <w:bottom w:val="single" w:color="000000" w:sz="4"/>
                    <w:right w:val="single" w:color="000000" w:sz="4"/>
                  </w:tcBorders>
                </w:tcPr>
                <w:p/>
              </w:tc>
              <w:tc>
                <w:tcPr>
                  <w:tcW w:type="dxa" w:w="395"/>
                  <w:vMerge/>
                  <w:tcBorders>
                    <w:top w:val="none" w:color="000000" w:sz="4"/>
                    <w:left w:val="single" w:color="000000" w:sz="4"/>
                    <w:bottom w:val="single" w:color="000000" w:sz="4"/>
                    <w:right w:val="single" w:color="000000" w:sz="4"/>
                  </w:tcBorders>
                </w:tcP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2.1.2</w:t>
                  </w:r>
                </w:p>
              </w:tc>
              <w:tc>
                <w:tcPr>
                  <w:tcW w:type="dxa" w:w="1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可通过重播和点播两种方式查看各个工作室上传的视频。</w:t>
                  </w:r>
                </w:p>
              </w:tc>
            </w:tr>
            <w:tr>
              <w:tc>
                <w:tcPr>
                  <w:tcW w:type="dxa" w:w="391"/>
                  <w:vMerge/>
                  <w:tcBorders>
                    <w:top w:val="none" w:color="000000" w:sz="4"/>
                    <w:left w:val="single" w:color="000000" w:sz="4"/>
                    <w:bottom w:val="single" w:color="000000" w:sz="4"/>
                    <w:right w:val="single" w:color="000000" w:sz="4"/>
                  </w:tcBorders>
                </w:tcPr>
                <w:p/>
              </w:tc>
              <w:tc>
                <w:tcPr>
                  <w:tcW w:type="dxa" w:w="395"/>
                  <w:vMerge/>
                  <w:tcBorders>
                    <w:top w:val="none" w:color="000000" w:sz="4"/>
                    <w:left w:val="single" w:color="000000" w:sz="4"/>
                    <w:bottom w:val="single" w:color="000000" w:sz="4"/>
                    <w:right w:val="single" w:color="000000" w:sz="4"/>
                  </w:tcBorders>
                </w:tcP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2.1.3</w:t>
                  </w:r>
                </w:p>
              </w:tc>
              <w:tc>
                <w:tcPr>
                  <w:tcW w:type="dxa" w:w="1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实现资源发布、管理、下载等功能。</w:t>
                  </w:r>
                </w:p>
              </w:tc>
            </w:tr>
            <w:tr>
              <w:tc>
                <w:tcPr>
                  <w:tcW w:type="dxa" w:w="391"/>
                  <w:vMerge/>
                  <w:tcBorders>
                    <w:top w:val="none" w:color="000000" w:sz="4"/>
                    <w:left w:val="single" w:color="000000" w:sz="4"/>
                    <w:bottom w:val="single" w:color="000000" w:sz="4"/>
                    <w:right w:val="single" w:color="000000" w:sz="4"/>
                  </w:tcBorders>
                </w:tcPr>
                <w:p/>
              </w:tc>
              <w:tc>
                <w:tcPr>
                  <w:tcW w:type="dxa" w:w="395"/>
                  <w:vMerge/>
                  <w:tcBorders>
                    <w:top w:val="none" w:color="000000" w:sz="4"/>
                    <w:left w:val="single" w:color="000000" w:sz="4"/>
                    <w:bottom w:val="single" w:color="000000" w:sz="4"/>
                    <w:right w:val="single" w:color="000000" w:sz="4"/>
                  </w:tcBorders>
                </w:tcP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2.1.4</w:t>
                  </w:r>
                </w:p>
              </w:tc>
              <w:tc>
                <w:tcPr>
                  <w:tcW w:type="dxa" w:w="1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建立医案、影像学习资料、音频学习资料之间的索引关联。</w:t>
                  </w:r>
                </w:p>
              </w:tc>
            </w:tr>
            <w:tr>
              <w:tc>
                <w:tcPr>
                  <w:tcW w:type="dxa" w:w="391"/>
                  <w:vMerge/>
                  <w:tcBorders>
                    <w:top w:val="none" w:color="000000" w:sz="4"/>
                    <w:left w:val="single" w:color="000000" w:sz="4"/>
                    <w:bottom w:val="single" w:color="000000" w:sz="4"/>
                    <w:right w:val="single" w:color="000000" w:sz="4"/>
                  </w:tcBorders>
                </w:tcPr>
                <w:p/>
              </w:tc>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跟师抄方</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2.2.1</w:t>
                  </w:r>
                </w:p>
              </w:tc>
              <w:tc>
                <w:tcPr>
                  <w:tcW w:type="dxa" w:w="1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支持跟师信息查看，包括抄方记录查看、跟师过程记录查看（如医案、影像学习资料、音频学习资料等）。</w:t>
                  </w:r>
                </w:p>
              </w:tc>
            </w:tr>
            <w:tr>
              <w:tc>
                <w:tcPr>
                  <w:tcW w:type="dxa" w:w="391"/>
                  <w:vMerge/>
                  <w:tcBorders>
                    <w:top w:val="none" w:color="000000" w:sz="4"/>
                    <w:left w:val="single" w:color="000000" w:sz="4"/>
                    <w:bottom w:val="single" w:color="000000" w:sz="4"/>
                    <w:right w:val="single" w:color="000000" w:sz="4"/>
                  </w:tcBorders>
                </w:tcPr>
                <w:p/>
              </w:tc>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模拟开方</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2.3.1</w:t>
                  </w:r>
                </w:p>
              </w:tc>
              <w:tc>
                <w:tcPr>
                  <w:tcW w:type="dxa" w:w="1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支持学员模拟中医开方；支持模拟处方记录查看和删除等操作。</w:t>
                  </w:r>
                </w:p>
              </w:tc>
            </w:tr>
            <w:tr>
              <w:tc>
                <w:tcPr>
                  <w:tcW w:type="dxa" w:w="391"/>
                  <w:vMerge/>
                  <w:tcBorders>
                    <w:top w:val="none" w:color="000000" w:sz="4"/>
                    <w:left w:val="single" w:color="000000" w:sz="4"/>
                    <w:bottom w:val="single" w:color="000000" w:sz="4"/>
                    <w:right w:val="single" w:color="000000" w:sz="4"/>
                  </w:tcBorders>
                </w:tcPr>
                <w:p/>
              </w:tc>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经验学习</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2.4.1</w:t>
                  </w:r>
                </w:p>
              </w:tc>
              <w:tc>
                <w:tcPr>
                  <w:tcW w:type="dxa" w:w="1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支持工作室发布各种形式的名老中医药专家经验传承学习记录。</w:t>
                  </w:r>
                </w:p>
              </w:tc>
            </w:tr>
            <w:tr>
              <w:tc>
                <w:tcPr>
                  <w:tcW w:type="dxa" w:w="391"/>
                  <w:vMerge/>
                  <w:tcBorders>
                    <w:top w:val="none" w:color="000000" w:sz="4"/>
                    <w:left w:val="single" w:color="000000" w:sz="4"/>
                    <w:bottom w:val="single" w:color="000000" w:sz="4"/>
                    <w:right w:val="single" w:color="000000" w:sz="4"/>
                  </w:tcBorders>
                </w:tcPr>
                <w:p/>
              </w:tc>
              <w:tc>
                <w:tcPr>
                  <w:tcW w:type="dxa" w:w="39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在线考核</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2.5.1</w:t>
                  </w:r>
                </w:p>
              </w:tc>
              <w:tc>
                <w:tcPr>
                  <w:tcW w:type="dxa" w:w="1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支持设置单选题、多选题、问答题、模拟接诊处方等格式题目。</w:t>
                  </w:r>
                </w:p>
              </w:tc>
            </w:tr>
            <w:tr>
              <w:tc>
                <w:tcPr>
                  <w:tcW w:type="dxa" w:w="391"/>
                  <w:vMerge/>
                  <w:tcBorders>
                    <w:top w:val="none" w:color="000000" w:sz="4"/>
                    <w:left w:val="single" w:color="000000" w:sz="4"/>
                    <w:bottom w:val="single" w:color="000000" w:sz="4"/>
                    <w:right w:val="single" w:color="000000" w:sz="4"/>
                  </w:tcBorders>
                </w:tcPr>
                <w:p/>
              </w:tc>
              <w:tc>
                <w:tcPr>
                  <w:tcW w:type="dxa" w:w="395"/>
                  <w:vMerge/>
                  <w:tcBorders>
                    <w:top w:val="none" w:color="000000" w:sz="4"/>
                    <w:left w:val="single" w:color="000000" w:sz="4"/>
                    <w:bottom w:val="single" w:color="000000" w:sz="4"/>
                    <w:right w:val="single" w:color="000000" w:sz="4"/>
                  </w:tcBorders>
                </w:tcP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2.5.2</w:t>
                  </w:r>
                </w:p>
              </w:tc>
              <w:tc>
                <w:tcPr>
                  <w:tcW w:type="dxa" w:w="1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支持对试卷进行浏览和批阅；支持客观题进行自动阅卷。</w:t>
                  </w:r>
                </w:p>
              </w:tc>
            </w:tr>
            <w:tr>
              <w:tc>
                <w:tcPr>
                  <w:tcW w:type="dxa" w:w="391"/>
                  <w:vMerge/>
                  <w:tcBorders>
                    <w:top w:val="none" w:color="000000" w:sz="4"/>
                    <w:left w:val="single" w:color="000000" w:sz="4"/>
                    <w:bottom w:val="single" w:color="000000" w:sz="4"/>
                    <w:right w:val="single" w:color="000000" w:sz="4"/>
                  </w:tcBorders>
                </w:tcPr>
                <w:p/>
              </w:tc>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模拟接诊</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2.6.1</w:t>
                  </w:r>
                </w:p>
              </w:tc>
              <w:tc>
                <w:tcPr>
                  <w:tcW w:type="dxa" w:w="1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模拟中医类接诊规范流程，提供多病种选择、临床问诊替代、学员线上答题、自行编辑接诊步骤等功能。</w:t>
                  </w:r>
                </w:p>
              </w:tc>
            </w:tr>
            <w:tr>
              <w:tc>
                <w:tcPr>
                  <w:tcW w:type="dxa" w:w="39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医案文献挖掘分析</w:t>
                  </w:r>
                </w:p>
              </w:tc>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医案建立</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3.1.1</w:t>
                  </w:r>
                </w:p>
              </w:tc>
              <w:tc>
                <w:tcPr>
                  <w:tcW w:type="dxa" w:w="1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支持自建或从电子病历系统中建立医案；建立名老中医病案数据库；支持中医专家系统；支持应用于临床辅助决策和中医诊断教学。</w:t>
                  </w:r>
                </w:p>
              </w:tc>
            </w:tr>
            <w:tr>
              <w:tc>
                <w:tcPr>
                  <w:tcW w:type="dxa" w:w="391"/>
                  <w:vMerge/>
                  <w:tcBorders>
                    <w:top w:val="none" w:color="000000" w:sz="4"/>
                    <w:left w:val="single" w:color="000000" w:sz="4"/>
                    <w:bottom w:val="single" w:color="000000" w:sz="4"/>
                    <w:right w:val="single" w:color="000000" w:sz="4"/>
                  </w:tcBorders>
                </w:tcPr>
                <w:p/>
              </w:tc>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医案采集处理</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3.2.1</w:t>
                  </w:r>
                </w:p>
              </w:tc>
              <w:tc>
                <w:tcPr>
                  <w:tcW w:type="dxa" w:w="1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支持批量采集医案；支持中医诊断、证型、治则治法等规范处理；支持医案的中医诊断、证型等内容与标准化中医术语的自动匹配。</w:t>
                  </w:r>
                </w:p>
              </w:tc>
            </w:tr>
            <w:tr>
              <w:tc>
                <w:tcPr>
                  <w:tcW w:type="dxa" w:w="391"/>
                  <w:vMerge/>
                  <w:tcBorders>
                    <w:top w:val="none" w:color="000000" w:sz="4"/>
                    <w:left w:val="single" w:color="000000" w:sz="4"/>
                    <w:bottom w:val="single" w:color="000000" w:sz="4"/>
                    <w:right w:val="single" w:color="000000" w:sz="4"/>
                  </w:tcBorders>
                </w:tcPr>
                <w:p/>
              </w:tc>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医案数据挖掘分析</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3.3.1</w:t>
                  </w:r>
                </w:p>
              </w:tc>
              <w:tc>
                <w:tcPr>
                  <w:tcW w:type="dxa" w:w="1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支持临床中四诊、病症、证型、治法、处方、用药等频次统计；支持医案多维度分析，如统计分析、关联分析等。</w:t>
                  </w:r>
                </w:p>
              </w:tc>
            </w:tr>
            <w:tr>
              <w:tc>
                <w:tcPr>
                  <w:tcW w:type="dxa" w:w="391"/>
                  <w:vMerge/>
                  <w:tcBorders>
                    <w:top w:val="none" w:color="000000" w:sz="4"/>
                    <w:left w:val="single" w:color="000000" w:sz="4"/>
                    <w:bottom w:val="single" w:color="000000" w:sz="4"/>
                    <w:right w:val="single" w:color="000000" w:sz="4"/>
                  </w:tcBorders>
                </w:tcPr>
                <w:p/>
              </w:tc>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临床指南</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3.4.1</w:t>
                  </w:r>
                </w:p>
              </w:tc>
              <w:tc>
                <w:tcPr>
                  <w:tcW w:type="dxa" w:w="1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提供对病证的解读，如临床症状、诊断、证型，治则治法等。</w:t>
                  </w:r>
                </w:p>
              </w:tc>
            </w:tr>
            <w:tr>
              <w:tc>
                <w:tcPr>
                  <w:tcW w:type="dxa" w:w="391"/>
                  <w:vMerge/>
                  <w:tcBorders>
                    <w:top w:val="none" w:color="000000" w:sz="4"/>
                    <w:left w:val="single" w:color="000000" w:sz="4"/>
                    <w:bottom w:val="single" w:color="000000" w:sz="4"/>
                    <w:right w:val="single" w:color="000000" w:sz="4"/>
                  </w:tcBorders>
                </w:tcPr>
                <w:p/>
              </w:tc>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经典中成药、方剂查询</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3.5.1</w:t>
                  </w:r>
                </w:p>
              </w:tc>
              <w:tc>
                <w:tcPr>
                  <w:tcW w:type="dxa" w:w="1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提供查询古今方剂、中成药的用法用量、功能主治、药物不良反应等知识。</w:t>
                  </w:r>
                </w:p>
              </w:tc>
            </w:tr>
            <w:tr>
              <w:tc>
                <w:tcPr>
                  <w:tcW w:type="dxa" w:w="391"/>
                  <w:vMerge/>
                  <w:tcBorders>
                    <w:top w:val="none" w:color="000000" w:sz="4"/>
                    <w:left w:val="single" w:color="000000" w:sz="4"/>
                    <w:bottom w:val="single" w:color="000000" w:sz="4"/>
                    <w:right w:val="single" w:color="000000" w:sz="4"/>
                  </w:tcBorders>
                </w:tcPr>
                <w:p/>
              </w:tc>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查询检索</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3.6.1</w:t>
                  </w:r>
                </w:p>
              </w:tc>
              <w:tc>
                <w:tcPr>
                  <w:tcW w:type="dxa" w:w="1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提供经典名医医案和期刊文献查询检索。</w:t>
                  </w:r>
                </w:p>
              </w:tc>
            </w:tr>
            <w:tr>
              <w:tc>
                <w:tcPr>
                  <w:tcW w:type="dxa" w:w="39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名老中医学术研究</w:t>
                  </w:r>
                </w:p>
              </w:tc>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学术流派数据库建立</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4.1.1</w:t>
                  </w:r>
                </w:p>
              </w:tc>
              <w:tc>
                <w:tcPr>
                  <w:tcW w:type="dxa" w:w="1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按学术思想、特色技法、优势病种、特色方药等要素建立中医学术流派数据库。</w:t>
                  </w:r>
                </w:p>
              </w:tc>
            </w:tr>
            <w:tr>
              <w:tc>
                <w:tcPr>
                  <w:tcW w:type="dxa" w:w="391"/>
                  <w:vMerge/>
                  <w:tcBorders>
                    <w:top w:val="none" w:color="000000" w:sz="4"/>
                    <w:left w:val="single" w:color="000000" w:sz="4"/>
                    <w:bottom w:val="single" w:color="000000" w:sz="4"/>
                    <w:right w:val="single" w:color="000000" w:sz="4"/>
                  </w:tcBorders>
                </w:tcPr>
                <w:p/>
              </w:tc>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方剂筛选</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4.2.1</w:t>
                  </w:r>
                </w:p>
              </w:tc>
              <w:tc>
                <w:tcPr>
                  <w:tcW w:type="dxa" w:w="1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支持分析名老中医用药习惯；支持筛选有效方剂。</w:t>
                  </w:r>
                </w:p>
              </w:tc>
            </w:tr>
          </w:tbl>
          <w:p>
            <w:pPr>
              <w:pStyle w:val="null3"/>
              <w:jc w:val="both"/>
              <w:outlineLvl w:val="3"/>
            </w:pPr>
            <w:r>
              <w:rPr>
                <w:rFonts w:ascii="仿宋_GB2312" w:hAnsi="仿宋_GB2312" w:cs="仿宋_GB2312" w:eastAsia="仿宋_GB2312"/>
                <w:sz w:val="28"/>
                <w:b/>
                <w:color w:val="000000"/>
              </w:rPr>
              <w:t>1.1.1</w:t>
            </w:r>
            <w:r>
              <w:rPr>
                <w:rFonts w:ascii="仿宋_GB2312" w:hAnsi="仿宋_GB2312" w:cs="仿宋_GB2312" w:eastAsia="仿宋_GB2312"/>
                <w:sz w:val="28"/>
                <w:b/>
                <w:color w:val="000000"/>
              </w:rPr>
              <w:t>名老中医药专家传承工作室建设</w:t>
            </w:r>
          </w:p>
          <w:p>
            <w:pPr>
              <w:pStyle w:val="null3"/>
              <w:jc w:val="both"/>
            </w:pPr>
            <w:r>
              <w:rPr>
                <w:rFonts w:ascii="仿宋_GB2312" w:hAnsi="仿宋_GB2312" w:cs="仿宋_GB2312" w:eastAsia="仿宋_GB2312"/>
                <w:sz w:val="24"/>
                <w:b/>
                <w:color w:val="000000"/>
              </w:rPr>
              <w:t>1.1.1.1工作室基础管理</w:t>
            </w:r>
          </w:p>
          <w:p>
            <w:pPr>
              <w:pStyle w:val="null3"/>
              <w:ind w:firstLine="480"/>
              <w:jc w:val="both"/>
            </w:pPr>
            <w:r>
              <w:rPr>
                <w:rFonts w:ascii="仿宋_GB2312" w:hAnsi="仿宋_GB2312" w:cs="仿宋_GB2312" w:eastAsia="仿宋_GB2312"/>
                <w:sz w:val="24"/>
              </w:rPr>
              <w:t>支持名老中医药专家传承工作室管理、工作室成员管理，如工作室的图片、名称、简介、专长介绍、成员基本信息等。</w:t>
            </w:r>
          </w:p>
          <w:p>
            <w:pPr>
              <w:pStyle w:val="null3"/>
              <w:ind w:firstLine="480"/>
              <w:jc w:val="both"/>
            </w:pPr>
            <w:r>
              <w:rPr>
                <w:rFonts w:ascii="仿宋_GB2312" w:hAnsi="仿宋_GB2312" w:cs="仿宋_GB2312" w:eastAsia="仿宋_GB2312"/>
                <w:sz w:val="24"/>
              </w:rPr>
              <w:t>1.工作室信息录入：支持录入名老中医药专家传承工作室的详细信息，包括工作室的图片、名称、简介、专长介绍等。</w:t>
            </w:r>
          </w:p>
          <w:p>
            <w:pPr>
              <w:pStyle w:val="null3"/>
              <w:ind w:firstLine="480"/>
              <w:jc w:val="both"/>
            </w:pPr>
            <w:r>
              <w:rPr>
                <w:rFonts w:ascii="仿宋_GB2312" w:hAnsi="仿宋_GB2312" w:cs="仿宋_GB2312" w:eastAsia="仿宋_GB2312"/>
                <w:sz w:val="24"/>
              </w:rPr>
              <w:t>2.工作室信息编辑：可对已录入的工作室信息进行修改和更新，如随着工作室的发展，调整专长介绍内容，或更换更具代表性的图片等。</w:t>
            </w:r>
          </w:p>
          <w:p>
            <w:pPr>
              <w:pStyle w:val="null3"/>
              <w:ind w:firstLine="480"/>
              <w:jc w:val="both"/>
            </w:pPr>
            <w:r>
              <w:rPr>
                <w:rFonts w:ascii="仿宋_GB2312" w:hAnsi="仿宋_GB2312" w:cs="仿宋_GB2312" w:eastAsia="仿宋_GB2312"/>
                <w:sz w:val="24"/>
              </w:rPr>
              <w:t>3.工作室成员信息录入：能够录入工作室成员的基本信息，如姓名、性别、学历、职称、专业、联系方式等，方便对成员进行统一管理。</w:t>
            </w:r>
          </w:p>
          <w:p>
            <w:pPr>
              <w:pStyle w:val="null3"/>
              <w:ind w:firstLine="480"/>
              <w:jc w:val="both"/>
            </w:pPr>
            <w:r>
              <w:rPr>
                <w:rFonts w:ascii="仿宋_GB2312" w:hAnsi="仿宋_GB2312" w:cs="仿宋_GB2312" w:eastAsia="仿宋_GB2312"/>
                <w:sz w:val="24"/>
              </w:rPr>
              <w:t>4.成员角色设置：为工作室成员设置不同的角色，如普通角色或成员角色。</w:t>
            </w:r>
          </w:p>
          <w:p>
            <w:pPr>
              <w:pStyle w:val="null3"/>
              <w:ind w:firstLine="480"/>
              <w:jc w:val="both"/>
            </w:pPr>
            <w:r>
              <w:rPr>
                <w:rFonts w:ascii="仿宋_GB2312" w:hAnsi="仿宋_GB2312" w:cs="仿宋_GB2312" w:eastAsia="仿宋_GB2312"/>
                <w:sz w:val="24"/>
              </w:rPr>
              <w:t>5.成员信息编辑：允许对成员的基本信息进行修改、删除，及时更新系统中的信息。</w:t>
            </w:r>
          </w:p>
          <w:p>
            <w:pPr>
              <w:pStyle w:val="null3"/>
              <w:ind w:firstLine="480"/>
              <w:jc w:val="both"/>
            </w:pPr>
            <w:r>
              <w:rPr>
                <w:rFonts w:ascii="仿宋_GB2312" w:hAnsi="仿宋_GB2312" w:cs="仿宋_GB2312" w:eastAsia="仿宋_GB2312"/>
                <w:sz w:val="24"/>
              </w:rPr>
              <w:t>6.成员查询：支持通过多种条件（角色、姓名等）对工作室成员进行查询，便于快速找到特定成员的信息。</w:t>
            </w:r>
          </w:p>
          <w:p>
            <w:pPr>
              <w:pStyle w:val="null3"/>
              <w:ind w:firstLine="480"/>
              <w:jc w:val="both"/>
            </w:pPr>
            <w:r>
              <w:rPr>
                <w:rFonts w:ascii="仿宋_GB2312" w:hAnsi="仿宋_GB2312" w:cs="仿宋_GB2312" w:eastAsia="仿宋_GB2312"/>
                <w:sz w:val="24"/>
              </w:rPr>
              <w:t>7.工作室展示功能：在系统前台展示工作室的信息和成员信息。</w:t>
            </w:r>
          </w:p>
          <w:p>
            <w:pPr>
              <w:pStyle w:val="null3"/>
              <w:jc w:val="both"/>
            </w:pPr>
            <w:r>
              <w:rPr>
                <w:rFonts w:ascii="仿宋_GB2312" w:hAnsi="仿宋_GB2312" w:cs="仿宋_GB2312" w:eastAsia="仿宋_GB2312"/>
                <w:sz w:val="24"/>
                <w:b/>
                <w:color w:val="000000"/>
              </w:rPr>
              <w:t>1.1.1.2工作室活动管理</w:t>
            </w:r>
          </w:p>
          <w:p>
            <w:pPr>
              <w:pStyle w:val="null3"/>
              <w:ind w:firstLine="480"/>
              <w:jc w:val="both"/>
            </w:pPr>
            <w:r>
              <w:rPr>
                <w:rFonts w:ascii="仿宋_GB2312" w:hAnsi="仿宋_GB2312" w:cs="仿宋_GB2312" w:eastAsia="仿宋_GB2312"/>
                <w:sz w:val="24"/>
              </w:rPr>
              <w:t>支持工作室讲座、读书会、名中医查房、病案讨论、示教观摩、培训等活动的信息管理。</w:t>
            </w:r>
          </w:p>
          <w:p>
            <w:pPr>
              <w:pStyle w:val="null3"/>
              <w:ind w:firstLine="480"/>
              <w:jc w:val="both"/>
            </w:pPr>
            <w:r>
              <w:rPr>
                <w:rFonts w:ascii="仿宋_GB2312" w:hAnsi="仿宋_GB2312" w:cs="仿宋_GB2312" w:eastAsia="仿宋_GB2312"/>
                <w:sz w:val="24"/>
              </w:rPr>
              <w:t>1.活动信息录入：支持工作室讲座、读书会、名中医查房、病案讨论、示教观摩、培训等各类活动的信息录入，包括活动标题、工作室、主持人、活动时间、活动地点、活动内容、附件。配备文本编辑器，方便编写内容，支持段落格式调整、插入图表等操作。</w:t>
            </w:r>
          </w:p>
          <w:p>
            <w:pPr>
              <w:pStyle w:val="null3"/>
              <w:ind w:firstLine="480"/>
              <w:jc w:val="both"/>
            </w:pPr>
            <w:r>
              <w:rPr>
                <w:rFonts w:ascii="仿宋_GB2312" w:hAnsi="仿宋_GB2312" w:cs="仿宋_GB2312" w:eastAsia="仿宋_GB2312"/>
                <w:sz w:val="24"/>
              </w:rPr>
              <w:t>2.活动详情编辑：可以对已录入的活动信息进行修改、删除，如更新活动内容介绍、调整活动时间地点、修改主持人信息等。</w:t>
            </w:r>
          </w:p>
          <w:p>
            <w:pPr>
              <w:pStyle w:val="null3"/>
              <w:ind w:firstLine="480"/>
              <w:jc w:val="both"/>
            </w:pPr>
            <w:r>
              <w:rPr>
                <w:rFonts w:ascii="仿宋_GB2312" w:hAnsi="仿宋_GB2312" w:cs="仿宋_GB2312" w:eastAsia="仿宋_GB2312"/>
                <w:sz w:val="24"/>
              </w:rPr>
              <w:t>3.活动资料上传：允许活动组织者上传活动相关的资料，如讲座的PPT、病案讨论的病例资料、培训的学习资料等。</w:t>
            </w:r>
          </w:p>
          <w:p>
            <w:pPr>
              <w:pStyle w:val="null3"/>
              <w:ind w:firstLine="480"/>
              <w:jc w:val="both"/>
            </w:pPr>
            <w:r>
              <w:rPr>
                <w:rFonts w:ascii="仿宋_GB2312" w:hAnsi="仿宋_GB2312" w:cs="仿宋_GB2312" w:eastAsia="仿宋_GB2312"/>
                <w:sz w:val="24"/>
              </w:rPr>
              <w:t>4.活动搜索查询：支持通过标题、发布人、名医工作室等条件对已录入的活动进行搜索查询，方便用户快速找到所需的活动信息。</w:t>
            </w:r>
          </w:p>
          <w:p>
            <w:pPr>
              <w:pStyle w:val="null3"/>
              <w:jc w:val="both"/>
            </w:pPr>
            <w:r>
              <w:rPr>
                <w:rFonts w:ascii="仿宋_GB2312" w:hAnsi="仿宋_GB2312" w:cs="仿宋_GB2312" w:eastAsia="仿宋_GB2312"/>
                <w:sz w:val="24"/>
                <w:b/>
                <w:color w:val="000000"/>
              </w:rPr>
              <w:t>1.1.1.3工作室资源管理</w:t>
            </w:r>
          </w:p>
          <w:p>
            <w:pPr>
              <w:pStyle w:val="null3"/>
              <w:ind w:firstLine="480"/>
              <w:jc w:val="both"/>
            </w:pPr>
            <w:r>
              <w:rPr>
                <w:rFonts w:ascii="仿宋_GB2312" w:hAnsi="仿宋_GB2312" w:cs="仿宋_GB2312" w:eastAsia="仿宋_GB2312"/>
                <w:sz w:val="24"/>
              </w:rPr>
              <w:t>一、支持对医案基本信息进行管理维护，如医案名称、医师姓名、患者信息、病情分析、辨证分型、治则治法等</w:t>
            </w:r>
            <w:r>
              <w:rPr>
                <w:rFonts w:ascii="仿宋_GB2312" w:hAnsi="仿宋_GB2312" w:cs="仿宋_GB2312" w:eastAsia="仿宋_GB2312"/>
                <w:sz w:val="24"/>
              </w:rPr>
              <w:t>;支持复诊管理，如处方名称、复诊日期、处方用量、中药名等;支持医案资源分享管理;支持工作室学员进行评论。</w:t>
            </w:r>
          </w:p>
          <w:p>
            <w:pPr>
              <w:pStyle w:val="null3"/>
              <w:ind w:firstLine="480"/>
              <w:jc w:val="both"/>
            </w:pPr>
            <w:r>
              <w:rPr>
                <w:rFonts w:ascii="仿宋_GB2312" w:hAnsi="仿宋_GB2312" w:cs="仿宋_GB2312" w:eastAsia="仿宋_GB2312"/>
                <w:sz w:val="24"/>
              </w:rPr>
              <w:t>1.医案基本信息录入：提供界面用于录入医案的详细基本信息，包括医案名称、患者信息、病情分析、对应的医师姓名、辨证分型、治则治法，以及其他相关的信息。</w:t>
            </w:r>
          </w:p>
          <w:p>
            <w:pPr>
              <w:pStyle w:val="null3"/>
              <w:ind w:firstLine="480"/>
              <w:jc w:val="both"/>
            </w:pPr>
            <w:r>
              <w:rPr>
                <w:rFonts w:ascii="仿宋_GB2312" w:hAnsi="仿宋_GB2312" w:cs="仿宋_GB2312" w:eastAsia="仿宋_GB2312"/>
                <w:sz w:val="24"/>
              </w:rPr>
              <w:t>2.医案基本信息编辑：可对已录入的医案基本信息进行修改、删除，当发现信息有误或有新的补充内容时，能够及时更新，确保医案信息的准确性。</w:t>
            </w:r>
          </w:p>
          <w:p>
            <w:pPr>
              <w:pStyle w:val="null3"/>
              <w:ind w:firstLine="480"/>
              <w:jc w:val="both"/>
            </w:pPr>
            <w:r>
              <w:rPr>
                <w:rFonts w:ascii="仿宋_GB2312" w:hAnsi="仿宋_GB2312" w:cs="仿宋_GB2312" w:eastAsia="仿宋_GB2312"/>
                <w:sz w:val="24"/>
              </w:rPr>
              <w:t>3.复诊信息录入：针对医案的复诊情况，支持录入复诊相关信息，如处方名称、复诊日期、处方用量（精确到具体剂量）、中药名（可详细列出每味中药）、处方组成、针灸治疗、治疗变化、目前情况、按语等，全面记录复诊过程。</w:t>
            </w:r>
          </w:p>
          <w:p>
            <w:pPr>
              <w:pStyle w:val="null3"/>
              <w:ind w:firstLine="480"/>
              <w:jc w:val="both"/>
            </w:pPr>
            <w:r>
              <w:rPr>
                <w:rFonts w:ascii="仿宋_GB2312" w:hAnsi="仿宋_GB2312" w:cs="仿宋_GB2312" w:eastAsia="仿宋_GB2312"/>
                <w:sz w:val="24"/>
              </w:rPr>
              <w:t>4.复诊信息编辑：允许对复诊信息进行修改、删除，若复诊处方或相关信息发生变化，可在系统中进行调整，保证复诊记录的实时性。</w:t>
            </w:r>
          </w:p>
          <w:p>
            <w:pPr>
              <w:pStyle w:val="null3"/>
              <w:ind w:firstLine="480"/>
              <w:jc w:val="both"/>
            </w:pPr>
            <w:r>
              <w:rPr>
                <w:rFonts w:ascii="仿宋_GB2312" w:hAnsi="仿宋_GB2312" w:cs="仿宋_GB2312" w:eastAsia="仿宋_GB2312"/>
                <w:sz w:val="24"/>
              </w:rPr>
              <w:t>5.医案资源分享：提供设置功能，管理员或有权限的人员对医案资源进行分享。</w:t>
            </w:r>
          </w:p>
          <w:p>
            <w:pPr>
              <w:pStyle w:val="null3"/>
              <w:ind w:firstLine="480"/>
              <w:jc w:val="both"/>
            </w:pPr>
            <w:r>
              <w:rPr>
                <w:rFonts w:ascii="仿宋_GB2312" w:hAnsi="仿宋_GB2312" w:cs="仿宋_GB2312" w:eastAsia="仿宋_GB2312"/>
                <w:sz w:val="24"/>
              </w:rPr>
              <w:t>6.学员评论功能：工作室学员能够针对医案进行评论，发表自己的见解、疑问或学习心得等。</w:t>
            </w:r>
          </w:p>
          <w:p>
            <w:pPr>
              <w:pStyle w:val="null3"/>
              <w:ind w:firstLine="480"/>
              <w:jc w:val="both"/>
            </w:pPr>
            <w:r>
              <w:rPr>
                <w:rFonts w:ascii="仿宋_GB2312" w:hAnsi="仿宋_GB2312" w:cs="仿宋_GB2312" w:eastAsia="仿宋_GB2312"/>
                <w:sz w:val="24"/>
              </w:rPr>
              <w:t>7.医案检索查询：支持通过多种条件（如医案名称、名医工作室等）对医案进行检索和查询，方便快速找到所需的医案资源。</w:t>
            </w:r>
          </w:p>
          <w:p>
            <w:pPr>
              <w:pStyle w:val="null3"/>
              <w:ind w:firstLine="480"/>
              <w:jc w:val="both"/>
            </w:pPr>
            <w:r>
              <w:rPr>
                <w:rFonts w:ascii="仿宋_GB2312" w:hAnsi="仿宋_GB2312" w:cs="仿宋_GB2312" w:eastAsia="仿宋_GB2312"/>
                <w:sz w:val="24"/>
              </w:rPr>
              <w:t>二、支持对年度计划、医话、读书心得、经验、书籍、获奖、专利、论文等基本信息进行管理维护</w:t>
            </w:r>
            <w:r>
              <w:rPr>
                <w:rFonts w:ascii="仿宋_GB2312" w:hAnsi="仿宋_GB2312" w:cs="仿宋_GB2312" w:eastAsia="仿宋_GB2312"/>
                <w:sz w:val="24"/>
              </w:rPr>
              <w:t>;支持对上述内容进行分享;支持对上述内容进行注解评论。</w:t>
            </w:r>
          </w:p>
          <w:p>
            <w:pPr>
              <w:pStyle w:val="null3"/>
              <w:ind w:firstLine="480"/>
              <w:jc w:val="both"/>
            </w:pPr>
            <w:r>
              <w:rPr>
                <w:rFonts w:ascii="仿宋_GB2312" w:hAnsi="仿宋_GB2312" w:cs="仿宋_GB2312" w:eastAsia="仿宋_GB2312"/>
                <w:sz w:val="24"/>
              </w:rPr>
              <w:t>1.内容信息录入：为年度计划、医话、读书心得、经验、书籍、获奖、专利、论文等不同类型内容，设置独立的信息录入界面。可录入资源标题、工作室、资源内容、附件等内容。配备文本编辑器，方便编写内容，支持段落格式调整、插入图表等操作。</w:t>
            </w:r>
          </w:p>
          <w:p>
            <w:pPr>
              <w:pStyle w:val="null3"/>
              <w:ind w:firstLine="480"/>
              <w:jc w:val="both"/>
            </w:pPr>
            <w:r>
              <w:rPr>
                <w:rFonts w:ascii="仿宋_GB2312" w:hAnsi="仿宋_GB2312" w:cs="仿宋_GB2312" w:eastAsia="仿宋_GB2312"/>
                <w:sz w:val="24"/>
              </w:rPr>
              <w:t>2.信息编辑修改：允许对已录入的内容信息进行修改、删除，方便及时更新资料。</w:t>
            </w:r>
          </w:p>
          <w:p>
            <w:pPr>
              <w:pStyle w:val="null3"/>
              <w:ind w:firstLine="480"/>
              <w:jc w:val="both"/>
            </w:pPr>
            <w:r>
              <w:rPr>
                <w:rFonts w:ascii="仿宋_GB2312" w:hAnsi="仿宋_GB2312" w:cs="仿宋_GB2312" w:eastAsia="仿宋_GB2312"/>
                <w:sz w:val="24"/>
              </w:rPr>
              <w:t>3.分享设置：针对每一项内容，提供分享权限设置，将资源公开到所有工作室。</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rPr>
              <w:t>4.注解评论功能：用户能够对年度计划、医话、读书心得、经验、书籍、获奖、专利、论文等内容进行注解评论，表达自己的观点和见解。</w:t>
            </w:r>
          </w:p>
          <w:p>
            <w:pPr>
              <w:pStyle w:val="null3"/>
              <w:ind w:firstLine="480"/>
              <w:jc w:val="both"/>
            </w:pPr>
            <w:r>
              <w:rPr>
                <w:rFonts w:ascii="仿宋_GB2312" w:hAnsi="仿宋_GB2312" w:cs="仿宋_GB2312" w:eastAsia="仿宋_GB2312"/>
                <w:sz w:val="24"/>
              </w:rPr>
              <w:t>5.搜索检索功能：提供强大的搜索功能，支持通过标题、名医工作室、发布人等多种条件进行搜索，快速定位到相关资料。</w:t>
            </w:r>
          </w:p>
          <w:p>
            <w:pPr>
              <w:pStyle w:val="null3"/>
              <w:jc w:val="both"/>
            </w:pPr>
            <w:r>
              <w:rPr>
                <w:rFonts w:ascii="仿宋_GB2312" w:hAnsi="仿宋_GB2312" w:cs="仿宋_GB2312" w:eastAsia="仿宋_GB2312"/>
                <w:sz w:val="24"/>
                <w:b/>
                <w:color w:val="000000"/>
              </w:rPr>
              <w:t>1.1.1.4工作室学生信息管理</w:t>
            </w:r>
          </w:p>
          <w:p>
            <w:pPr>
              <w:pStyle w:val="null3"/>
              <w:ind w:firstLine="480"/>
              <w:jc w:val="both"/>
            </w:pPr>
            <w:r>
              <w:rPr>
                <w:rFonts w:ascii="仿宋_GB2312" w:hAnsi="仿宋_GB2312" w:cs="仿宋_GB2312" w:eastAsia="仿宋_GB2312"/>
                <w:sz w:val="24"/>
              </w:rPr>
              <w:t>一、支持对名老中医工作室学生信息进行管理维护，如个人图片、基本信息、姓名、性别、身份证号等。</w:t>
            </w:r>
            <w:r>
              <w:rPr>
                <w:rFonts w:ascii="仿宋_GB2312" w:hAnsi="仿宋_GB2312" w:cs="仿宋_GB2312" w:eastAsia="仿宋_GB2312"/>
                <w:sz w:val="21"/>
              </w:rPr>
              <w:t xml:space="preserve">                                                           </w:t>
            </w:r>
          </w:p>
          <w:p>
            <w:pPr>
              <w:pStyle w:val="null3"/>
              <w:ind w:firstLine="480"/>
              <w:jc w:val="both"/>
            </w:pPr>
            <w:r>
              <w:rPr>
                <w:rFonts w:ascii="仿宋_GB2312" w:hAnsi="仿宋_GB2312" w:cs="仿宋_GB2312" w:eastAsia="仿宋_GB2312"/>
                <w:sz w:val="24"/>
              </w:rPr>
              <w:t>1.学生信息录入：提供专用界面录入学生信息。除个人图片、基本信息、姓名、性别、身份证号外，还可录入联系方式、科室、职称、学历、个人简介等内容，确保信息全面记录。</w:t>
            </w:r>
          </w:p>
          <w:p>
            <w:pPr>
              <w:pStyle w:val="null3"/>
              <w:ind w:firstLine="480"/>
              <w:jc w:val="both"/>
            </w:pPr>
            <w:r>
              <w:rPr>
                <w:rFonts w:ascii="仿宋_GB2312" w:hAnsi="仿宋_GB2312" w:cs="仿宋_GB2312" w:eastAsia="仿宋_GB2312"/>
                <w:sz w:val="24"/>
              </w:rPr>
              <w:t>2.信息编辑更新：允许对已录入的信息进行修改、删除，如联系方式变更、专业方向调整等，方便及时更新学生最新情况。</w:t>
            </w:r>
          </w:p>
          <w:p>
            <w:pPr>
              <w:pStyle w:val="null3"/>
              <w:ind w:firstLine="480"/>
              <w:jc w:val="both"/>
            </w:pPr>
            <w:r>
              <w:rPr>
                <w:rFonts w:ascii="仿宋_GB2312" w:hAnsi="仿宋_GB2312" w:cs="仿宋_GB2312" w:eastAsia="仿宋_GB2312"/>
                <w:sz w:val="24"/>
              </w:rPr>
              <w:t>3.信息检索查询：提供多条件检索功能，可通过所属角色、姓名等关键词快速定位学生信息，提高检索效率。</w:t>
            </w:r>
          </w:p>
          <w:p>
            <w:pPr>
              <w:pStyle w:val="null3"/>
              <w:ind w:firstLine="480"/>
              <w:jc w:val="both"/>
            </w:pPr>
            <w:r>
              <w:rPr>
                <w:rFonts w:ascii="仿宋_GB2312" w:hAnsi="仿宋_GB2312" w:cs="仿宋_GB2312" w:eastAsia="仿宋_GB2312"/>
                <w:sz w:val="24"/>
              </w:rPr>
              <w:t>二、支持跟师申请查询、跟师批准、跟师管理等流程。</w:t>
            </w:r>
          </w:p>
          <w:p>
            <w:pPr>
              <w:pStyle w:val="null3"/>
              <w:ind w:firstLine="480"/>
              <w:jc w:val="both"/>
            </w:pPr>
            <w:r>
              <w:rPr>
                <w:rFonts w:ascii="仿宋_GB2312" w:hAnsi="仿宋_GB2312" w:cs="仿宋_GB2312" w:eastAsia="仿宋_GB2312"/>
                <w:sz w:val="24"/>
              </w:rPr>
              <w:t>1.跟师申请提交：学生可在系统内选择名医进行跟师申请，提交后进入审批流程。</w:t>
            </w:r>
          </w:p>
          <w:p>
            <w:pPr>
              <w:pStyle w:val="null3"/>
              <w:ind w:firstLine="480"/>
              <w:jc w:val="both"/>
            </w:pPr>
            <w:r>
              <w:rPr>
                <w:rFonts w:ascii="仿宋_GB2312" w:hAnsi="仿宋_GB2312" w:cs="仿宋_GB2312" w:eastAsia="仿宋_GB2312"/>
                <w:sz w:val="24"/>
              </w:rPr>
              <w:t>2.申请状态查询：学生能够随时查看自己跟师申请的进度，如“已跟师”、“审核中”、“未跟师”。</w:t>
            </w:r>
          </w:p>
          <w:p>
            <w:pPr>
              <w:pStyle w:val="null3"/>
              <w:ind w:firstLine="480"/>
              <w:jc w:val="both"/>
            </w:pPr>
            <w:r>
              <w:rPr>
                <w:rFonts w:ascii="仿宋_GB2312" w:hAnsi="仿宋_GB2312" w:cs="仿宋_GB2312" w:eastAsia="仿宋_GB2312"/>
                <w:sz w:val="24"/>
              </w:rPr>
              <w:t>3.跟师申请审核：管理员或指定审核人员收到跟师申请后，可在系统内进行审批操作，通过或驳回申请。</w:t>
            </w:r>
          </w:p>
          <w:p>
            <w:pPr>
              <w:pStyle w:val="null3"/>
              <w:ind w:firstLine="480"/>
              <w:jc w:val="both"/>
            </w:pPr>
            <w:r>
              <w:rPr>
                <w:rFonts w:ascii="仿宋_GB2312" w:hAnsi="仿宋_GB2312" w:cs="仿宋_GB2312" w:eastAsia="仿宋_GB2312"/>
                <w:sz w:val="24"/>
              </w:rPr>
              <w:t>4.取消跟师：学员可申请取消已审核通过的跟师。</w:t>
            </w:r>
          </w:p>
          <w:p>
            <w:pPr>
              <w:pStyle w:val="null3"/>
              <w:ind w:firstLine="480"/>
              <w:jc w:val="both"/>
            </w:pPr>
            <w:r>
              <w:rPr>
                <w:rFonts w:ascii="仿宋_GB2312" w:hAnsi="仿宋_GB2312" w:cs="仿宋_GB2312" w:eastAsia="仿宋_GB2312"/>
                <w:sz w:val="24"/>
              </w:rPr>
              <w:t>5.信息检索查询：提供多条件检索功能，可通过名医级别、工作室名称等关键词快速检索。</w:t>
            </w:r>
          </w:p>
          <w:p>
            <w:pPr>
              <w:pStyle w:val="null3"/>
              <w:ind w:firstLine="480"/>
              <w:jc w:val="both"/>
            </w:pPr>
            <w:r>
              <w:rPr>
                <w:rFonts w:ascii="仿宋_GB2312" w:hAnsi="仿宋_GB2312" w:cs="仿宋_GB2312" w:eastAsia="仿宋_GB2312"/>
                <w:sz w:val="24"/>
              </w:rPr>
              <w:t>三、支持对论文基本信息进行管理维护，如论文标题、论文内容编写、上传相关附件、论文分享管理。</w:t>
            </w:r>
          </w:p>
          <w:p>
            <w:pPr>
              <w:pStyle w:val="null3"/>
              <w:ind w:firstLine="480"/>
              <w:jc w:val="both"/>
            </w:pPr>
            <w:r>
              <w:rPr>
                <w:rFonts w:ascii="仿宋_GB2312" w:hAnsi="仿宋_GB2312" w:cs="仿宋_GB2312" w:eastAsia="仿宋_GB2312"/>
                <w:sz w:val="24"/>
              </w:rPr>
              <w:t>1.论文信息录入：提供专用界面，学生可录入论文标题、论文内容、附件等信息；同时配备文本编辑器，方便编写内容，支持段落格式调整、插入图表等操作。</w:t>
            </w:r>
          </w:p>
          <w:p>
            <w:pPr>
              <w:pStyle w:val="null3"/>
              <w:ind w:firstLine="480"/>
              <w:jc w:val="both"/>
            </w:pPr>
            <w:r>
              <w:rPr>
                <w:rFonts w:ascii="仿宋_GB2312" w:hAnsi="仿宋_GB2312" w:cs="仿宋_GB2312" w:eastAsia="仿宋_GB2312"/>
                <w:sz w:val="24"/>
              </w:rPr>
              <w:t>2.论文内容编辑：允许学生对已录入的论文信息和内容进行修改、删除，包含调整论文标题、完善论文内容、更新附件。</w:t>
            </w:r>
          </w:p>
          <w:p>
            <w:pPr>
              <w:pStyle w:val="null3"/>
              <w:ind w:firstLine="480"/>
              <w:jc w:val="both"/>
            </w:pPr>
            <w:r>
              <w:rPr>
                <w:rFonts w:ascii="仿宋_GB2312" w:hAnsi="仿宋_GB2312" w:cs="仿宋_GB2312" w:eastAsia="仿宋_GB2312"/>
                <w:sz w:val="24"/>
              </w:rPr>
              <w:t>3.论文检索查询：提供搜索功能，支持通过论文标题、名医工作室等条件进行查询。</w:t>
            </w:r>
          </w:p>
          <w:p>
            <w:pPr>
              <w:pStyle w:val="null3"/>
              <w:ind w:firstLine="480"/>
              <w:jc w:val="both"/>
            </w:pPr>
            <w:r>
              <w:rPr>
                <w:rFonts w:ascii="仿宋_GB2312" w:hAnsi="仿宋_GB2312" w:cs="仿宋_GB2312" w:eastAsia="仿宋_GB2312"/>
                <w:sz w:val="24"/>
              </w:rPr>
              <w:t>4.论文分享：学生或管理员可对论文进行分享。</w:t>
            </w:r>
          </w:p>
          <w:p>
            <w:pPr>
              <w:pStyle w:val="null3"/>
              <w:ind w:firstLine="480"/>
              <w:jc w:val="both"/>
            </w:pPr>
            <w:r>
              <w:rPr>
                <w:rFonts w:ascii="仿宋_GB2312" w:hAnsi="仿宋_GB2312" w:cs="仿宋_GB2312" w:eastAsia="仿宋_GB2312"/>
                <w:sz w:val="24"/>
              </w:rPr>
              <w:t>四、支持查询学生考核成绩，如按学生姓名、工作室名称、是否合格、分数排序查询；查看考核结果和详情。</w:t>
            </w:r>
          </w:p>
          <w:p>
            <w:pPr>
              <w:pStyle w:val="null3"/>
              <w:ind w:firstLine="480"/>
              <w:jc w:val="both"/>
            </w:pPr>
            <w:r>
              <w:rPr>
                <w:rFonts w:ascii="仿宋_GB2312" w:hAnsi="仿宋_GB2312" w:cs="仿宋_GB2312" w:eastAsia="仿宋_GB2312"/>
                <w:sz w:val="24"/>
              </w:rPr>
              <w:t>1.按学生姓名查询：输入学生姓名，系统可快速检索出该学生的所有考核成绩信息。</w:t>
            </w:r>
          </w:p>
          <w:p>
            <w:pPr>
              <w:pStyle w:val="null3"/>
              <w:ind w:firstLine="480"/>
              <w:jc w:val="both"/>
            </w:pPr>
            <w:r>
              <w:rPr>
                <w:rFonts w:ascii="仿宋_GB2312" w:hAnsi="仿宋_GB2312" w:cs="仿宋_GB2312" w:eastAsia="仿宋_GB2312"/>
                <w:sz w:val="24"/>
              </w:rPr>
              <w:t>2.按工作室名称查询：选择工作室名称后，系统能展示该工作室所有学生的考核成绩，方便对工作室整体成绩进行查看和分析。</w:t>
            </w:r>
          </w:p>
          <w:p>
            <w:pPr>
              <w:pStyle w:val="null3"/>
              <w:ind w:firstLine="480"/>
              <w:jc w:val="both"/>
            </w:pPr>
            <w:r>
              <w:rPr>
                <w:rFonts w:ascii="仿宋_GB2312" w:hAnsi="仿宋_GB2312" w:cs="仿宋_GB2312" w:eastAsia="仿宋_GB2312"/>
                <w:sz w:val="24"/>
              </w:rPr>
              <w:t>3.按是否合格查询：可筛选出所有合格或不合格的学生成绩，便于统计和管理。</w:t>
            </w:r>
          </w:p>
          <w:p>
            <w:pPr>
              <w:pStyle w:val="null3"/>
              <w:ind w:firstLine="480"/>
              <w:jc w:val="both"/>
            </w:pPr>
            <w:r>
              <w:rPr>
                <w:rFonts w:ascii="仿宋_GB2312" w:hAnsi="仿宋_GB2312" w:cs="仿宋_GB2312" w:eastAsia="仿宋_GB2312"/>
                <w:sz w:val="24"/>
              </w:rPr>
              <w:t>4.按分数排序查询：支持对学生成绩按照分数从高到低或从低到高进行排序展示，直观地了解学生成绩的排名情况。</w:t>
            </w:r>
          </w:p>
          <w:p>
            <w:pPr>
              <w:pStyle w:val="null3"/>
              <w:ind w:firstLine="480"/>
              <w:jc w:val="both"/>
            </w:pPr>
            <w:r>
              <w:rPr>
                <w:rFonts w:ascii="仿宋_GB2312" w:hAnsi="仿宋_GB2312" w:cs="仿宋_GB2312" w:eastAsia="仿宋_GB2312"/>
                <w:sz w:val="24"/>
              </w:rPr>
              <w:t>5.考核结果展示功能：系统以清晰的列表展示学生的考核结果，包括学生基本信息（姓名、工作室名称）、考核科目、分数、是否合格等内容，方便用户快速浏览。</w:t>
            </w:r>
          </w:p>
          <w:p>
            <w:pPr>
              <w:pStyle w:val="null3"/>
              <w:ind w:firstLine="480"/>
              <w:jc w:val="both"/>
            </w:pPr>
            <w:r>
              <w:rPr>
                <w:rFonts w:ascii="仿宋_GB2312" w:hAnsi="仿宋_GB2312" w:cs="仿宋_GB2312" w:eastAsia="仿宋_GB2312"/>
                <w:sz w:val="24"/>
              </w:rPr>
              <w:t>6.成绩详情查看功能：点击具体学生的成绩记录，可查看详细的考核详情，为学生和教师提供更深入的分析依据。</w:t>
            </w:r>
          </w:p>
          <w:p>
            <w:pPr>
              <w:pStyle w:val="null3"/>
              <w:ind w:firstLine="480"/>
              <w:jc w:val="both"/>
            </w:pPr>
            <w:r>
              <w:rPr>
                <w:rFonts w:ascii="仿宋_GB2312" w:hAnsi="仿宋_GB2312" w:cs="仿宋_GB2312" w:eastAsia="仿宋_GB2312"/>
                <w:sz w:val="24"/>
              </w:rPr>
              <w:t>五、支持查看跟师抄方和模拟抄方统计情况</w:t>
            </w:r>
            <w:r>
              <w:rPr>
                <w:rFonts w:ascii="仿宋_GB2312" w:hAnsi="仿宋_GB2312" w:cs="仿宋_GB2312" w:eastAsia="仿宋_GB2312"/>
                <w:sz w:val="24"/>
              </w:rPr>
              <w:t>;支持按抄方内容和工作室查询;能够查看抄方详情、名医点评、删除模拟处方结果等。</w:t>
            </w:r>
          </w:p>
          <w:p>
            <w:pPr>
              <w:pStyle w:val="null3"/>
              <w:ind w:firstLine="480"/>
              <w:jc w:val="both"/>
            </w:pPr>
            <w:r>
              <w:rPr>
                <w:rFonts w:ascii="仿宋_GB2312" w:hAnsi="仿宋_GB2312" w:cs="仿宋_GB2312" w:eastAsia="仿宋_GB2312"/>
                <w:sz w:val="24"/>
              </w:rPr>
              <w:t>1.统计分析：对学员的跟师抄方和模拟抄方进行统计，按医案标题、名医工作室、匹配度、模拟时间等维度生成统计列表。</w:t>
            </w:r>
          </w:p>
          <w:p>
            <w:pPr>
              <w:pStyle w:val="null3"/>
              <w:ind w:firstLine="480"/>
              <w:jc w:val="both"/>
            </w:pPr>
            <w:r>
              <w:rPr>
                <w:rFonts w:ascii="仿宋_GB2312" w:hAnsi="仿宋_GB2312" w:cs="仿宋_GB2312" w:eastAsia="仿宋_GB2312"/>
                <w:sz w:val="24"/>
              </w:rPr>
              <w:t>2.多条件查询：支持按抄方内容进行查询，快速定位相关的抄方记录。支持按工作室名称查询，展示该工作室所有学生的跟师抄方和模拟抄方情况。</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抄方详情展示：点击具体的抄方记录，显示详细的医案信息，包括名医医案、自开方；以饼状图的形式展示本次模拟与原方剂中四气、五味的统计分析；原医案处方与模拟处方的方剂匹配度；展示名医在抄方过程中的点评内容。</w:t>
            </w:r>
          </w:p>
          <w:p>
            <w:pPr>
              <w:pStyle w:val="null3"/>
              <w:ind w:firstLine="480"/>
              <w:jc w:val="both"/>
            </w:pPr>
            <w:r>
              <w:rPr>
                <w:rFonts w:ascii="仿宋_GB2312" w:hAnsi="仿宋_GB2312" w:cs="仿宋_GB2312" w:eastAsia="仿宋_GB2312"/>
                <w:sz w:val="24"/>
              </w:rPr>
              <w:t>4.名医点评管理：名医可以对学生的抄方进行点评，输入点评内容，包括对抄方的优点、不足以及改进建议等。</w:t>
            </w:r>
          </w:p>
          <w:p>
            <w:pPr>
              <w:pStyle w:val="null3"/>
              <w:ind w:firstLine="480"/>
              <w:jc w:val="both"/>
            </w:pPr>
            <w:r>
              <w:rPr>
                <w:rFonts w:ascii="仿宋_GB2312" w:hAnsi="仿宋_GB2312" w:cs="仿宋_GB2312" w:eastAsia="仿宋_GB2312"/>
                <w:sz w:val="24"/>
              </w:rPr>
              <w:t>5.删除模拟处方结果：对于模拟抄方的结果，系统允许有权限的用户进行删除操作，清理无效或错误的模拟处方数据。</w:t>
            </w:r>
          </w:p>
          <w:p>
            <w:pPr>
              <w:pStyle w:val="null3"/>
              <w:jc w:val="both"/>
            </w:pPr>
            <w:r>
              <w:rPr>
                <w:rFonts w:ascii="仿宋_GB2312" w:hAnsi="仿宋_GB2312" w:cs="仿宋_GB2312" w:eastAsia="仿宋_GB2312"/>
                <w:sz w:val="24"/>
                <w:b/>
                <w:color w:val="000000"/>
              </w:rPr>
              <w:t>1.1.1.5工作室考核</w:t>
            </w:r>
          </w:p>
          <w:p>
            <w:pPr>
              <w:pStyle w:val="null3"/>
              <w:ind w:firstLine="480"/>
              <w:jc w:val="both"/>
            </w:pPr>
            <w:r>
              <w:rPr>
                <w:rFonts w:ascii="仿宋_GB2312" w:hAnsi="仿宋_GB2312" w:cs="仿宋_GB2312" w:eastAsia="仿宋_GB2312"/>
                <w:sz w:val="24"/>
              </w:rPr>
              <w:t>支持名老中医工作室考核。</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1.考核项目设置：支持管理员灵活设置考核指标，每个指标可设置分值权重。</w:t>
            </w:r>
          </w:p>
          <w:p>
            <w:pPr>
              <w:pStyle w:val="null3"/>
              <w:ind w:firstLine="480"/>
              <w:jc w:val="both"/>
            </w:pPr>
            <w:r>
              <w:rPr>
                <w:rFonts w:ascii="仿宋_GB2312" w:hAnsi="仿宋_GB2312" w:cs="仿宋_GB2312" w:eastAsia="仿宋_GB2312"/>
                <w:sz w:val="24"/>
              </w:rPr>
              <w:t>2.考核上报：根据考核指标要求，各工作室按年度上报考核数据。</w:t>
            </w:r>
          </w:p>
          <w:p>
            <w:pPr>
              <w:pStyle w:val="null3"/>
              <w:ind w:firstLine="480"/>
              <w:jc w:val="both"/>
            </w:pPr>
            <w:r>
              <w:rPr>
                <w:rFonts w:ascii="仿宋_GB2312" w:hAnsi="仿宋_GB2312" w:cs="仿宋_GB2312" w:eastAsia="仿宋_GB2312"/>
                <w:sz w:val="24"/>
              </w:rPr>
              <w:t>3.上报审核：对各工作室的上报数据进行审核，审核不通过说明原因。</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4.考核统计：自动汇总各工作室的考核得分，生成总分排名、指标得分明细等。</w:t>
            </w:r>
          </w:p>
          <w:p>
            <w:pPr>
              <w:pStyle w:val="null3"/>
              <w:spacing w:before="105" w:after="105"/>
              <w:jc w:val="both"/>
              <w:outlineLvl w:val="3"/>
            </w:pPr>
            <w:r>
              <w:rPr>
                <w:rFonts w:ascii="仿宋_GB2312" w:hAnsi="仿宋_GB2312" w:cs="仿宋_GB2312" w:eastAsia="仿宋_GB2312"/>
                <w:sz w:val="28"/>
                <w:b/>
                <w:color w:val="000000"/>
              </w:rPr>
              <w:t>1.1.2</w:t>
            </w:r>
            <w:r>
              <w:rPr>
                <w:rFonts w:ascii="仿宋_GB2312" w:hAnsi="仿宋_GB2312" w:cs="仿宋_GB2312" w:eastAsia="仿宋_GB2312"/>
                <w:sz w:val="28"/>
                <w:b/>
                <w:color w:val="000000"/>
              </w:rPr>
              <w:t>名老中医跟师学习</w:t>
            </w:r>
          </w:p>
          <w:p>
            <w:pPr>
              <w:pStyle w:val="null3"/>
              <w:jc w:val="both"/>
            </w:pPr>
            <w:r>
              <w:rPr>
                <w:rFonts w:ascii="仿宋_GB2312" w:hAnsi="仿宋_GB2312" w:cs="仿宋_GB2312" w:eastAsia="仿宋_GB2312"/>
                <w:sz w:val="24"/>
                <w:b/>
                <w:color w:val="000000"/>
              </w:rPr>
              <w:t>1.1.2.1活态传承</w:t>
            </w:r>
          </w:p>
          <w:p>
            <w:pPr>
              <w:pStyle w:val="null3"/>
              <w:ind w:firstLine="480"/>
              <w:jc w:val="both"/>
            </w:pPr>
            <w:r>
              <w:rPr>
                <w:rFonts w:ascii="仿宋_GB2312" w:hAnsi="仿宋_GB2312" w:cs="仿宋_GB2312" w:eastAsia="仿宋_GB2312"/>
                <w:sz w:val="24"/>
              </w:rPr>
              <w:t>一、支持名老中医诊疗过程、老药工特色技艺展示等直播发布、管理。</w:t>
            </w:r>
          </w:p>
          <w:p>
            <w:pPr>
              <w:pStyle w:val="null3"/>
              <w:ind w:firstLine="480"/>
              <w:jc w:val="both"/>
            </w:pPr>
            <w:r>
              <w:rPr>
                <w:rFonts w:ascii="仿宋_GB2312" w:hAnsi="仿宋_GB2312" w:cs="仿宋_GB2312" w:eastAsia="仿宋_GB2312"/>
                <w:sz w:val="24"/>
              </w:rPr>
              <w:t>1.直播发布</w:t>
            </w:r>
          </w:p>
          <w:p>
            <w:pPr>
              <w:pStyle w:val="null3"/>
              <w:ind w:firstLine="480"/>
              <w:jc w:val="both"/>
            </w:pPr>
            <w:r>
              <w:rPr>
                <w:rFonts w:ascii="仿宋_GB2312" w:hAnsi="仿宋_GB2312" w:cs="仿宋_GB2312" w:eastAsia="仿宋_GB2312"/>
                <w:sz w:val="24"/>
              </w:rPr>
              <w:t>创建预约直播：提供可视化界面，支持填写直播名称、直播类型、开始时间、结束时间、简介等信息。</w:t>
            </w:r>
          </w:p>
          <w:p>
            <w:pPr>
              <w:pStyle w:val="null3"/>
              <w:ind w:firstLine="480"/>
              <w:jc w:val="both"/>
            </w:pPr>
            <w:r>
              <w:rPr>
                <w:rFonts w:ascii="仿宋_GB2312" w:hAnsi="仿宋_GB2312" w:cs="仿宋_GB2312" w:eastAsia="仿宋_GB2312"/>
                <w:sz w:val="24"/>
              </w:rPr>
              <w:t>直播类型分类：区分名老中医诊疗过程直播、老药工特色技艺展示等直播类型，用户可快速筛选感兴趣的内容。</w:t>
            </w:r>
          </w:p>
          <w:p>
            <w:pPr>
              <w:pStyle w:val="null3"/>
              <w:ind w:firstLine="480"/>
              <w:jc w:val="both"/>
            </w:pPr>
            <w:r>
              <w:rPr>
                <w:rFonts w:ascii="仿宋_GB2312" w:hAnsi="仿宋_GB2312" w:cs="仿宋_GB2312" w:eastAsia="仿宋_GB2312"/>
                <w:sz w:val="24"/>
              </w:rPr>
              <w:t>2.直播管理</w:t>
            </w:r>
          </w:p>
          <w:p>
            <w:pPr>
              <w:pStyle w:val="null3"/>
              <w:ind w:firstLine="480"/>
              <w:jc w:val="both"/>
            </w:pPr>
            <w:r>
              <w:rPr>
                <w:rFonts w:ascii="仿宋_GB2312" w:hAnsi="仿宋_GB2312" w:cs="仿宋_GB2312" w:eastAsia="仿宋_GB2312"/>
                <w:sz w:val="24"/>
              </w:rPr>
              <w:t>直播审核机制：设置审核流程，对发布的直播内容进行合规性审查，审核通过后才能正式开播。</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直播管理：观众在观看直播时可发送弹幕和评论，支持文字输入，实现与主播及其他观众的实时互动。</w:t>
            </w:r>
          </w:p>
          <w:p>
            <w:pPr>
              <w:pStyle w:val="null3"/>
              <w:ind w:firstLine="480"/>
              <w:jc w:val="both"/>
            </w:pPr>
            <w:r>
              <w:rPr>
                <w:rFonts w:ascii="仿宋_GB2312" w:hAnsi="仿宋_GB2312" w:cs="仿宋_GB2312" w:eastAsia="仿宋_GB2312"/>
                <w:sz w:val="24"/>
              </w:rPr>
              <w:t>二、可通过重播和点播两种方式查看各个工作室上传的视频。</w:t>
            </w:r>
          </w:p>
          <w:p>
            <w:pPr>
              <w:pStyle w:val="null3"/>
              <w:ind w:firstLine="480"/>
              <w:jc w:val="both"/>
            </w:pPr>
            <w:r>
              <w:rPr>
                <w:rFonts w:ascii="仿宋_GB2312" w:hAnsi="仿宋_GB2312" w:cs="仿宋_GB2312" w:eastAsia="仿宋_GB2312"/>
                <w:sz w:val="24"/>
              </w:rPr>
              <w:t>1.视频资源分类存储</w:t>
            </w:r>
          </w:p>
          <w:p>
            <w:pPr>
              <w:pStyle w:val="null3"/>
              <w:ind w:firstLine="480"/>
              <w:jc w:val="both"/>
            </w:pPr>
            <w:r>
              <w:rPr>
                <w:rFonts w:ascii="仿宋_GB2312" w:hAnsi="仿宋_GB2312" w:cs="仿宋_GB2312" w:eastAsia="仿宋_GB2312"/>
                <w:sz w:val="24"/>
              </w:rPr>
              <w:t>建立统一的视频资源库，按照工作室名称、视频类型（名老中医诊疗、老药工技艺等）、上传时间等维度对视频进行分类归档，方便用户快速定位所需视频。</w:t>
            </w:r>
          </w:p>
          <w:p>
            <w:pPr>
              <w:pStyle w:val="null3"/>
              <w:ind w:firstLine="480"/>
              <w:jc w:val="both"/>
            </w:pPr>
            <w:r>
              <w:rPr>
                <w:rFonts w:ascii="仿宋_GB2312" w:hAnsi="仿宋_GB2312" w:cs="仿宋_GB2312" w:eastAsia="仿宋_GB2312"/>
                <w:sz w:val="24"/>
              </w:rPr>
              <w:t>2.视频上传与审核</w:t>
            </w:r>
          </w:p>
          <w:p>
            <w:pPr>
              <w:pStyle w:val="null3"/>
              <w:ind w:firstLine="480"/>
              <w:jc w:val="both"/>
            </w:pPr>
            <w:r>
              <w:rPr>
                <w:rFonts w:ascii="仿宋_GB2312" w:hAnsi="仿宋_GB2312" w:cs="仿宋_GB2312" w:eastAsia="仿宋_GB2312"/>
                <w:sz w:val="24"/>
              </w:rPr>
              <w:t>工作室通过系统上传视频，视频上传后进入审核流程，审核通过后视频方可进入点播和重播环节。</w:t>
            </w:r>
          </w:p>
          <w:p>
            <w:pPr>
              <w:pStyle w:val="null3"/>
              <w:ind w:firstLine="480"/>
              <w:jc w:val="both"/>
            </w:pPr>
            <w:r>
              <w:rPr>
                <w:rFonts w:ascii="仿宋_GB2312" w:hAnsi="仿宋_GB2312" w:cs="仿宋_GB2312" w:eastAsia="仿宋_GB2312"/>
                <w:sz w:val="24"/>
              </w:rPr>
              <w:t>3.点播</w:t>
            </w:r>
          </w:p>
          <w:p>
            <w:pPr>
              <w:pStyle w:val="null3"/>
              <w:ind w:firstLine="480"/>
              <w:jc w:val="both"/>
            </w:pPr>
            <w:r>
              <w:rPr>
                <w:rFonts w:ascii="仿宋_GB2312" w:hAnsi="仿宋_GB2312" w:cs="仿宋_GB2312" w:eastAsia="仿宋_GB2312"/>
                <w:sz w:val="24"/>
              </w:rPr>
              <w:t>提供视频点播列表页面，用户可通过搜索框输入关键词快速查找视频。</w:t>
            </w:r>
          </w:p>
          <w:p>
            <w:pPr>
              <w:pStyle w:val="null3"/>
              <w:ind w:firstLine="480"/>
              <w:jc w:val="both"/>
            </w:pPr>
            <w:r>
              <w:rPr>
                <w:rFonts w:ascii="仿宋_GB2312" w:hAnsi="仿宋_GB2312" w:cs="仿宋_GB2312" w:eastAsia="仿宋_GB2312"/>
                <w:sz w:val="24"/>
              </w:rPr>
              <w:t>4.重播</w:t>
            </w:r>
          </w:p>
          <w:p>
            <w:pPr>
              <w:pStyle w:val="null3"/>
              <w:ind w:firstLine="480"/>
              <w:jc w:val="both"/>
            </w:pPr>
            <w:r>
              <w:rPr>
                <w:rFonts w:ascii="仿宋_GB2312" w:hAnsi="仿宋_GB2312" w:cs="仿宋_GB2312" w:eastAsia="仿宋_GB2312"/>
                <w:sz w:val="24"/>
              </w:rPr>
              <w:t>用户可通过搜索框输入关键词快速查找视频，对直播的内容进行重新播放。</w:t>
            </w:r>
          </w:p>
          <w:p>
            <w:pPr>
              <w:pStyle w:val="null3"/>
              <w:ind w:firstLine="480"/>
              <w:jc w:val="both"/>
            </w:pPr>
            <w:r>
              <w:rPr>
                <w:rFonts w:ascii="仿宋_GB2312" w:hAnsi="仿宋_GB2312" w:cs="仿宋_GB2312" w:eastAsia="仿宋_GB2312"/>
                <w:sz w:val="24"/>
              </w:rPr>
              <w:t>5.统计分析</w:t>
            </w:r>
          </w:p>
          <w:p>
            <w:pPr>
              <w:pStyle w:val="null3"/>
              <w:ind w:firstLine="480"/>
              <w:jc w:val="both"/>
            </w:pPr>
            <w:r>
              <w:rPr>
                <w:rFonts w:ascii="仿宋_GB2312" w:hAnsi="仿宋_GB2312" w:cs="仿宋_GB2312" w:eastAsia="仿宋_GB2312"/>
                <w:sz w:val="24"/>
              </w:rPr>
              <w:t>统计视频点播和重播的相关数据，如点播次数、重播次数。</w:t>
            </w:r>
          </w:p>
          <w:p>
            <w:pPr>
              <w:pStyle w:val="null3"/>
              <w:ind w:firstLine="480"/>
              <w:jc w:val="both"/>
            </w:pPr>
            <w:r>
              <w:rPr>
                <w:rFonts w:ascii="仿宋_GB2312" w:hAnsi="仿宋_GB2312" w:cs="仿宋_GB2312" w:eastAsia="仿宋_GB2312"/>
                <w:sz w:val="24"/>
              </w:rPr>
              <w:t>三、实现资源发布、管理、下载等功能实现。</w:t>
            </w:r>
          </w:p>
          <w:p>
            <w:pPr>
              <w:pStyle w:val="null3"/>
              <w:ind w:firstLine="480"/>
              <w:jc w:val="both"/>
            </w:pPr>
            <w:r>
              <w:rPr>
                <w:rFonts w:ascii="仿宋_GB2312" w:hAnsi="仿宋_GB2312" w:cs="仿宋_GB2312" w:eastAsia="仿宋_GB2312"/>
                <w:sz w:val="24"/>
              </w:rPr>
              <w:t>1.资源发布</w:t>
            </w:r>
          </w:p>
          <w:p>
            <w:pPr>
              <w:pStyle w:val="null3"/>
              <w:ind w:firstLine="480"/>
              <w:jc w:val="both"/>
            </w:pPr>
            <w:r>
              <w:rPr>
                <w:rFonts w:ascii="仿宋_GB2312" w:hAnsi="仿宋_GB2312" w:cs="仿宋_GB2312" w:eastAsia="仿宋_GB2312"/>
                <w:sz w:val="24"/>
              </w:rPr>
              <w:t>资源上传界面：支持多种类型的资源上传，如视频、图片等。</w:t>
            </w:r>
          </w:p>
          <w:p>
            <w:pPr>
              <w:pStyle w:val="null3"/>
              <w:ind w:firstLine="480"/>
              <w:jc w:val="both"/>
            </w:pPr>
            <w:r>
              <w:rPr>
                <w:rFonts w:ascii="仿宋_GB2312" w:hAnsi="仿宋_GB2312" w:cs="仿宋_GB2312" w:eastAsia="仿宋_GB2312"/>
                <w:sz w:val="24"/>
              </w:rPr>
              <w:t>资源信息填写：上传资源时，要求用户填写详细的资源信息，包括标题、副标题、视频排序、标签、类型、图片、视频等。</w:t>
            </w:r>
          </w:p>
          <w:p>
            <w:pPr>
              <w:pStyle w:val="null3"/>
              <w:ind w:firstLine="480"/>
              <w:jc w:val="both"/>
            </w:pPr>
            <w:r>
              <w:rPr>
                <w:rFonts w:ascii="仿宋_GB2312" w:hAnsi="仿宋_GB2312" w:cs="仿宋_GB2312" w:eastAsia="仿宋_GB2312"/>
                <w:sz w:val="24"/>
              </w:rPr>
              <w:t>资源审核机制：设置资源审核流程，由管理员或指定审核人员对上传的资源进行审核。审核通过后，资源方可正式发布，供用户查看和使用。</w:t>
            </w:r>
          </w:p>
          <w:p>
            <w:pPr>
              <w:pStyle w:val="null3"/>
              <w:ind w:firstLine="480"/>
              <w:jc w:val="both"/>
            </w:pPr>
            <w:r>
              <w:rPr>
                <w:rFonts w:ascii="仿宋_GB2312" w:hAnsi="仿宋_GB2312" w:cs="仿宋_GB2312" w:eastAsia="仿宋_GB2312"/>
                <w:sz w:val="24"/>
              </w:rPr>
              <w:t>2.资源管理</w:t>
            </w:r>
          </w:p>
          <w:p>
            <w:pPr>
              <w:pStyle w:val="null3"/>
              <w:ind w:firstLine="480"/>
              <w:jc w:val="both"/>
            </w:pPr>
            <w:r>
              <w:rPr>
                <w:rFonts w:ascii="仿宋_GB2312" w:hAnsi="仿宋_GB2312" w:cs="仿宋_GB2312" w:eastAsia="仿宋_GB2312"/>
                <w:sz w:val="24"/>
              </w:rPr>
              <w:t>资源分类管理：建立完善的资源分类体系，支持按资源类型进行分类。例如，可将资源分为诊疗技术类、学术研究类、技艺传承类等；也可按名老中医或老药工的个人分类进行管理。同时，允许用户自定义标签，方便对资源进行更细致的分类和检索。</w:t>
            </w:r>
          </w:p>
          <w:p>
            <w:pPr>
              <w:pStyle w:val="null3"/>
              <w:ind w:firstLine="480"/>
              <w:jc w:val="both"/>
            </w:pPr>
            <w:r>
              <w:rPr>
                <w:rFonts w:ascii="仿宋_GB2312" w:hAnsi="仿宋_GB2312" w:cs="仿宋_GB2312" w:eastAsia="仿宋_GB2312"/>
                <w:sz w:val="24"/>
              </w:rPr>
              <w:t>资源检索查询：提供强大的搜索功能，用户可通过关键词（资源标题、标签等）进行查询，快速定位所需资源。</w:t>
            </w:r>
          </w:p>
          <w:p>
            <w:pPr>
              <w:pStyle w:val="null3"/>
              <w:ind w:firstLine="480"/>
              <w:jc w:val="both"/>
            </w:pPr>
            <w:r>
              <w:rPr>
                <w:rFonts w:ascii="仿宋_GB2312" w:hAnsi="仿宋_GB2312" w:cs="仿宋_GB2312" w:eastAsia="仿宋_GB2312"/>
                <w:sz w:val="24"/>
              </w:rPr>
              <w:t>资源修改：允许资源上传者对已发布的资源进行修改。</w:t>
            </w:r>
          </w:p>
          <w:p>
            <w:pPr>
              <w:pStyle w:val="null3"/>
              <w:ind w:firstLine="480"/>
              <w:jc w:val="both"/>
            </w:pPr>
            <w:r>
              <w:rPr>
                <w:rFonts w:ascii="仿宋_GB2312" w:hAnsi="仿宋_GB2312" w:cs="仿宋_GB2312" w:eastAsia="仿宋_GB2312"/>
                <w:sz w:val="24"/>
              </w:rPr>
              <w:t>资源删除：对于过期、不再需要或不符合规定的资源，管理员有权进行删除操作。</w:t>
            </w:r>
          </w:p>
          <w:p>
            <w:pPr>
              <w:pStyle w:val="null3"/>
              <w:ind w:firstLine="480"/>
              <w:jc w:val="both"/>
            </w:pPr>
            <w:r>
              <w:rPr>
                <w:rFonts w:ascii="仿宋_GB2312" w:hAnsi="仿宋_GB2312" w:cs="仿宋_GB2312" w:eastAsia="仿宋_GB2312"/>
                <w:sz w:val="24"/>
              </w:rPr>
              <w:t>3.资源下载</w:t>
            </w:r>
          </w:p>
          <w:p>
            <w:pPr>
              <w:pStyle w:val="null3"/>
              <w:ind w:firstLine="480"/>
              <w:jc w:val="both"/>
            </w:pPr>
            <w:r>
              <w:rPr>
                <w:rFonts w:ascii="仿宋_GB2312" w:hAnsi="仿宋_GB2312" w:cs="仿宋_GB2312" w:eastAsia="仿宋_GB2312"/>
                <w:sz w:val="24"/>
              </w:rPr>
              <w:t>只有具备相应权限的用户才能下载资源。</w:t>
            </w:r>
          </w:p>
          <w:p>
            <w:pPr>
              <w:pStyle w:val="null3"/>
              <w:ind w:firstLine="480"/>
              <w:jc w:val="both"/>
            </w:pPr>
            <w:r>
              <w:rPr>
                <w:rFonts w:ascii="仿宋_GB2312" w:hAnsi="仿宋_GB2312" w:cs="仿宋_GB2312" w:eastAsia="仿宋_GB2312"/>
                <w:sz w:val="24"/>
              </w:rPr>
              <w:t>四、建立医案、影像学习资料、音频学习资料之间的索引关联。</w:t>
            </w:r>
          </w:p>
          <w:p>
            <w:pPr>
              <w:pStyle w:val="null3"/>
              <w:ind w:firstLine="480"/>
              <w:jc w:val="both"/>
            </w:pPr>
            <w:r>
              <w:rPr>
                <w:rFonts w:ascii="仿宋_GB2312" w:hAnsi="仿宋_GB2312" w:cs="仿宋_GB2312" w:eastAsia="仿宋_GB2312"/>
                <w:sz w:val="24"/>
              </w:rPr>
              <w:t>1.资料录入</w:t>
            </w:r>
          </w:p>
          <w:p>
            <w:pPr>
              <w:pStyle w:val="null3"/>
              <w:ind w:firstLine="480"/>
              <w:jc w:val="both"/>
            </w:pPr>
            <w:r>
              <w:rPr>
                <w:rFonts w:ascii="仿宋_GB2312" w:hAnsi="仿宋_GB2312" w:cs="仿宋_GB2312" w:eastAsia="仿宋_GB2312"/>
                <w:sz w:val="24"/>
              </w:rPr>
              <w:t>提供专门的界面分别录入医案、影像学习资料、音频学习资料。</w:t>
            </w:r>
          </w:p>
          <w:p>
            <w:pPr>
              <w:pStyle w:val="null3"/>
              <w:ind w:firstLine="480"/>
              <w:jc w:val="both"/>
            </w:pPr>
            <w:r>
              <w:rPr>
                <w:rFonts w:ascii="仿宋_GB2312" w:hAnsi="仿宋_GB2312" w:cs="仿宋_GB2312" w:eastAsia="仿宋_GB2312"/>
                <w:sz w:val="24"/>
              </w:rPr>
              <w:t>2.关联关系建立</w:t>
            </w:r>
          </w:p>
          <w:p>
            <w:pPr>
              <w:pStyle w:val="null3"/>
              <w:ind w:firstLine="480"/>
              <w:jc w:val="both"/>
            </w:pPr>
            <w:r>
              <w:rPr>
                <w:rFonts w:ascii="仿宋_GB2312" w:hAnsi="仿宋_GB2312" w:cs="仿宋_GB2312" w:eastAsia="仿宋_GB2312"/>
                <w:sz w:val="24"/>
              </w:rPr>
              <w:t>提供可视化操作界面，用户可手动建立医案、影像学习资料、音频学习资料之间的索引关联。</w:t>
            </w:r>
          </w:p>
          <w:p>
            <w:pPr>
              <w:pStyle w:val="null3"/>
              <w:jc w:val="both"/>
            </w:pPr>
            <w:r>
              <w:rPr>
                <w:rFonts w:ascii="仿宋_GB2312" w:hAnsi="仿宋_GB2312" w:cs="仿宋_GB2312" w:eastAsia="仿宋_GB2312"/>
                <w:sz w:val="24"/>
                <w:b/>
                <w:color w:val="000000"/>
              </w:rPr>
              <w:t>1.1.2.2跟师抄方</w:t>
            </w:r>
          </w:p>
          <w:p>
            <w:pPr>
              <w:pStyle w:val="null3"/>
              <w:ind w:firstLine="480"/>
              <w:jc w:val="both"/>
            </w:pPr>
            <w:r>
              <w:rPr>
                <w:rFonts w:ascii="仿宋_GB2312" w:hAnsi="仿宋_GB2312" w:cs="仿宋_GB2312" w:eastAsia="仿宋_GB2312"/>
                <w:sz w:val="24"/>
              </w:rPr>
              <w:t>支持跟师信息查看，包括抄方记录查看、跟师过程记录查看</w:t>
            </w:r>
            <w:r>
              <w:rPr>
                <w:rFonts w:ascii="仿宋_GB2312" w:hAnsi="仿宋_GB2312" w:cs="仿宋_GB2312" w:eastAsia="仿宋_GB2312"/>
                <w:sz w:val="24"/>
              </w:rPr>
              <w:t>(如医案、影像学习资料、音频学习资料等)。</w:t>
            </w:r>
          </w:p>
          <w:p>
            <w:pPr>
              <w:pStyle w:val="null3"/>
              <w:ind w:firstLine="480"/>
              <w:jc w:val="both"/>
            </w:pPr>
            <w:r>
              <w:rPr>
                <w:rFonts w:ascii="仿宋_GB2312" w:hAnsi="仿宋_GB2312" w:cs="仿宋_GB2312" w:eastAsia="仿宋_GB2312"/>
                <w:sz w:val="24"/>
              </w:rPr>
              <w:t>1.跟师信息查看</w:t>
            </w:r>
          </w:p>
          <w:p>
            <w:pPr>
              <w:pStyle w:val="null3"/>
              <w:ind w:firstLine="480"/>
              <w:jc w:val="both"/>
            </w:pPr>
            <w:r>
              <w:rPr>
                <w:rFonts w:ascii="仿宋_GB2312" w:hAnsi="仿宋_GB2312" w:cs="仿宋_GB2312" w:eastAsia="仿宋_GB2312"/>
                <w:sz w:val="24"/>
              </w:rPr>
              <w:t>学生登录系统后，可在名医跟师板块查看跟师基本信息，包括跟师的名老中医姓名、所属工作室、目前跟师状态，快速了解跟师整体概况。</w:t>
            </w:r>
          </w:p>
          <w:p>
            <w:pPr>
              <w:pStyle w:val="null3"/>
              <w:ind w:firstLine="480"/>
              <w:jc w:val="both"/>
            </w:pPr>
            <w:r>
              <w:rPr>
                <w:rFonts w:ascii="仿宋_GB2312" w:hAnsi="仿宋_GB2312" w:cs="仿宋_GB2312" w:eastAsia="仿宋_GB2312"/>
                <w:sz w:val="24"/>
              </w:rPr>
              <w:t>2.抄方记录查看</w:t>
            </w:r>
          </w:p>
          <w:p>
            <w:pPr>
              <w:pStyle w:val="null3"/>
              <w:ind w:firstLine="480"/>
              <w:jc w:val="both"/>
            </w:pPr>
            <w:r>
              <w:rPr>
                <w:rFonts w:ascii="仿宋_GB2312" w:hAnsi="仿宋_GB2312" w:cs="仿宋_GB2312" w:eastAsia="仿宋_GB2312"/>
                <w:sz w:val="24"/>
              </w:rPr>
              <w:t>提供跟师抄方和模拟抄方记录列表，每条记录包含医案标题、匹配度、抄方时间等信息。</w:t>
            </w:r>
          </w:p>
          <w:p>
            <w:pPr>
              <w:pStyle w:val="null3"/>
              <w:ind w:firstLine="480"/>
              <w:jc w:val="both"/>
            </w:pPr>
            <w:r>
              <w:rPr>
                <w:rFonts w:ascii="仿宋_GB2312" w:hAnsi="仿宋_GB2312" w:cs="仿宋_GB2312" w:eastAsia="仿宋_GB2312"/>
                <w:sz w:val="24"/>
              </w:rPr>
              <w:t>3.资料关联查看</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查看跟师过程中涉及的医案、影像学习资料、音频学习资料。</w:t>
            </w:r>
          </w:p>
          <w:p>
            <w:pPr>
              <w:pStyle w:val="null3"/>
              <w:jc w:val="both"/>
            </w:pPr>
            <w:r>
              <w:rPr>
                <w:rFonts w:ascii="仿宋_GB2312" w:hAnsi="仿宋_GB2312" w:cs="仿宋_GB2312" w:eastAsia="仿宋_GB2312"/>
                <w:sz w:val="24"/>
                <w:b/>
                <w:color w:val="000000"/>
              </w:rPr>
              <w:t>1.1.2.3模拟开方</w:t>
            </w:r>
          </w:p>
          <w:p>
            <w:pPr>
              <w:pStyle w:val="null3"/>
              <w:ind w:firstLine="480"/>
              <w:jc w:val="both"/>
            </w:pPr>
            <w:r>
              <w:rPr>
                <w:rFonts w:ascii="仿宋_GB2312" w:hAnsi="仿宋_GB2312" w:cs="仿宋_GB2312" w:eastAsia="仿宋_GB2312"/>
                <w:sz w:val="24"/>
              </w:rPr>
              <w:t>支持学员模拟中医开方</w:t>
            </w:r>
            <w:r>
              <w:rPr>
                <w:rFonts w:ascii="仿宋_GB2312" w:hAnsi="仿宋_GB2312" w:cs="仿宋_GB2312" w:eastAsia="仿宋_GB2312"/>
                <w:sz w:val="24"/>
              </w:rPr>
              <w:t>;支持模拟处方记录查看和删除等操作。</w:t>
            </w:r>
          </w:p>
          <w:p>
            <w:pPr>
              <w:pStyle w:val="null3"/>
              <w:ind w:firstLine="480"/>
              <w:jc w:val="both"/>
            </w:pPr>
            <w:r>
              <w:rPr>
                <w:rFonts w:ascii="仿宋_GB2312" w:hAnsi="仿宋_GB2312" w:cs="仿宋_GB2312" w:eastAsia="仿宋_GB2312"/>
                <w:sz w:val="24"/>
              </w:rPr>
              <w:t>1.模拟开方：跟师审核通过后，学员才能进行模拟开方；系统内置医案库，学员根据学习需求选择不同难度和类型的病例进行模拟开方；学员在自开方界面进行模拟开方，录入药品、用量，提交处方，完成本次模拟开方。</w:t>
            </w:r>
          </w:p>
          <w:p>
            <w:pPr>
              <w:pStyle w:val="null3"/>
              <w:ind w:firstLine="480"/>
              <w:jc w:val="both"/>
            </w:pPr>
            <w:r>
              <w:rPr>
                <w:rFonts w:ascii="仿宋_GB2312" w:hAnsi="仿宋_GB2312" w:cs="仿宋_GB2312" w:eastAsia="仿宋_GB2312"/>
                <w:sz w:val="24"/>
              </w:rPr>
              <w:t>2.模拟处方记录查看：查看模拟开方记录，显示详细的医案信息，包括名医医案、自开方；以饼状图的形式展示本次模拟与原方剂中四气、五味的统计分析；原医案处方与模拟处方的方剂匹配度；展示名医在抄方过程中的点评内容。</w:t>
            </w:r>
          </w:p>
          <w:p>
            <w:pPr>
              <w:pStyle w:val="null3"/>
              <w:ind w:firstLine="480"/>
              <w:jc w:val="both"/>
            </w:pPr>
            <w:r>
              <w:rPr>
                <w:rFonts w:ascii="仿宋_GB2312" w:hAnsi="仿宋_GB2312" w:cs="仿宋_GB2312" w:eastAsia="仿宋_GB2312"/>
                <w:sz w:val="24"/>
              </w:rPr>
              <w:t>3.模拟处方记录删除：对于模拟抄方的结果，系统允许有权限的用户进行删除操作，清理无效或错误的模拟处方数据。</w:t>
            </w:r>
          </w:p>
          <w:p>
            <w:pPr>
              <w:pStyle w:val="null3"/>
              <w:jc w:val="both"/>
            </w:pPr>
            <w:r>
              <w:rPr>
                <w:rFonts w:ascii="仿宋_GB2312" w:hAnsi="仿宋_GB2312" w:cs="仿宋_GB2312" w:eastAsia="仿宋_GB2312"/>
                <w:sz w:val="24"/>
                <w:b/>
                <w:color w:val="000000"/>
              </w:rPr>
              <w:t>1.1.2.4经验学习</w:t>
            </w:r>
          </w:p>
          <w:p>
            <w:pPr>
              <w:pStyle w:val="null3"/>
              <w:ind w:firstLine="480"/>
              <w:jc w:val="both"/>
            </w:pPr>
            <w:r>
              <w:rPr>
                <w:rFonts w:ascii="仿宋_GB2312" w:hAnsi="仿宋_GB2312" w:cs="仿宋_GB2312" w:eastAsia="仿宋_GB2312"/>
                <w:sz w:val="24"/>
              </w:rPr>
              <w:t>支持工作室发布各种形式的名老中医药专家经验传承学习记录。</w:t>
            </w:r>
          </w:p>
          <w:p>
            <w:pPr>
              <w:pStyle w:val="null3"/>
              <w:ind w:firstLine="480"/>
              <w:jc w:val="both"/>
            </w:pPr>
            <w:r>
              <w:rPr>
                <w:rFonts w:ascii="仿宋_GB2312" w:hAnsi="仿宋_GB2312" w:cs="仿宋_GB2312" w:eastAsia="仿宋_GB2312"/>
                <w:sz w:val="24"/>
              </w:rPr>
              <w:t>1.名老中医药专家经验发布</w:t>
            </w:r>
          </w:p>
          <w:p>
            <w:pPr>
              <w:pStyle w:val="null3"/>
              <w:ind w:firstLine="480"/>
              <w:jc w:val="both"/>
            </w:pPr>
            <w:r>
              <w:rPr>
                <w:rFonts w:ascii="仿宋_GB2312" w:hAnsi="仿宋_GB2312" w:cs="仿宋_GB2312" w:eastAsia="仿宋_GB2312"/>
                <w:sz w:val="24"/>
              </w:rPr>
              <w:t>工作室管理员通过系统提供的界面，填写名老中医药专家经验，包含标题、工作室、内容、附件。</w:t>
            </w:r>
          </w:p>
          <w:p>
            <w:pPr>
              <w:pStyle w:val="null3"/>
              <w:ind w:firstLine="480"/>
              <w:jc w:val="both"/>
            </w:pPr>
            <w:r>
              <w:rPr>
                <w:rFonts w:ascii="仿宋_GB2312" w:hAnsi="仿宋_GB2312" w:cs="仿宋_GB2312" w:eastAsia="仿宋_GB2312"/>
                <w:sz w:val="24"/>
              </w:rPr>
              <w:t>提供文本编辑器，可录入详细的经验内容，支持文本格式设置、插入图片、表格等操作。</w:t>
            </w:r>
          </w:p>
          <w:p>
            <w:pPr>
              <w:pStyle w:val="null3"/>
              <w:ind w:firstLine="480"/>
              <w:jc w:val="both"/>
            </w:pPr>
            <w:r>
              <w:rPr>
                <w:rFonts w:ascii="仿宋_GB2312" w:hAnsi="仿宋_GB2312" w:cs="仿宋_GB2312" w:eastAsia="仿宋_GB2312"/>
                <w:sz w:val="24"/>
              </w:rPr>
              <w:t>2.名老中医药专家经验编辑</w:t>
            </w:r>
          </w:p>
          <w:p>
            <w:pPr>
              <w:pStyle w:val="null3"/>
              <w:ind w:firstLine="480"/>
              <w:jc w:val="both"/>
            </w:pPr>
            <w:r>
              <w:rPr>
                <w:rFonts w:ascii="仿宋_GB2312" w:hAnsi="仿宋_GB2312" w:cs="仿宋_GB2312" w:eastAsia="仿宋_GB2312"/>
                <w:sz w:val="24"/>
              </w:rPr>
              <w:t>修改操作：有权限的用户（如发布者或管理员）可对已发布的老中医药专家经验进行修改，包括标题、内容和附件等。</w:t>
            </w:r>
          </w:p>
          <w:p>
            <w:pPr>
              <w:pStyle w:val="null3"/>
              <w:ind w:firstLine="480"/>
              <w:jc w:val="both"/>
            </w:pPr>
            <w:r>
              <w:rPr>
                <w:rFonts w:ascii="仿宋_GB2312" w:hAnsi="仿宋_GB2312" w:cs="仿宋_GB2312" w:eastAsia="仿宋_GB2312"/>
                <w:sz w:val="24"/>
              </w:rPr>
              <w:t>删除操作：对于不再需要或不符合要求的老中医药专家经验，管理员可执行删除操作。</w:t>
            </w:r>
          </w:p>
          <w:p>
            <w:pPr>
              <w:pStyle w:val="null3"/>
              <w:ind w:firstLine="480"/>
              <w:jc w:val="both"/>
            </w:pPr>
            <w:r>
              <w:rPr>
                <w:rFonts w:ascii="仿宋_GB2312" w:hAnsi="仿宋_GB2312" w:cs="仿宋_GB2312" w:eastAsia="仿宋_GB2312"/>
                <w:sz w:val="24"/>
              </w:rPr>
              <w:t>分享操作：提供分享功能，可将老中医药专家经验分享到所有工作室。</w:t>
            </w:r>
          </w:p>
          <w:p>
            <w:pPr>
              <w:pStyle w:val="null3"/>
              <w:ind w:firstLine="480"/>
              <w:jc w:val="both"/>
            </w:pPr>
            <w:r>
              <w:rPr>
                <w:rFonts w:ascii="仿宋_GB2312" w:hAnsi="仿宋_GB2312" w:cs="仿宋_GB2312" w:eastAsia="仿宋_GB2312"/>
                <w:sz w:val="24"/>
              </w:rPr>
              <w:t>3.名老中医药专家经验学习</w:t>
            </w:r>
          </w:p>
          <w:p>
            <w:pPr>
              <w:pStyle w:val="null3"/>
              <w:ind w:firstLine="480"/>
              <w:jc w:val="both"/>
            </w:pPr>
            <w:r>
              <w:rPr>
                <w:rFonts w:ascii="仿宋_GB2312" w:hAnsi="仿宋_GB2312" w:cs="仿宋_GB2312" w:eastAsia="仿宋_GB2312"/>
                <w:sz w:val="24"/>
              </w:rPr>
              <w:t>名老中医经验展示：展示所有跟师审核后的名老中医药专家经验，包含经验标题、发布日期。</w:t>
            </w:r>
          </w:p>
          <w:p>
            <w:pPr>
              <w:pStyle w:val="null3"/>
              <w:ind w:firstLine="480"/>
              <w:jc w:val="both"/>
            </w:pPr>
            <w:r>
              <w:rPr>
                <w:rFonts w:ascii="仿宋_GB2312" w:hAnsi="仿宋_GB2312" w:cs="仿宋_GB2312" w:eastAsia="仿宋_GB2312"/>
                <w:sz w:val="24"/>
              </w:rPr>
              <w:t>名老中医经验学习：查看具体的经验内容，学生可对经验内容进行评论，表达自己的观点和见解。</w:t>
            </w:r>
          </w:p>
          <w:p>
            <w:pPr>
              <w:pStyle w:val="null3"/>
              <w:jc w:val="both"/>
            </w:pPr>
            <w:r>
              <w:rPr>
                <w:rFonts w:ascii="仿宋_GB2312" w:hAnsi="仿宋_GB2312" w:cs="仿宋_GB2312" w:eastAsia="仿宋_GB2312"/>
                <w:sz w:val="24"/>
                <w:b/>
                <w:color w:val="000000"/>
              </w:rPr>
              <w:t>1.1.2.5在线考核</w:t>
            </w:r>
          </w:p>
          <w:p>
            <w:pPr>
              <w:pStyle w:val="null3"/>
              <w:ind w:firstLine="480"/>
              <w:jc w:val="both"/>
            </w:pPr>
            <w:r>
              <w:rPr>
                <w:rFonts w:ascii="仿宋_GB2312" w:hAnsi="仿宋_GB2312" w:cs="仿宋_GB2312" w:eastAsia="仿宋_GB2312"/>
                <w:sz w:val="24"/>
              </w:rPr>
              <w:t>一、支持设置单选题、多选题、问答题、模拟接诊处方等格式题目。</w:t>
            </w:r>
          </w:p>
          <w:p>
            <w:pPr>
              <w:pStyle w:val="null3"/>
              <w:ind w:firstLine="480"/>
              <w:jc w:val="both"/>
            </w:pPr>
            <w:r>
              <w:rPr>
                <w:rFonts w:ascii="仿宋_GB2312" w:hAnsi="仿宋_GB2312" w:cs="仿宋_GB2312" w:eastAsia="仿宋_GB2312"/>
                <w:sz w:val="24"/>
              </w:rPr>
              <w:t>1.单选题设置：提供可视化界面，支持录入题干、多个选项（含正确答案）、是否必填、计分方式、答案解析。</w:t>
            </w:r>
          </w:p>
          <w:p>
            <w:pPr>
              <w:pStyle w:val="null3"/>
              <w:ind w:firstLine="480"/>
              <w:jc w:val="both"/>
            </w:pPr>
            <w:r>
              <w:rPr>
                <w:rFonts w:ascii="仿宋_GB2312" w:hAnsi="仿宋_GB2312" w:cs="仿宋_GB2312" w:eastAsia="仿宋_GB2312"/>
                <w:sz w:val="24"/>
              </w:rPr>
              <w:t>2.多选题设置：提供可视化界面，支持录入题干、多个选项（含正确答案）、是否必填、计分方式、答案解析。</w:t>
            </w:r>
          </w:p>
          <w:p>
            <w:pPr>
              <w:pStyle w:val="null3"/>
              <w:ind w:firstLine="480"/>
              <w:jc w:val="both"/>
            </w:pPr>
            <w:r>
              <w:rPr>
                <w:rFonts w:ascii="仿宋_GB2312" w:hAnsi="仿宋_GB2312" w:cs="仿宋_GB2312" w:eastAsia="仿宋_GB2312"/>
                <w:sz w:val="24"/>
              </w:rPr>
              <w:t>3.问答题设置：提供可视化界面，支持录入题干、题目概述、是否必填、计分方式、积分规则、答案、答案解析。</w:t>
            </w:r>
          </w:p>
          <w:p>
            <w:pPr>
              <w:pStyle w:val="null3"/>
              <w:ind w:firstLine="480"/>
              <w:jc w:val="both"/>
            </w:pPr>
            <w:r>
              <w:rPr>
                <w:rFonts w:ascii="仿宋_GB2312" w:hAnsi="仿宋_GB2312" w:cs="仿宋_GB2312" w:eastAsia="仿宋_GB2312"/>
                <w:sz w:val="24"/>
              </w:rPr>
              <w:t>4.模拟接诊处方题设置：考生可模拟问诊过程，通过考题模拟整个接诊过程。</w:t>
            </w:r>
          </w:p>
          <w:p>
            <w:pPr>
              <w:pStyle w:val="null3"/>
              <w:ind w:firstLine="480"/>
              <w:jc w:val="both"/>
            </w:pPr>
            <w:r>
              <w:rPr>
                <w:rFonts w:ascii="仿宋_GB2312" w:hAnsi="仿宋_GB2312" w:cs="仿宋_GB2312" w:eastAsia="仿宋_GB2312"/>
                <w:sz w:val="24"/>
              </w:rPr>
              <w:t>二、支持对试卷进行浏览和批阅</w:t>
            </w:r>
            <w:r>
              <w:rPr>
                <w:rFonts w:ascii="仿宋_GB2312" w:hAnsi="仿宋_GB2312" w:cs="仿宋_GB2312" w:eastAsia="仿宋_GB2312"/>
                <w:sz w:val="24"/>
              </w:rPr>
              <w:t>;支持客观题进行自动阅卷。</w:t>
            </w:r>
          </w:p>
          <w:p>
            <w:pPr>
              <w:pStyle w:val="null3"/>
              <w:ind w:firstLine="480"/>
              <w:jc w:val="both"/>
            </w:pPr>
            <w:r>
              <w:rPr>
                <w:rFonts w:ascii="仿宋_GB2312" w:hAnsi="仿宋_GB2312" w:cs="仿宋_GB2312" w:eastAsia="仿宋_GB2312"/>
                <w:sz w:val="24"/>
              </w:rPr>
              <w:t>1.试卷浏览：在试卷页面设置题目导航栏，点击题目快速跳转至相应题目，便于快速定位和浏览；展示题目时，完整呈现题干、选项（针对单选题、多选题）、答案等内容。</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2.试卷批阅：针对每道题目设置独立的打分区域，考官可根据评分标准直接输入分数，系统自动保存分数并实时计算该考生当前试卷的累计得分，同时支持修改分数，修改后自动更新总分。</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客观题自动阅卷：系统预设各客观题（单选题、多选题）的正确答案，考生提交答卷后，自动将考生作答选项与正确答案进行逐题匹配。匹配正确则按题目预设分值自动计分，匹配错误不得分，快速准确地完成客观题评分，并生成客观题得分明细。</w:t>
            </w:r>
          </w:p>
          <w:p>
            <w:pPr>
              <w:pStyle w:val="null3"/>
              <w:jc w:val="both"/>
            </w:pPr>
            <w:r>
              <w:rPr>
                <w:rFonts w:ascii="仿宋_GB2312" w:hAnsi="仿宋_GB2312" w:cs="仿宋_GB2312" w:eastAsia="仿宋_GB2312"/>
                <w:sz w:val="24"/>
                <w:b/>
                <w:color w:val="000000"/>
              </w:rPr>
              <w:t>1.1.2.6模拟接诊</w:t>
            </w:r>
          </w:p>
          <w:p>
            <w:pPr>
              <w:pStyle w:val="null3"/>
              <w:ind w:firstLine="480"/>
              <w:jc w:val="both"/>
            </w:pPr>
            <w:r>
              <w:rPr>
                <w:rFonts w:ascii="仿宋_GB2312" w:hAnsi="仿宋_GB2312" w:cs="仿宋_GB2312" w:eastAsia="仿宋_GB2312"/>
                <w:sz w:val="24"/>
              </w:rPr>
              <w:t>模拟中医类接诊规范流程，提供多病种选择、临床问诊替代、学员线上答题、系统能够实现自行编辑接诊步骤等功能。</w:t>
            </w:r>
          </w:p>
          <w:p>
            <w:pPr>
              <w:pStyle w:val="null3"/>
              <w:ind w:firstLine="480"/>
              <w:jc w:val="both"/>
            </w:pPr>
            <w:r>
              <w:rPr>
                <w:rFonts w:ascii="仿宋_GB2312" w:hAnsi="仿宋_GB2312" w:cs="仿宋_GB2312" w:eastAsia="仿宋_GB2312"/>
                <w:sz w:val="24"/>
              </w:rPr>
              <w:t>1.多病种选择</w:t>
            </w:r>
          </w:p>
          <w:p>
            <w:pPr>
              <w:pStyle w:val="null3"/>
              <w:ind w:firstLine="480"/>
              <w:jc w:val="both"/>
            </w:pPr>
            <w:r>
              <w:rPr>
                <w:rFonts w:ascii="仿宋_GB2312" w:hAnsi="仿宋_GB2312" w:cs="仿宋_GB2312" w:eastAsia="仿宋_GB2312"/>
                <w:sz w:val="24"/>
              </w:rPr>
              <w:t>管理员可对病种库进行添加、删除、修改操作，补充新病种或更新病症信息，确保病种库的时效性和准确性。</w:t>
            </w:r>
          </w:p>
          <w:p>
            <w:pPr>
              <w:pStyle w:val="null3"/>
              <w:ind w:firstLine="480"/>
              <w:jc w:val="both"/>
            </w:pPr>
            <w:r>
              <w:rPr>
                <w:rFonts w:ascii="仿宋_GB2312" w:hAnsi="仿宋_GB2312" w:cs="仿宋_GB2312" w:eastAsia="仿宋_GB2312"/>
                <w:sz w:val="24"/>
              </w:rPr>
              <w:t>2.临床问诊替代</w:t>
            </w:r>
          </w:p>
          <w:p>
            <w:pPr>
              <w:pStyle w:val="null3"/>
              <w:ind w:firstLine="480"/>
              <w:jc w:val="both"/>
            </w:pPr>
            <w:r>
              <w:rPr>
                <w:rFonts w:ascii="仿宋_GB2312" w:hAnsi="仿宋_GB2312" w:cs="仿宋_GB2312" w:eastAsia="仿宋_GB2312"/>
                <w:sz w:val="24"/>
              </w:rPr>
              <w:t>针对每种病种，学员按照模板顺序依次答题，引导其掌握规范的问诊流程。</w:t>
            </w:r>
          </w:p>
          <w:p>
            <w:pPr>
              <w:pStyle w:val="null3"/>
              <w:ind w:firstLine="480"/>
              <w:jc w:val="both"/>
            </w:pPr>
            <w:r>
              <w:rPr>
                <w:rFonts w:ascii="仿宋_GB2312" w:hAnsi="仿宋_GB2312" w:cs="仿宋_GB2312" w:eastAsia="仿宋_GB2312"/>
                <w:sz w:val="24"/>
              </w:rPr>
              <w:t>3.学员线上答题</w:t>
            </w:r>
          </w:p>
          <w:p>
            <w:pPr>
              <w:pStyle w:val="null3"/>
              <w:ind w:firstLine="480"/>
              <w:jc w:val="both"/>
            </w:pPr>
            <w:r>
              <w:rPr>
                <w:rFonts w:ascii="仿宋_GB2312" w:hAnsi="仿宋_GB2312" w:cs="仿宋_GB2312" w:eastAsia="仿宋_GB2312"/>
                <w:sz w:val="24"/>
              </w:rPr>
              <w:t>辨证分析答题：完成问诊后，学员根据收集到的信息进行辨证分析，系统提供答题界面，学员需选择正确的辨证结果。</w:t>
            </w:r>
          </w:p>
          <w:p>
            <w:pPr>
              <w:pStyle w:val="null3"/>
              <w:ind w:firstLine="480"/>
              <w:jc w:val="both"/>
            </w:pPr>
            <w:r>
              <w:rPr>
                <w:rFonts w:ascii="仿宋_GB2312" w:hAnsi="仿宋_GB2312" w:cs="仿宋_GB2312" w:eastAsia="仿宋_GB2312"/>
                <w:sz w:val="24"/>
              </w:rPr>
              <w:t>治疗方案制定：针对辨证结果，学员选择相应的治疗方案。</w:t>
            </w:r>
          </w:p>
          <w:p>
            <w:pPr>
              <w:pStyle w:val="null3"/>
              <w:ind w:firstLine="480"/>
              <w:jc w:val="both"/>
            </w:pPr>
            <w:r>
              <w:rPr>
                <w:rFonts w:ascii="仿宋_GB2312" w:hAnsi="仿宋_GB2312" w:cs="仿宋_GB2312" w:eastAsia="仿宋_GB2312"/>
                <w:sz w:val="24"/>
              </w:rPr>
              <w:t>答题提交：学员完成答题后，提交答卷。</w:t>
            </w:r>
          </w:p>
          <w:p>
            <w:pPr>
              <w:pStyle w:val="null3"/>
              <w:ind w:firstLine="480"/>
              <w:jc w:val="both"/>
            </w:pPr>
            <w:r>
              <w:rPr>
                <w:rFonts w:ascii="仿宋_GB2312" w:hAnsi="仿宋_GB2312" w:cs="仿宋_GB2312" w:eastAsia="仿宋_GB2312"/>
                <w:sz w:val="24"/>
              </w:rPr>
              <w:t>4.系统自行编辑接诊步骤</w:t>
            </w:r>
          </w:p>
          <w:p>
            <w:pPr>
              <w:pStyle w:val="null3"/>
              <w:ind w:firstLine="480"/>
              <w:jc w:val="both"/>
            </w:pPr>
            <w:r>
              <w:rPr>
                <w:rFonts w:ascii="仿宋_GB2312" w:hAnsi="仿宋_GB2312" w:cs="仿宋_GB2312" w:eastAsia="仿宋_GB2312"/>
                <w:sz w:val="24"/>
              </w:rPr>
              <w:t>步骤自定义：管理员拥有编辑权限，通过可视化界面自定义模拟接诊步骤，可添加、删除、调整步骤顺序。</w:t>
            </w:r>
          </w:p>
          <w:p>
            <w:pPr>
              <w:pStyle w:val="null3"/>
              <w:ind w:firstLine="480"/>
              <w:jc w:val="both"/>
            </w:pPr>
            <w:r>
              <w:rPr>
                <w:rFonts w:ascii="仿宋_GB2312" w:hAnsi="仿宋_GB2312" w:cs="仿宋_GB2312" w:eastAsia="仿宋_GB2312"/>
                <w:sz w:val="24"/>
              </w:rPr>
              <w:t>内容编辑：对于每个接诊步骤，可编辑相关内容，如修改问诊问题、调整辨证分析的答题要求、更新治疗方案制定等。</w:t>
            </w:r>
          </w:p>
          <w:p>
            <w:pPr>
              <w:pStyle w:val="null3"/>
              <w:spacing w:before="105" w:after="105"/>
              <w:jc w:val="both"/>
              <w:outlineLvl w:val="3"/>
            </w:pPr>
            <w:r>
              <w:rPr>
                <w:rFonts w:ascii="仿宋_GB2312" w:hAnsi="仿宋_GB2312" w:cs="仿宋_GB2312" w:eastAsia="仿宋_GB2312"/>
                <w:sz w:val="28"/>
                <w:b/>
                <w:color w:val="000000"/>
              </w:rPr>
              <w:t>1.1.3</w:t>
            </w:r>
            <w:r>
              <w:rPr>
                <w:rFonts w:ascii="仿宋_GB2312" w:hAnsi="仿宋_GB2312" w:cs="仿宋_GB2312" w:eastAsia="仿宋_GB2312"/>
                <w:sz w:val="28"/>
                <w:b/>
                <w:color w:val="000000"/>
              </w:rPr>
              <w:t>医案文献挖掘分析</w:t>
            </w:r>
          </w:p>
          <w:p>
            <w:pPr>
              <w:pStyle w:val="null3"/>
              <w:jc w:val="both"/>
            </w:pPr>
            <w:r>
              <w:rPr>
                <w:rFonts w:ascii="仿宋_GB2312" w:hAnsi="仿宋_GB2312" w:cs="仿宋_GB2312" w:eastAsia="仿宋_GB2312"/>
                <w:sz w:val="24"/>
                <w:b/>
                <w:color w:val="000000"/>
              </w:rPr>
              <w:t>1.1.3.1医案建立</w:t>
            </w:r>
          </w:p>
          <w:p>
            <w:pPr>
              <w:pStyle w:val="null3"/>
              <w:ind w:firstLine="480"/>
              <w:jc w:val="both"/>
            </w:pPr>
            <w:r>
              <w:rPr>
                <w:rFonts w:ascii="仿宋_GB2312" w:hAnsi="仿宋_GB2312" w:cs="仿宋_GB2312" w:eastAsia="仿宋_GB2312"/>
                <w:sz w:val="24"/>
              </w:rPr>
              <w:t>支持自建或从电子病历系统中建立医案</w:t>
            </w:r>
            <w:r>
              <w:rPr>
                <w:rFonts w:ascii="仿宋_GB2312" w:hAnsi="仿宋_GB2312" w:cs="仿宋_GB2312" w:eastAsia="仿宋_GB2312"/>
                <w:sz w:val="24"/>
              </w:rPr>
              <w:t>;建立名老中医病案数据库;支持中医专家系统;支持应用于临床辅助决策和中医诊断教学。</w:t>
            </w:r>
          </w:p>
          <w:p>
            <w:pPr>
              <w:pStyle w:val="null3"/>
              <w:ind w:firstLine="480"/>
              <w:jc w:val="both"/>
            </w:pPr>
            <w:r>
              <w:rPr>
                <w:rFonts w:ascii="仿宋_GB2312" w:hAnsi="仿宋_GB2312" w:cs="仿宋_GB2312" w:eastAsia="仿宋_GB2312"/>
                <w:sz w:val="24"/>
              </w:rPr>
              <w:t>1.医案建立：提供界面用于录入医案的详细基本信息，包括医案名称、患者信息、病情分析、对应的医师姓名、辨证分型、治则治法，以及其他相关的信息。</w:t>
            </w:r>
          </w:p>
          <w:p>
            <w:pPr>
              <w:pStyle w:val="null3"/>
              <w:ind w:firstLine="480"/>
              <w:jc w:val="both"/>
            </w:pPr>
            <w:r>
              <w:rPr>
                <w:rFonts w:ascii="仿宋_GB2312" w:hAnsi="仿宋_GB2312" w:cs="仿宋_GB2312" w:eastAsia="仿宋_GB2312"/>
                <w:sz w:val="24"/>
              </w:rPr>
              <w:t>2.名老中医病案数据库：建立名老中医病案数据库，对医案数据进行分类存储；支持通过关键词进行快速查询。</w:t>
            </w:r>
          </w:p>
          <w:p>
            <w:pPr>
              <w:pStyle w:val="null3"/>
              <w:ind w:firstLine="480"/>
              <w:jc w:val="both"/>
            </w:pPr>
            <w:r>
              <w:rPr>
                <w:rFonts w:ascii="仿宋_GB2312" w:hAnsi="仿宋_GB2312" w:cs="仿宋_GB2312" w:eastAsia="仿宋_GB2312"/>
                <w:sz w:val="24"/>
              </w:rPr>
              <w:t>3.中医专家系统</w:t>
            </w:r>
          </w:p>
          <w:p>
            <w:pPr>
              <w:pStyle w:val="null3"/>
              <w:ind w:firstLine="480"/>
              <w:jc w:val="both"/>
            </w:pPr>
            <w:r>
              <w:rPr>
                <w:rFonts w:ascii="仿宋_GB2312" w:hAnsi="仿宋_GB2312" w:cs="仿宋_GB2312" w:eastAsia="仿宋_GB2312"/>
                <w:sz w:val="24"/>
              </w:rPr>
              <w:t>知识图谱构建：整合中医经典理论、名老中医经验、临床指南等知识资源，构建中医知识图谱，为专家系统提供知识基础。</w:t>
            </w:r>
          </w:p>
          <w:p>
            <w:pPr>
              <w:pStyle w:val="null3"/>
              <w:ind w:firstLine="480"/>
              <w:jc w:val="both"/>
            </w:pPr>
            <w:r>
              <w:rPr>
                <w:rFonts w:ascii="仿宋_GB2312" w:hAnsi="仿宋_GB2312" w:cs="仿宋_GB2312" w:eastAsia="仿宋_GB2312"/>
                <w:sz w:val="24"/>
              </w:rPr>
              <w:t>四诊分析：基于患者的四诊信息，运用人工智能算法进行智能辨证，帮助用户理解辨证过程。</w:t>
            </w:r>
          </w:p>
          <w:p>
            <w:pPr>
              <w:pStyle w:val="null3"/>
              <w:ind w:firstLine="480"/>
              <w:jc w:val="both"/>
            </w:pPr>
            <w:r>
              <w:rPr>
                <w:rFonts w:ascii="仿宋_GB2312" w:hAnsi="仿宋_GB2312" w:cs="仿宋_GB2312" w:eastAsia="仿宋_GB2312"/>
                <w:sz w:val="24"/>
              </w:rPr>
              <w:t>4.临床辅助决策：输入的医案信息，自动检索数据库中相似案例，为当前医案的诊疗提供参考。</w:t>
            </w:r>
          </w:p>
          <w:p>
            <w:pPr>
              <w:pStyle w:val="null3"/>
              <w:ind w:firstLine="480"/>
              <w:jc w:val="both"/>
            </w:pPr>
            <w:r>
              <w:rPr>
                <w:rFonts w:ascii="仿宋_GB2312" w:hAnsi="仿宋_GB2312" w:cs="仿宋_GB2312" w:eastAsia="仿宋_GB2312"/>
                <w:sz w:val="24"/>
              </w:rPr>
              <w:t>5.中医诊断教学：学生可选择教学案例进行模拟诊断，模拟真实的诊疗流程；完成练习后，系统自动评分，并给出详细的诊断分析，帮助学生提升诊断能力。</w:t>
            </w:r>
          </w:p>
          <w:p>
            <w:pPr>
              <w:pStyle w:val="null3"/>
              <w:jc w:val="both"/>
            </w:pPr>
            <w:r>
              <w:rPr>
                <w:rFonts w:ascii="仿宋_GB2312" w:hAnsi="仿宋_GB2312" w:cs="仿宋_GB2312" w:eastAsia="仿宋_GB2312"/>
                <w:sz w:val="24"/>
                <w:b/>
                <w:color w:val="000000"/>
              </w:rPr>
              <w:t>1.1.3.2医案采集处理</w:t>
            </w:r>
          </w:p>
          <w:p>
            <w:pPr>
              <w:pStyle w:val="null3"/>
              <w:ind w:firstLine="480"/>
              <w:jc w:val="both"/>
            </w:pPr>
            <w:r>
              <w:rPr>
                <w:rFonts w:ascii="仿宋_GB2312" w:hAnsi="仿宋_GB2312" w:cs="仿宋_GB2312" w:eastAsia="仿宋_GB2312"/>
                <w:sz w:val="24"/>
              </w:rPr>
              <w:t>支持批量采集医案：支持如中医诊断、证型、治则治法等规范处理</w:t>
            </w:r>
            <w:r>
              <w:rPr>
                <w:rFonts w:ascii="仿宋_GB2312" w:hAnsi="仿宋_GB2312" w:cs="仿宋_GB2312" w:eastAsia="仿宋_GB2312"/>
                <w:sz w:val="24"/>
              </w:rPr>
              <w:t>;支持如医案的中医诊断、证型等内容与标准化中医术语的自动匹配。</w:t>
            </w:r>
          </w:p>
          <w:p>
            <w:pPr>
              <w:pStyle w:val="null3"/>
              <w:ind w:firstLine="480"/>
              <w:jc w:val="both"/>
            </w:pPr>
            <w:r>
              <w:rPr>
                <w:rFonts w:ascii="仿宋_GB2312" w:hAnsi="仿宋_GB2312" w:cs="仿宋_GB2312" w:eastAsia="仿宋_GB2312"/>
                <w:sz w:val="24"/>
              </w:rPr>
              <w:t>1.批量医案采集：支持从 Excel等常见格式文件批量导入医案数据，用户只需按照系统提供的模板整理医案信息，即可快速完成数据导入。</w:t>
            </w:r>
          </w:p>
          <w:p>
            <w:pPr>
              <w:pStyle w:val="null3"/>
              <w:ind w:firstLine="480"/>
              <w:jc w:val="both"/>
            </w:pPr>
            <w:r>
              <w:rPr>
                <w:rFonts w:ascii="仿宋_GB2312" w:hAnsi="仿宋_GB2312" w:cs="仿宋_GB2312" w:eastAsia="仿宋_GB2312"/>
                <w:sz w:val="24"/>
              </w:rPr>
              <w:t>2.医案内容规范处理：在自建医案和批量导入医案时，提供标准化的医案模板，明确中医诊断、证型、治则治法等内容的填写规范和格式要求，通过模板引导用户录入标准化的医案内容。</w:t>
            </w:r>
          </w:p>
          <w:p>
            <w:pPr>
              <w:pStyle w:val="null3"/>
              <w:ind w:firstLine="480"/>
              <w:jc w:val="both"/>
            </w:pPr>
            <w:r>
              <w:rPr>
                <w:rFonts w:ascii="仿宋_GB2312" w:hAnsi="仿宋_GB2312" w:cs="仿宋_GB2312" w:eastAsia="仿宋_GB2312"/>
                <w:sz w:val="24"/>
              </w:rPr>
              <w:t>3.术语自动匹配：建立标准化的中医术语库，涵盖中医诊断、证型、治则治法等各类术语。</w:t>
            </w:r>
          </w:p>
          <w:p>
            <w:pPr>
              <w:pStyle w:val="null3"/>
              <w:jc w:val="both"/>
            </w:pPr>
            <w:r>
              <w:rPr>
                <w:rFonts w:ascii="仿宋_GB2312" w:hAnsi="仿宋_GB2312" w:cs="仿宋_GB2312" w:eastAsia="仿宋_GB2312"/>
                <w:sz w:val="24"/>
                <w:b/>
                <w:color w:val="000000"/>
              </w:rPr>
              <w:t>1.1.3.3医案数据挖掘分析</w:t>
            </w:r>
          </w:p>
          <w:p>
            <w:pPr>
              <w:pStyle w:val="null3"/>
              <w:ind w:firstLine="480"/>
              <w:jc w:val="both"/>
            </w:pPr>
            <w:r>
              <w:rPr>
                <w:rFonts w:ascii="仿宋_GB2312" w:hAnsi="仿宋_GB2312" w:cs="仿宋_GB2312" w:eastAsia="仿宋_GB2312"/>
                <w:sz w:val="24"/>
              </w:rPr>
              <w:t>支持如临床中四诊、病症、证型、治法处方、用药等频次统计</w:t>
            </w:r>
            <w:r>
              <w:rPr>
                <w:rFonts w:ascii="仿宋_GB2312" w:hAnsi="仿宋_GB2312" w:cs="仿宋_GB2312" w:eastAsia="仿宋_GB2312"/>
                <w:sz w:val="24"/>
              </w:rPr>
              <w:t>;支持医案多维度分析，如统计分析、关联分析等。</w:t>
            </w:r>
          </w:p>
          <w:p>
            <w:pPr>
              <w:pStyle w:val="null3"/>
              <w:ind w:firstLine="480"/>
              <w:jc w:val="both"/>
            </w:pPr>
            <w:r>
              <w:rPr>
                <w:rFonts w:ascii="仿宋_GB2312" w:hAnsi="仿宋_GB2312" w:cs="仿宋_GB2312" w:eastAsia="仿宋_GB2312"/>
                <w:sz w:val="24"/>
              </w:rPr>
              <w:t>1.医案数据频次统计</w:t>
            </w:r>
          </w:p>
          <w:p>
            <w:pPr>
              <w:pStyle w:val="null3"/>
              <w:ind w:firstLine="480"/>
              <w:jc w:val="both"/>
            </w:pPr>
            <w:r>
              <w:rPr>
                <w:rFonts w:ascii="仿宋_GB2312" w:hAnsi="仿宋_GB2312" w:cs="仿宋_GB2312" w:eastAsia="仿宋_GB2312"/>
                <w:sz w:val="24"/>
              </w:rPr>
              <w:t>包含临床四诊统计，如下：</w:t>
            </w:r>
          </w:p>
          <w:p>
            <w:pPr>
              <w:pStyle w:val="null3"/>
              <w:ind w:firstLine="480"/>
              <w:jc w:val="both"/>
            </w:pPr>
            <w:r>
              <w:rPr>
                <w:rFonts w:ascii="仿宋_GB2312" w:hAnsi="仿宋_GB2312" w:cs="仿宋_GB2312" w:eastAsia="仿宋_GB2312"/>
                <w:sz w:val="24"/>
              </w:rPr>
              <w:t>病症频次统计：对医案中的病症名称进行归类统计，分析各类病症在医案库中的出现频率。</w:t>
            </w:r>
          </w:p>
          <w:p>
            <w:pPr>
              <w:pStyle w:val="null3"/>
              <w:ind w:firstLine="480"/>
              <w:jc w:val="both"/>
            </w:pPr>
            <w:r>
              <w:rPr>
                <w:rFonts w:ascii="仿宋_GB2312" w:hAnsi="仿宋_GB2312" w:cs="仿宋_GB2312" w:eastAsia="仿宋_GB2312"/>
                <w:sz w:val="24"/>
              </w:rPr>
              <w:t>证型频次统计：统计不同证型在医案中出现的频次，展示常见证型的出现频率。</w:t>
            </w:r>
          </w:p>
          <w:p>
            <w:pPr>
              <w:pStyle w:val="null3"/>
              <w:ind w:firstLine="480"/>
              <w:jc w:val="both"/>
            </w:pPr>
            <w:r>
              <w:rPr>
                <w:rFonts w:ascii="仿宋_GB2312" w:hAnsi="仿宋_GB2312" w:cs="仿宋_GB2312" w:eastAsia="仿宋_GB2312"/>
                <w:sz w:val="24"/>
              </w:rPr>
              <w:t>治法处方频次统计：对医案中的治则治法和处方进行分析，统计各类治法和方剂的使用频次。</w:t>
            </w:r>
          </w:p>
          <w:p>
            <w:pPr>
              <w:pStyle w:val="null3"/>
              <w:ind w:firstLine="480"/>
              <w:jc w:val="both"/>
            </w:pPr>
            <w:r>
              <w:rPr>
                <w:rFonts w:ascii="仿宋_GB2312" w:hAnsi="仿宋_GB2312" w:cs="仿宋_GB2312" w:eastAsia="仿宋_GB2312"/>
                <w:sz w:val="24"/>
              </w:rPr>
              <w:t>用药频次统计：统计单味中药在处方中的出现频次，挖掘高频用药，发现用药规律。</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4"/>
              </w:rPr>
              <w:t>2.医案多维度分析</w:t>
            </w:r>
          </w:p>
          <w:p>
            <w:pPr>
              <w:pStyle w:val="null3"/>
              <w:ind w:firstLine="480"/>
              <w:jc w:val="both"/>
            </w:pPr>
            <w:r>
              <w:rPr>
                <w:rFonts w:ascii="仿宋_GB2312" w:hAnsi="仿宋_GB2312" w:cs="仿宋_GB2312" w:eastAsia="仿宋_GB2312"/>
                <w:sz w:val="24"/>
              </w:rPr>
              <w:t>统计分析：（</w:t>
            </w:r>
            <w:r>
              <w:rPr>
                <w:rFonts w:ascii="仿宋_GB2312" w:hAnsi="仿宋_GB2312" w:cs="仿宋_GB2312" w:eastAsia="仿宋_GB2312"/>
                <w:sz w:val="24"/>
              </w:rPr>
              <w:t>1）症候分析：统计症状规律（症状模式、规则分析、网络展示）、症状聚类（聚类、提取组合、症状系数）；（2）方证分析：网络展示（药-症网络、药-证网络）、关键药物、关键症状。</w:t>
            </w:r>
          </w:p>
          <w:p>
            <w:pPr>
              <w:pStyle w:val="null3"/>
              <w:ind w:firstLine="480"/>
              <w:jc w:val="both"/>
            </w:pPr>
            <w:r>
              <w:rPr>
                <w:rFonts w:ascii="仿宋_GB2312" w:hAnsi="仿宋_GB2312" w:cs="仿宋_GB2312" w:eastAsia="仿宋_GB2312"/>
                <w:sz w:val="24"/>
              </w:rPr>
              <w:t>关联分析：（</w:t>
            </w:r>
            <w:r>
              <w:rPr>
                <w:rFonts w:ascii="仿宋_GB2312" w:hAnsi="仿宋_GB2312" w:cs="仿宋_GB2312" w:eastAsia="仿宋_GB2312"/>
                <w:sz w:val="24"/>
              </w:rPr>
              <w:t>1）组方分析：用药模式、规则分析、网络展示；（2）类方分析：相似方剂、方剂匹配。</w:t>
            </w:r>
          </w:p>
          <w:p>
            <w:pPr>
              <w:pStyle w:val="null3"/>
              <w:jc w:val="both"/>
            </w:pPr>
            <w:r>
              <w:rPr>
                <w:rFonts w:ascii="仿宋_GB2312" w:hAnsi="仿宋_GB2312" w:cs="仿宋_GB2312" w:eastAsia="仿宋_GB2312"/>
                <w:sz w:val="24"/>
                <w:b/>
                <w:color w:val="000000"/>
              </w:rPr>
              <w:t>1.1.3.4临床指南</w:t>
            </w:r>
          </w:p>
          <w:p>
            <w:pPr>
              <w:pStyle w:val="null3"/>
              <w:ind w:firstLine="480"/>
              <w:jc w:val="both"/>
            </w:pPr>
            <w:r>
              <w:rPr>
                <w:rFonts w:ascii="仿宋_GB2312" w:hAnsi="仿宋_GB2312" w:cs="仿宋_GB2312" w:eastAsia="仿宋_GB2312"/>
                <w:sz w:val="24"/>
              </w:rPr>
              <w:t>提供对病证的解读，如临床症状、诊断、证型，治则治法等。</w:t>
            </w:r>
          </w:p>
          <w:p>
            <w:pPr>
              <w:pStyle w:val="null3"/>
              <w:ind w:firstLine="480"/>
              <w:jc w:val="both"/>
            </w:pPr>
            <w:r>
              <w:rPr>
                <w:rFonts w:ascii="仿宋_GB2312" w:hAnsi="仿宋_GB2312" w:cs="仿宋_GB2312" w:eastAsia="仿宋_GB2312"/>
                <w:sz w:val="24"/>
              </w:rPr>
              <w:t>1.临床指南录入：提供专业的编辑界面，支持管理员录入病证解读信息，包括临床症状、诊断标准、常见证型、治则治法等内容。</w:t>
            </w:r>
          </w:p>
          <w:p>
            <w:pPr>
              <w:pStyle w:val="null3"/>
              <w:ind w:firstLine="480"/>
              <w:jc w:val="both"/>
            </w:pPr>
            <w:r>
              <w:rPr>
                <w:rFonts w:ascii="仿宋_GB2312" w:hAnsi="仿宋_GB2312" w:cs="仿宋_GB2312" w:eastAsia="仿宋_GB2312"/>
                <w:sz w:val="24"/>
              </w:rPr>
              <w:t>2.临床指南修改：管理员可对录入的临床指南进行修改，包括临床症状、诊断标准、常见证型、治则治法等内容。</w:t>
            </w:r>
          </w:p>
          <w:p>
            <w:pPr>
              <w:pStyle w:val="null3"/>
              <w:ind w:firstLine="480"/>
              <w:jc w:val="both"/>
            </w:pPr>
            <w:r>
              <w:rPr>
                <w:rFonts w:ascii="仿宋_GB2312" w:hAnsi="仿宋_GB2312" w:cs="仿宋_GB2312" w:eastAsia="仿宋_GB2312"/>
                <w:sz w:val="24"/>
              </w:rPr>
              <w:t>3.检索查询：提供检索功能，用户通过关键词进行搜索，快速找到相关病证解读。</w:t>
            </w:r>
          </w:p>
          <w:p>
            <w:pPr>
              <w:pStyle w:val="null3"/>
              <w:jc w:val="both"/>
            </w:pPr>
            <w:r>
              <w:rPr>
                <w:rFonts w:ascii="仿宋_GB2312" w:hAnsi="仿宋_GB2312" w:cs="仿宋_GB2312" w:eastAsia="仿宋_GB2312"/>
                <w:sz w:val="24"/>
                <w:b/>
                <w:color w:val="000000"/>
              </w:rPr>
              <w:t>1.1.3.5经典中成药、方剂查询</w:t>
            </w:r>
          </w:p>
          <w:p>
            <w:pPr>
              <w:pStyle w:val="null3"/>
              <w:ind w:firstLine="480"/>
              <w:jc w:val="both"/>
            </w:pPr>
            <w:r>
              <w:rPr>
                <w:rFonts w:ascii="仿宋_GB2312" w:hAnsi="仿宋_GB2312" w:cs="仿宋_GB2312" w:eastAsia="仿宋_GB2312"/>
                <w:sz w:val="24"/>
              </w:rPr>
              <w:t>提供查询了解古今方剂、中成药的用法用量、功能主治、药物不良反应等知识。</w:t>
            </w:r>
          </w:p>
          <w:p>
            <w:pPr>
              <w:pStyle w:val="null3"/>
              <w:ind w:firstLine="480"/>
              <w:jc w:val="both"/>
            </w:pPr>
            <w:r>
              <w:rPr>
                <w:rFonts w:ascii="仿宋_GB2312" w:hAnsi="仿宋_GB2312" w:cs="仿宋_GB2312" w:eastAsia="仿宋_GB2312"/>
                <w:sz w:val="24"/>
              </w:rPr>
              <w:t>1.经典中成药、方剂录入：提供专业的编辑界面，支持管理员录入经典中成药、方剂信息，包括用法用量、功能主治、药物不良反应等内容。</w:t>
            </w:r>
          </w:p>
          <w:p>
            <w:pPr>
              <w:pStyle w:val="null3"/>
              <w:ind w:firstLine="480"/>
              <w:jc w:val="both"/>
            </w:pPr>
            <w:r>
              <w:rPr>
                <w:rFonts w:ascii="仿宋_GB2312" w:hAnsi="仿宋_GB2312" w:cs="仿宋_GB2312" w:eastAsia="仿宋_GB2312"/>
                <w:sz w:val="24"/>
              </w:rPr>
              <w:t>2.经典中成药、方剂修改：管理员可对录入的经典中成药、方剂进行修改，包括用法用量、功能主治、药物不良反应等内容。</w:t>
            </w:r>
          </w:p>
          <w:p>
            <w:pPr>
              <w:pStyle w:val="null3"/>
              <w:ind w:firstLine="480"/>
              <w:jc w:val="both"/>
            </w:pPr>
            <w:r>
              <w:rPr>
                <w:rFonts w:ascii="仿宋_GB2312" w:hAnsi="仿宋_GB2312" w:cs="仿宋_GB2312" w:eastAsia="仿宋_GB2312"/>
                <w:sz w:val="24"/>
              </w:rPr>
              <w:t>3.检索查询：提供检索功能，用户通过关键词进行搜索，快速找到相关经典中成药、方剂。</w:t>
            </w:r>
          </w:p>
          <w:p>
            <w:pPr>
              <w:pStyle w:val="null3"/>
              <w:jc w:val="both"/>
            </w:pPr>
            <w:r>
              <w:rPr>
                <w:rFonts w:ascii="仿宋_GB2312" w:hAnsi="仿宋_GB2312" w:cs="仿宋_GB2312" w:eastAsia="仿宋_GB2312"/>
                <w:sz w:val="24"/>
                <w:b/>
                <w:color w:val="000000"/>
              </w:rPr>
              <w:t>1.1.3.6查询检索</w:t>
            </w:r>
          </w:p>
          <w:p>
            <w:pPr>
              <w:pStyle w:val="null3"/>
              <w:ind w:firstLine="480"/>
              <w:jc w:val="both"/>
            </w:pPr>
            <w:r>
              <w:rPr>
                <w:rFonts w:ascii="仿宋_GB2312" w:hAnsi="仿宋_GB2312" w:cs="仿宋_GB2312" w:eastAsia="仿宋_GB2312"/>
                <w:sz w:val="24"/>
              </w:rPr>
              <w:t>提供经典名医医案和期刊文献查询检索。</w:t>
            </w:r>
          </w:p>
          <w:p>
            <w:pPr>
              <w:pStyle w:val="null3"/>
              <w:ind w:firstLine="480"/>
              <w:jc w:val="both"/>
            </w:pPr>
            <w:r>
              <w:rPr>
                <w:rFonts w:ascii="仿宋_GB2312" w:hAnsi="仿宋_GB2312" w:cs="仿宋_GB2312" w:eastAsia="仿宋_GB2312"/>
                <w:sz w:val="24"/>
              </w:rPr>
              <w:t>1.经典名医医案和期刊文献录入：提供专业的编辑界面，支持管理员录入经典名医医案和期刊文献信息。</w:t>
            </w:r>
          </w:p>
          <w:p>
            <w:pPr>
              <w:pStyle w:val="null3"/>
              <w:ind w:firstLine="480"/>
              <w:jc w:val="both"/>
            </w:pPr>
            <w:r>
              <w:rPr>
                <w:rFonts w:ascii="仿宋_GB2312" w:hAnsi="仿宋_GB2312" w:cs="仿宋_GB2312" w:eastAsia="仿宋_GB2312"/>
                <w:sz w:val="24"/>
              </w:rPr>
              <w:t>2.经典名医医案和期刊文献修改：管理员可对录入的经典名医医案和期刊文献进行修改。</w:t>
            </w:r>
          </w:p>
          <w:p>
            <w:pPr>
              <w:pStyle w:val="null3"/>
              <w:ind w:firstLine="480"/>
              <w:jc w:val="both"/>
            </w:pPr>
            <w:r>
              <w:rPr>
                <w:rFonts w:ascii="仿宋_GB2312" w:hAnsi="仿宋_GB2312" w:cs="仿宋_GB2312" w:eastAsia="仿宋_GB2312"/>
                <w:sz w:val="24"/>
              </w:rPr>
              <w:t>3.检索查询：提供检索功能，用户通过关键词进行搜索，快速找到相关经典名医医案和期刊文献。</w:t>
            </w:r>
          </w:p>
          <w:p>
            <w:pPr>
              <w:pStyle w:val="null3"/>
              <w:spacing w:before="105" w:after="105"/>
              <w:jc w:val="both"/>
              <w:outlineLvl w:val="3"/>
            </w:pPr>
            <w:r>
              <w:rPr>
                <w:rFonts w:ascii="仿宋_GB2312" w:hAnsi="仿宋_GB2312" w:cs="仿宋_GB2312" w:eastAsia="仿宋_GB2312"/>
                <w:sz w:val="28"/>
                <w:b/>
                <w:color w:val="000000"/>
              </w:rPr>
              <w:t>1.1.4</w:t>
            </w:r>
            <w:r>
              <w:rPr>
                <w:rFonts w:ascii="仿宋_GB2312" w:hAnsi="仿宋_GB2312" w:cs="仿宋_GB2312" w:eastAsia="仿宋_GB2312"/>
                <w:sz w:val="28"/>
                <w:b/>
                <w:color w:val="000000"/>
              </w:rPr>
              <w:t>名老中医学术研究</w:t>
            </w:r>
          </w:p>
          <w:p>
            <w:pPr>
              <w:pStyle w:val="null3"/>
              <w:jc w:val="both"/>
            </w:pPr>
            <w:r>
              <w:rPr>
                <w:rFonts w:ascii="仿宋_GB2312" w:hAnsi="仿宋_GB2312" w:cs="仿宋_GB2312" w:eastAsia="仿宋_GB2312"/>
                <w:sz w:val="24"/>
                <w:b/>
                <w:color w:val="000000"/>
              </w:rPr>
              <w:t>1.1.4.1学术流派数据库建立</w:t>
            </w:r>
          </w:p>
          <w:p>
            <w:pPr>
              <w:pStyle w:val="null3"/>
              <w:ind w:firstLine="480"/>
              <w:jc w:val="both"/>
            </w:pPr>
            <w:r>
              <w:rPr>
                <w:rFonts w:ascii="仿宋_GB2312" w:hAnsi="仿宋_GB2312" w:cs="仿宋_GB2312" w:eastAsia="仿宋_GB2312"/>
                <w:sz w:val="24"/>
              </w:rPr>
              <w:t>按如学术思想、特色技法、优势病种、特色方药等要素建立中医学术流派数据库。</w:t>
            </w:r>
          </w:p>
          <w:p>
            <w:pPr>
              <w:pStyle w:val="null3"/>
              <w:ind w:firstLine="480"/>
              <w:jc w:val="both"/>
            </w:pPr>
            <w:r>
              <w:rPr>
                <w:rFonts w:ascii="仿宋_GB2312" w:hAnsi="仿宋_GB2312" w:cs="仿宋_GB2312" w:eastAsia="仿宋_GB2312"/>
                <w:sz w:val="24"/>
              </w:rPr>
              <w:t>1.数据录入：提供专门的录入页面，针对学术思想、特色技法、优势病种、特色方药等要素，设置独立的录入板块。</w:t>
            </w:r>
          </w:p>
          <w:p>
            <w:pPr>
              <w:pStyle w:val="null3"/>
              <w:ind w:firstLine="480"/>
              <w:jc w:val="both"/>
            </w:pPr>
            <w:r>
              <w:rPr>
                <w:rFonts w:ascii="仿宋_GB2312" w:hAnsi="仿宋_GB2312" w:cs="仿宋_GB2312" w:eastAsia="仿宋_GB2312"/>
                <w:sz w:val="24"/>
              </w:rPr>
              <w:t>2.数据库管理：按照学术流派名称、地域、形成年代等维度对数据进行分类存储。</w:t>
            </w:r>
          </w:p>
          <w:p>
            <w:pPr>
              <w:pStyle w:val="null3"/>
              <w:ind w:firstLine="480"/>
              <w:jc w:val="both"/>
            </w:pPr>
            <w:r>
              <w:rPr>
                <w:rFonts w:ascii="仿宋_GB2312" w:hAnsi="仿宋_GB2312" w:cs="仿宋_GB2312" w:eastAsia="仿宋_GB2312"/>
                <w:sz w:val="24"/>
              </w:rPr>
              <w:t>3.数据展示：以专题页面形式展示每个学术流派，整合学术思想、特色技法、优势病种、特色方药等内容。</w:t>
            </w:r>
          </w:p>
          <w:p>
            <w:pPr>
              <w:pStyle w:val="null3"/>
              <w:jc w:val="both"/>
            </w:pPr>
            <w:r>
              <w:rPr>
                <w:rFonts w:ascii="仿宋_GB2312" w:hAnsi="仿宋_GB2312" w:cs="仿宋_GB2312" w:eastAsia="仿宋_GB2312"/>
                <w:sz w:val="24"/>
                <w:b/>
                <w:color w:val="000000"/>
              </w:rPr>
              <w:t>1.1.4.2方剂筛选</w:t>
            </w:r>
          </w:p>
          <w:p>
            <w:pPr>
              <w:pStyle w:val="null3"/>
              <w:ind w:firstLine="480"/>
              <w:jc w:val="both"/>
            </w:pPr>
            <w:r>
              <w:rPr>
                <w:rFonts w:ascii="仿宋_GB2312" w:hAnsi="仿宋_GB2312" w:cs="仿宋_GB2312" w:eastAsia="仿宋_GB2312"/>
                <w:sz w:val="24"/>
              </w:rPr>
              <w:t>支持分析名老中医用药习惯；支持筛选有效方剂。</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4"/>
              </w:rPr>
              <w:t>1.名老中医用药习惯分析：运用数据分析算法，对名老中医用药数据进行处理，分析用药模式、规则等；统计不同病症下名老中医的用药偏好。</w:t>
            </w:r>
          </w:p>
          <w:p>
            <w:pPr>
              <w:pStyle w:val="null3"/>
              <w:ind w:firstLine="480"/>
              <w:jc w:val="both"/>
            </w:pPr>
            <w:r>
              <w:rPr>
                <w:rFonts w:ascii="仿宋_GB2312" w:hAnsi="仿宋_GB2312" w:cs="仿宋_GB2312" w:eastAsia="仿宋_GB2312"/>
                <w:sz w:val="24"/>
              </w:rPr>
              <w:t>2.有效方剂筛选：</w:t>
            </w:r>
            <w:r>
              <w:rPr>
                <w:rFonts w:ascii="仿宋_GB2312" w:hAnsi="仿宋_GB2312" w:cs="仿宋_GB2312" w:eastAsia="仿宋_GB2312"/>
                <w:sz w:val="24"/>
              </w:rPr>
              <w:t>系统自动流派老中医</w:t>
            </w:r>
            <w:r>
              <w:rPr>
                <w:rFonts w:ascii="仿宋_GB2312" w:hAnsi="仿宋_GB2312" w:cs="仿宋_GB2312" w:eastAsia="仿宋_GB2312"/>
                <w:sz w:val="24"/>
              </w:rPr>
              <w:t>AI计算，对方剂的有效应用进行筛选。</w:t>
            </w:r>
          </w:p>
          <w:p>
            <w:pPr>
              <w:pStyle w:val="null3"/>
              <w:spacing w:before="105" w:after="105"/>
              <w:jc w:val="both"/>
              <w:outlineLvl w:val="3"/>
            </w:pPr>
            <w:r>
              <w:rPr>
                <w:rFonts w:ascii="仿宋_GB2312" w:hAnsi="仿宋_GB2312" w:cs="仿宋_GB2312" w:eastAsia="仿宋_GB2312"/>
                <w:sz w:val="28"/>
                <w:b/>
                <w:color w:val="000000"/>
              </w:rPr>
              <w:t xml:space="preserve">1.1.5 </w:t>
            </w:r>
            <w:r>
              <w:rPr>
                <w:rFonts w:ascii="仿宋_GB2312" w:hAnsi="仿宋_GB2312" w:cs="仿宋_GB2312" w:eastAsia="仿宋_GB2312"/>
                <w:sz w:val="28"/>
                <w:b/>
                <w:color w:val="000000"/>
              </w:rPr>
              <w:t>HIS系统接口</w:t>
            </w:r>
          </w:p>
          <w:p>
            <w:pPr>
              <w:pStyle w:val="null3"/>
              <w:ind w:firstLine="480"/>
              <w:jc w:val="both"/>
            </w:pPr>
            <w:r>
              <w:rPr>
                <w:rFonts w:ascii="仿宋_GB2312" w:hAnsi="仿宋_GB2312" w:cs="仿宋_GB2312" w:eastAsia="仿宋_GB2312"/>
                <w:sz w:val="24"/>
              </w:rPr>
              <w:t>HIS系统与中医智慧传承信息平台对接。</w:t>
            </w:r>
          </w:p>
          <w:p>
            <w:pPr>
              <w:pStyle w:val="null3"/>
              <w:jc w:val="both"/>
              <w:outlineLvl w:val="2"/>
            </w:pPr>
            <w:r>
              <w:rPr>
                <w:rFonts w:ascii="仿宋_GB2312" w:hAnsi="仿宋_GB2312" w:cs="仿宋_GB2312" w:eastAsia="仿宋_GB2312"/>
                <w:sz w:val="28"/>
                <w:b/>
                <w:color w:val="000000"/>
              </w:rPr>
              <w:t>1.2中医四诊仪</w:t>
            </w:r>
          </w:p>
          <w:p>
            <w:pPr>
              <w:pStyle w:val="null3"/>
              <w:spacing w:before="105" w:after="105"/>
              <w:jc w:val="both"/>
              <w:outlineLvl w:val="3"/>
            </w:pPr>
            <w:r>
              <w:rPr>
                <w:rFonts w:ascii="仿宋_GB2312" w:hAnsi="仿宋_GB2312" w:cs="仿宋_GB2312" w:eastAsia="仿宋_GB2312"/>
                <w:sz w:val="28"/>
                <w:b/>
                <w:color w:val="000000"/>
              </w:rPr>
              <w:t>1.2.1诊前患者信息收集与初步评估</w:t>
            </w:r>
          </w:p>
          <w:p>
            <w:pPr>
              <w:pStyle w:val="null3"/>
              <w:ind w:firstLine="480"/>
              <w:jc w:val="both"/>
            </w:pPr>
            <w:r>
              <w:rPr>
                <w:rFonts w:ascii="仿宋_GB2312" w:hAnsi="仿宋_GB2312" w:cs="仿宋_GB2312" w:eastAsia="仿宋_GB2312"/>
                <w:sz w:val="24"/>
              </w:rPr>
              <w:t>一、患者基本信息收集</w:t>
            </w:r>
          </w:p>
          <w:p>
            <w:pPr>
              <w:pStyle w:val="null3"/>
              <w:ind w:firstLine="480"/>
              <w:jc w:val="both"/>
            </w:pPr>
            <w:r>
              <w:rPr>
                <w:rFonts w:ascii="仿宋_GB2312" w:hAnsi="仿宋_GB2312" w:cs="仿宋_GB2312" w:eastAsia="仿宋_GB2312"/>
                <w:sz w:val="24"/>
              </w:rPr>
              <w:t>收集就诊人基本信息：性别、年龄、既往病史、家族史、用药史、症状自述。</w:t>
            </w:r>
          </w:p>
          <w:p>
            <w:pPr>
              <w:pStyle w:val="null3"/>
              <w:ind w:firstLine="480"/>
              <w:jc w:val="both"/>
            </w:pPr>
            <w:r>
              <w:rPr>
                <w:rFonts w:ascii="仿宋_GB2312" w:hAnsi="仿宋_GB2312" w:cs="仿宋_GB2312" w:eastAsia="仿宋_GB2312"/>
                <w:sz w:val="24"/>
              </w:rPr>
              <w:t>支持微信扫码一键登录；</w:t>
            </w:r>
          </w:p>
          <w:p>
            <w:pPr>
              <w:pStyle w:val="null3"/>
              <w:ind w:firstLine="480"/>
              <w:jc w:val="both"/>
            </w:pPr>
            <w:r>
              <w:rPr>
                <w:rFonts w:ascii="仿宋_GB2312" w:hAnsi="仿宋_GB2312" w:cs="仿宋_GB2312" w:eastAsia="仿宋_GB2312"/>
                <w:sz w:val="24"/>
              </w:rPr>
              <w:t>二、智能诊疗</w:t>
            </w:r>
          </w:p>
          <w:p>
            <w:pPr>
              <w:pStyle w:val="null3"/>
              <w:ind w:firstLine="480"/>
              <w:jc w:val="both"/>
            </w:pPr>
            <w:r>
              <w:rPr>
                <w:rFonts w:ascii="仿宋_GB2312" w:hAnsi="仿宋_GB2312" w:cs="仿宋_GB2312" w:eastAsia="仿宋_GB2312"/>
                <w:sz w:val="24"/>
              </w:rPr>
              <w:t>通过患者自诉内容，利用</w:t>
            </w:r>
            <w:r>
              <w:rPr>
                <w:rFonts w:ascii="仿宋_GB2312" w:hAnsi="仿宋_GB2312" w:cs="仿宋_GB2312" w:eastAsia="仿宋_GB2312"/>
                <w:sz w:val="24"/>
              </w:rPr>
              <w:t>NLP语言分词技术进行患者症状分析，在问诊中采取舌面诊、脉诊</w:t>
            </w:r>
            <w:r>
              <w:rPr>
                <w:rFonts w:ascii="仿宋_GB2312" w:hAnsi="仿宋_GB2312" w:cs="仿宋_GB2312" w:eastAsia="仿宋_GB2312"/>
                <w:sz w:val="24"/>
              </w:rPr>
              <w:t>，报告解读、声音检测</w:t>
            </w:r>
            <w:r>
              <w:rPr>
                <w:rFonts w:ascii="仿宋_GB2312" w:hAnsi="仿宋_GB2312" w:cs="仿宋_GB2312" w:eastAsia="仿宋_GB2312"/>
                <w:sz w:val="24"/>
              </w:rPr>
              <w:t>等方式，精准判别</w:t>
            </w:r>
            <w:r>
              <w:rPr>
                <w:rFonts w:ascii="仿宋_GB2312" w:hAnsi="仿宋_GB2312" w:cs="仿宋_GB2312" w:eastAsia="仿宋_GB2312"/>
                <w:sz w:val="24"/>
              </w:rPr>
              <w:t>多种</w:t>
            </w:r>
            <w:r>
              <w:rPr>
                <w:rFonts w:ascii="仿宋_GB2312" w:hAnsi="仿宋_GB2312" w:cs="仿宋_GB2312" w:eastAsia="仿宋_GB2312"/>
                <w:sz w:val="24"/>
              </w:rPr>
              <w:t>疾病。</w:t>
            </w:r>
          </w:p>
          <w:p>
            <w:pPr>
              <w:pStyle w:val="null3"/>
              <w:ind w:firstLine="480"/>
              <w:jc w:val="both"/>
            </w:pPr>
            <w:r>
              <w:rPr>
                <w:rFonts w:ascii="仿宋_GB2312" w:hAnsi="仿宋_GB2312" w:cs="仿宋_GB2312" w:eastAsia="仿宋_GB2312"/>
                <w:sz w:val="24"/>
              </w:rPr>
              <w:t>舌象采集仪可识别舌苔裂纹</w:t>
            </w:r>
            <w:r>
              <w:rPr>
                <w:rFonts w:ascii="仿宋_GB2312" w:hAnsi="仿宋_GB2312" w:cs="仿宋_GB2312" w:eastAsia="仿宋_GB2312"/>
                <w:sz w:val="24"/>
              </w:rPr>
              <w:t>、舌体、苔色、舌色</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面色分析采用中医五色分区算法；</w:t>
            </w:r>
          </w:p>
          <w:p>
            <w:pPr>
              <w:pStyle w:val="null3"/>
              <w:ind w:firstLine="480"/>
              <w:jc w:val="both"/>
            </w:pPr>
            <w:r>
              <w:rPr>
                <w:rFonts w:ascii="仿宋_GB2312" w:hAnsi="仿宋_GB2312" w:cs="仿宋_GB2312" w:eastAsia="仿宋_GB2312"/>
                <w:sz w:val="24"/>
              </w:rPr>
              <w:t>数字脉诊仪实现脉象分类；</w:t>
            </w:r>
          </w:p>
          <w:p>
            <w:pPr>
              <w:pStyle w:val="null3"/>
              <w:ind w:firstLine="480"/>
              <w:jc w:val="both"/>
            </w:pPr>
            <w:r>
              <w:rPr>
                <w:rFonts w:ascii="仿宋_GB2312" w:hAnsi="仿宋_GB2312" w:cs="仿宋_GB2312" w:eastAsia="仿宋_GB2312"/>
                <w:sz w:val="24"/>
              </w:rPr>
              <w:t>心音监测模块配置降噪麦克风阵列，可捕捉</w:t>
            </w:r>
            <w:r>
              <w:rPr>
                <w:rFonts w:ascii="仿宋_GB2312" w:hAnsi="仿宋_GB2312" w:cs="仿宋_GB2312" w:eastAsia="仿宋_GB2312"/>
                <w:sz w:val="24"/>
              </w:rPr>
              <w:t>S3/S4心音特征。</w:t>
            </w:r>
          </w:p>
          <w:p>
            <w:pPr>
              <w:pStyle w:val="null3"/>
              <w:spacing w:before="105" w:after="105"/>
              <w:jc w:val="both"/>
              <w:outlineLvl w:val="3"/>
            </w:pPr>
            <w:r>
              <w:rPr>
                <w:rFonts w:ascii="仿宋_GB2312" w:hAnsi="仿宋_GB2312" w:cs="仿宋_GB2312" w:eastAsia="仿宋_GB2312"/>
                <w:sz w:val="28"/>
                <w:b/>
                <w:color w:val="000000"/>
              </w:rPr>
              <w:t>1.2.2诊中AI辅助诊疗过程</w:t>
            </w:r>
          </w:p>
          <w:p>
            <w:pPr>
              <w:pStyle w:val="null3"/>
              <w:ind w:firstLine="480"/>
              <w:jc w:val="both"/>
            </w:pPr>
            <w:r>
              <w:rPr>
                <w:rFonts w:ascii="仿宋_GB2312" w:hAnsi="仿宋_GB2312" w:cs="仿宋_GB2312" w:eastAsia="仿宋_GB2312"/>
                <w:sz w:val="24"/>
              </w:rPr>
              <w:t>一、患者信息全景展示</w:t>
            </w:r>
          </w:p>
          <w:p>
            <w:pPr>
              <w:pStyle w:val="null3"/>
              <w:ind w:firstLine="480"/>
              <w:jc w:val="both"/>
            </w:pPr>
            <w:r>
              <w:rPr>
                <w:rFonts w:ascii="仿宋_GB2312" w:hAnsi="仿宋_GB2312" w:cs="仿宋_GB2312" w:eastAsia="仿宋_GB2312"/>
                <w:sz w:val="24"/>
              </w:rPr>
              <w:t>通过四诊数据看板中的舌象特征标注（齿痕</w:t>
            </w:r>
            <w:r>
              <w:rPr>
                <w:rFonts w:ascii="仿宋_GB2312" w:hAnsi="仿宋_GB2312" w:cs="仿宋_GB2312" w:eastAsia="仿宋_GB2312"/>
                <w:sz w:val="24"/>
              </w:rPr>
              <w:t>/裂纹）、面象特征参数、脉象波形图等全方位展示患者病灶信息。</w:t>
            </w:r>
          </w:p>
          <w:p>
            <w:pPr>
              <w:pStyle w:val="null3"/>
              <w:ind w:firstLine="480"/>
              <w:jc w:val="both"/>
            </w:pPr>
            <w:r>
              <w:rPr>
                <w:rFonts w:ascii="仿宋_GB2312" w:hAnsi="仿宋_GB2312" w:cs="仿宋_GB2312" w:eastAsia="仿宋_GB2312"/>
                <w:sz w:val="24"/>
              </w:rPr>
              <w:t>整合古籍方剂数据库；</w:t>
            </w:r>
          </w:p>
          <w:p>
            <w:pPr>
              <w:pStyle w:val="null3"/>
              <w:ind w:firstLine="480"/>
              <w:jc w:val="both"/>
            </w:pPr>
            <w:r>
              <w:rPr>
                <w:rFonts w:ascii="仿宋_GB2312" w:hAnsi="仿宋_GB2312" w:cs="仿宋_GB2312" w:eastAsia="仿宋_GB2312"/>
                <w:sz w:val="24"/>
              </w:rPr>
              <w:t>可生成体质证型图；</w:t>
            </w:r>
          </w:p>
          <w:p>
            <w:pPr>
              <w:pStyle w:val="null3"/>
              <w:ind w:firstLine="480"/>
              <w:jc w:val="both"/>
            </w:pPr>
            <w:r>
              <w:rPr>
                <w:rFonts w:ascii="仿宋_GB2312" w:hAnsi="仿宋_GB2312" w:cs="仿宋_GB2312" w:eastAsia="仿宋_GB2312"/>
                <w:sz w:val="24"/>
              </w:rPr>
              <w:t>二、治疗方案推荐</w:t>
            </w:r>
          </w:p>
          <w:p>
            <w:pPr>
              <w:pStyle w:val="null3"/>
              <w:ind w:firstLine="480"/>
              <w:jc w:val="both"/>
            </w:pPr>
            <w:r>
              <w:rPr>
                <w:rFonts w:ascii="仿宋_GB2312" w:hAnsi="仿宋_GB2312" w:cs="仿宋_GB2312" w:eastAsia="仿宋_GB2312"/>
                <w:sz w:val="24"/>
              </w:rPr>
              <w:t>经典方剂优化引擎，可根据不同体质推荐不同治疗方剂，根据配伍禁忌自动规避禁忌方剂，推荐药食同源产品、食疗方案；同时推荐运动方法、食疗方法、外调法等非药物疗法内容，采用文字方式推荐。</w:t>
            </w:r>
          </w:p>
          <w:p>
            <w:pPr>
              <w:pStyle w:val="null3"/>
              <w:ind w:firstLine="480"/>
              <w:jc w:val="both"/>
            </w:pPr>
            <w:r>
              <w:rPr>
                <w:rFonts w:ascii="仿宋_GB2312" w:hAnsi="仿宋_GB2312" w:cs="仿宋_GB2312" w:eastAsia="仿宋_GB2312"/>
                <w:sz w:val="24"/>
              </w:rPr>
              <w:t>结合患者体质与节气变化，智能生成个性化食谱。</w:t>
            </w:r>
          </w:p>
          <w:p>
            <w:pPr>
              <w:pStyle w:val="null3"/>
              <w:spacing w:before="105" w:after="105"/>
              <w:jc w:val="both"/>
              <w:outlineLvl w:val="3"/>
            </w:pPr>
            <w:r>
              <w:rPr>
                <w:rFonts w:ascii="仿宋_GB2312" w:hAnsi="仿宋_GB2312" w:cs="仿宋_GB2312" w:eastAsia="仿宋_GB2312"/>
                <w:sz w:val="28"/>
                <w:b/>
                <w:color w:val="000000"/>
              </w:rPr>
              <w:t>1.2.3诊后治疗跟踪与调整</w:t>
            </w:r>
          </w:p>
          <w:p>
            <w:pPr>
              <w:pStyle w:val="null3"/>
              <w:ind w:firstLine="480"/>
              <w:jc w:val="both"/>
            </w:pPr>
            <w:r>
              <w:rPr>
                <w:rFonts w:ascii="仿宋_GB2312" w:hAnsi="仿宋_GB2312" w:cs="仿宋_GB2312" w:eastAsia="仿宋_GB2312"/>
                <w:sz w:val="24"/>
              </w:rPr>
              <w:t>一、治疗反馈追踪</w:t>
            </w:r>
          </w:p>
          <w:p>
            <w:pPr>
              <w:pStyle w:val="null3"/>
              <w:ind w:firstLine="480"/>
              <w:jc w:val="both"/>
            </w:pPr>
            <w:r>
              <w:rPr>
                <w:rFonts w:ascii="仿宋_GB2312" w:hAnsi="仿宋_GB2312" w:cs="仿宋_GB2312" w:eastAsia="仿宋_GB2312"/>
                <w:sz w:val="24"/>
              </w:rPr>
              <w:t>根据语音描述、面部情绪、体征数据联动分析，对用户调养后效果进行判断。</w:t>
            </w:r>
          </w:p>
          <w:p>
            <w:pPr>
              <w:pStyle w:val="null3"/>
              <w:ind w:firstLine="480"/>
              <w:jc w:val="both"/>
            </w:pPr>
            <w:r>
              <w:rPr>
                <w:rFonts w:ascii="仿宋_GB2312" w:hAnsi="仿宋_GB2312" w:cs="仿宋_GB2312" w:eastAsia="仿宋_GB2312"/>
                <w:sz w:val="24"/>
              </w:rPr>
              <w:t>二、方案动态调整</w:t>
            </w:r>
          </w:p>
          <w:p>
            <w:pPr>
              <w:pStyle w:val="null3"/>
              <w:ind w:firstLine="480"/>
              <w:jc w:val="both"/>
            </w:pPr>
            <w:r>
              <w:rPr>
                <w:rFonts w:ascii="仿宋_GB2312" w:hAnsi="仿宋_GB2312" w:cs="仿宋_GB2312" w:eastAsia="仿宋_GB2312"/>
                <w:sz w:val="24"/>
              </w:rPr>
              <w:t>采用不良反应归因引擎区分药物毒性与个体不耐受信息，通过九种体质动态适配算法进行智能调方。</w:t>
            </w:r>
          </w:p>
          <w:p>
            <w:pPr>
              <w:pStyle w:val="null3"/>
              <w:ind w:firstLine="480"/>
              <w:jc w:val="both"/>
            </w:pPr>
            <w:r>
              <w:rPr>
                <w:rFonts w:ascii="仿宋_GB2312" w:hAnsi="仿宋_GB2312" w:cs="仿宋_GB2312" w:eastAsia="仿宋_GB2312"/>
                <w:sz w:val="24"/>
              </w:rPr>
              <w:t>通过对用户体检病例扫描，对肝肾代谢等关键指标进行趋势分析，提前预警异常波动。</w:t>
            </w:r>
          </w:p>
          <w:p>
            <w:pPr>
              <w:pStyle w:val="null3"/>
              <w:ind w:firstLine="480"/>
              <w:jc w:val="both"/>
            </w:pPr>
            <w:r>
              <w:rPr>
                <w:rFonts w:ascii="仿宋_GB2312" w:hAnsi="仿宋_GB2312" w:cs="仿宋_GB2312" w:eastAsia="仿宋_GB2312"/>
                <w:sz w:val="24"/>
              </w:rPr>
              <w:t>三、健康管理建议</w:t>
            </w:r>
          </w:p>
          <w:p>
            <w:pPr>
              <w:pStyle w:val="null3"/>
              <w:ind w:firstLine="480"/>
              <w:jc w:val="both"/>
            </w:pPr>
            <w:r>
              <w:rPr>
                <w:rFonts w:ascii="仿宋_GB2312" w:hAnsi="仿宋_GB2312" w:cs="仿宋_GB2312" w:eastAsia="仿宋_GB2312"/>
                <w:sz w:val="24"/>
              </w:rPr>
              <w:t>根据不同体质与当前状态生成适配食谱、药膳推荐等信息，生成每日康复运动计划。</w:t>
            </w:r>
          </w:p>
          <w:p>
            <w:pPr>
              <w:pStyle w:val="null3"/>
              <w:spacing w:before="105" w:after="105"/>
              <w:jc w:val="both"/>
              <w:outlineLvl w:val="3"/>
            </w:pPr>
            <w:r>
              <w:rPr>
                <w:rFonts w:ascii="仿宋_GB2312" w:hAnsi="仿宋_GB2312" w:cs="仿宋_GB2312" w:eastAsia="仿宋_GB2312"/>
                <w:sz w:val="28"/>
                <w:b/>
                <w:color w:val="000000"/>
              </w:rPr>
              <w:t>1.2.4中医四诊智能终端</w:t>
            </w:r>
          </w:p>
          <w:p>
            <w:pPr>
              <w:pStyle w:val="null3"/>
              <w:ind w:firstLine="480"/>
              <w:jc w:val="both"/>
            </w:pPr>
            <w:r>
              <w:rPr>
                <w:rFonts w:ascii="仿宋_GB2312" w:hAnsi="仿宋_GB2312" w:cs="仿宋_GB2312" w:eastAsia="仿宋_GB2312"/>
                <w:sz w:val="24"/>
              </w:rPr>
              <w:t>设备包含但不限于数字医疗助诊箱、舌象采集器、脉诊采集器、智能控制终端及附件组成；</w:t>
            </w:r>
          </w:p>
          <w:p>
            <w:pPr>
              <w:pStyle w:val="null3"/>
              <w:ind w:firstLine="480"/>
              <w:jc w:val="both"/>
            </w:pPr>
            <w:r>
              <w:rPr>
                <w:rFonts w:ascii="仿宋_GB2312" w:hAnsi="仿宋_GB2312" w:cs="仿宋_GB2312" w:eastAsia="仿宋_GB2312"/>
                <w:sz w:val="24"/>
              </w:rPr>
              <w:t>设备支持快速辨别出</w:t>
            </w:r>
            <w:r>
              <w:rPr>
                <w:rFonts w:ascii="仿宋_GB2312" w:hAnsi="仿宋_GB2312" w:cs="仿宋_GB2312" w:eastAsia="仿宋_GB2312"/>
                <w:sz w:val="24"/>
              </w:rPr>
              <w:t>≥</w:t>
            </w:r>
            <w:r>
              <w:rPr>
                <w:rFonts w:ascii="仿宋_GB2312" w:hAnsi="仿宋_GB2312" w:cs="仿宋_GB2312" w:eastAsia="仿宋_GB2312"/>
                <w:sz w:val="24"/>
              </w:rPr>
              <w:t>9</w:t>
            </w:r>
            <w:r>
              <w:rPr>
                <w:rFonts w:ascii="仿宋_GB2312" w:hAnsi="仿宋_GB2312" w:cs="仿宋_GB2312" w:eastAsia="仿宋_GB2312"/>
                <w:sz w:val="24"/>
              </w:rPr>
              <w:t>种基本体质辨识及其它≥</w:t>
            </w:r>
            <w:r>
              <w:rPr>
                <w:rFonts w:ascii="仿宋_GB2312" w:hAnsi="仿宋_GB2312" w:cs="仿宋_GB2312" w:eastAsia="仿宋_GB2312"/>
                <w:sz w:val="24"/>
              </w:rPr>
              <w:t>58</w:t>
            </w:r>
            <w:r>
              <w:rPr>
                <w:rFonts w:ascii="仿宋_GB2312" w:hAnsi="仿宋_GB2312" w:cs="仿宋_GB2312" w:eastAsia="仿宋_GB2312"/>
                <w:sz w:val="24"/>
              </w:rPr>
              <w:t>种复合体质；</w:t>
            </w:r>
          </w:p>
          <w:p>
            <w:pPr>
              <w:pStyle w:val="null3"/>
              <w:ind w:firstLine="480"/>
              <w:jc w:val="both"/>
            </w:pPr>
            <w:r>
              <w:rPr>
                <w:rFonts w:ascii="仿宋_GB2312" w:hAnsi="仿宋_GB2312" w:cs="仿宋_GB2312" w:eastAsia="仿宋_GB2312"/>
                <w:sz w:val="24"/>
              </w:rPr>
              <w:t>一、硬件参数</w:t>
            </w:r>
          </w:p>
          <w:p>
            <w:pPr>
              <w:pStyle w:val="null3"/>
              <w:ind w:firstLine="480"/>
              <w:jc w:val="both"/>
            </w:pPr>
            <w:r>
              <w:rPr>
                <w:rFonts w:ascii="仿宋_GB2312" w:hAnsi="仿宋_GB2312" w:cs="仿宋_GB2312" w:eastAsia="仿宋_GB2312"/>
                <w:sz w:val="24"/>
              </w:rPr>
              <w:t>（一）屏幕：</w:t>
            </w:r>
            <w:r>
              <w:rPr>
                <w:rFonts w:ascii="仿宋_GB2312" w:hAnsi="仿宋_GB2312" w:cs="仿宋_GB2312" w:eastAsia="仿宋_GB2312"/>
                <w:sz w:val="24"/>
              </w:rPr>
              <w:t>≥ 1</w:t>
            </w:r>
            <w:r>
              <w:rPr>
                <w:rFonts w:ascii="仿宋_GB2312" w:hAnsi="仿宋_GB2312" w:cs="仿宋_GB2312" w:eastAsia="仿宋_GB2312"/>
                <w:sz w:val="24"/>
              </w:rPr>
              <w:t>5</w:t>
            </w:r>
            <w:r>
              <w:rPr>
                <w:rFonts w:ascii="仿宋_GB2312" w:hAnsi="仿宋_GB2312" w:cs="仿宋_GB2312" w:eastAsia="仿宋_GB2312"/>
                <w:sz w:val="24"/>
              </w:rPr>
              <w:t>寸屏幕；通过触摸玻璃支持触摸操作。</w:t>
            </w:r>
          </w:p>
          <w:p>
            <w:pPr>
              <w:pStyle w:val="null3"/>
              <w:ind w:firstLine="480"/>
              <w:jc w:val="both"/>
            </w:pPr>
            <w:r>
              <w:rPr>
                <w:rFonts w:ascii="仿宋_GB2312" w:hAnsi="仿宋_GB2312" w:cs="仿宋_GB2312" w:eastAsia="仿宋_GB2312"/>
                <w:sz w:val="24"/>
              </w:rPr>
              <w:t>（二）主板：</w:t>
            </w:r>
          </w:p>
          <w:p>
            <w:pPr>
              <w:pStyle w:val="null3"/>
              <w:ind w:firstLine="480"/>
            </w:pPr>
            <w:r>
              <w:rPr>
                <w:rFonts w:ascii="仿宋_GB2312" w:hAnsi="仿宋_GB2312" w:cs="仿宋_GB2312" w:eastAsia="仿宋_GB2312"/>
                <w:sz w:val="24"/>
              </w:rPr>
              <w:t>硬件配置：</w:t>
            </w:r>
            <w:r>
              <w:rPr>
                <w:rFonts w:ascii="仿宋_GB2312" w:hAnsi="仿宋_GB2312" w:cs="仿宋_GB2312" w:eastAsia="仿宋_GB2312"/>
                <w:sz w:val="24"/>
              </w:rPr>
              <w:t>CPU</w:t>
            </w:r>
            <w:r>
              <w:rPr>
                <w:rFonts w:ascii="仿宋_GB2312" w:hAnsi="仿宋_GB2312" w:cs="仿宋_GB2312" w:eastAsia="仿宋_GB2312"/>
                <w:sz w:val="24"/>
              </w:rPr>
              <w:t>四核及以上；硬盘空间</w:t>
            </w:r>
            <w:r>
              <w:rPr>
                <w:rFonts w:ascii="仿宋_GB2312" w:hAnsi="仿宋_GB2312" w:cs="仿宋_GB2312" w:eastAsia="仿宋_GB2312"/>
                <w:sz w:val="24"/>
              </w:rPr>
              <w:t>8GB</w:t>
            </w:r>
            <w:r>
              <w:rPr>
                <w:rFonts w:ascii="仿宋_GB2312" w:hAnsi="仿宋_GB2312" w:cs="仿宋_GB2312" w:eastAsia="仿宋_GB2312"/>
                <w:sz w:val="24"/>
              </w:rPr>
              <w:t>及以上；内存</w:t>
            </w:r>
            <w:r>
              <w:rPr>
                <w:rFonts w:ascii="仿宋_GB2312" w:hAnsi="仿宋_GB2312" w:cs="仿宋_GB2312" w:eastAsia="仿宋_GB2312"/>
                <w:sz w:val="24"/>
              </w:rPr>
              <w:t>2G</w:t>
            </w:r>
            <w:r>
              <w:rPr>
                <w:rFonts w:ascii="仿宋_GB2312" w:hAnsi="仿宋_GB2312" w:cs="仿宋_GB2312" w:eastAsia="仿宋_GB2312"/>
                <w:sz w:val="24"/>
              </w:rPr>
              <w:t>以上；</w:t>
            </w:r>
          </w:p>
          <w:p>
            <w:pPr>
              <w:pStyle w:val="null3"/>
              <w:ind w:firstLine="480"/>
              <w:jc w:val="both"/>
            </w:pPr>
            <w:r>
              <w:rPr>
                <w:rFonts w:ascii="仿宋_GB2312" w:hAnsi="仿宋_GB2312" w:cs="仿宋_GB2312" w:eastAsia="仿宋_GB2312"/>
                <w:sz w:val="24"/>
              </w:rPr>
              <w:t>≥8核64位架构；</w:t>
            </w:r>
          </w:p>
          <w:p>
            <w:pPr>
              <w:pStyle w:val="null3"/>
              <w:ind w:firstLine="480"/>
              <w:jc w:val="both"/>
            </w:pPr>
            <w:r>
              <w:rPr>
                <w:rFonts w:ascii="仿宋_GB2312" w:hAnsi="仿宋_GB2312" w:cs="仿宋_GB2312" w:eastAsia="仿宋_GB2312"/>
                <w:sz w:val="24"/>
              </w:rPr>
              <w:t>专用</w:t>
            </w:r>
            <w:r>
              <w:rPr>
                <w:rFonts w:ascii="仿宋_GB2312" w:hAnsi="仿宋_GB2312" w:cs="仿宋_GB2312" w:eastAsia="仿宋_GB2312"/>
                <w:sz w:val="24"/>
              </w:rPr>
              <w:t>2D图形加速模块；</w:t>
            </w:r>
          </w:p>
          <w:p>
            <w:pPr>
              <w:pStyle w:val="null3"/>
              <w:ind w:firstLine="480"/>
              <w:jc w:val="both"/>
            </w:pPr>
            <w:r>
              <w:rPr>
                <w:rFonts w:ascii="仿宋_GB2312" w:hAnsi="仿宋_GB2312" w:cs="仿宋_GB2312" w:eastAsia="仿宋_GB2312"/>
                <w:sz w:val="24"/>
              </w:rPr>
              <w:t>≥6TOPs NPU，赋能各类AI场景；</w:t>
            </w:r>
          </w:p>
          <w:p>
            <w:pPr>
              <w:pStyle w:val="null3"/>
              <w:ind w:firstLine="480"/>
              <w:jc w:val="both"/>
            </w:pPr>
            <w:r>
              <w:rPr>
                <w:rFonts w:ascii="仿宋_GB2312" w:hAnsi="仿宋_GB2312" w:cs="仿宋_GB2312" w:eastAsia="仿宋_GB2312"/>
                <w:sz w:val="24"/>
              </w:rPr>
              <w:t>≥8K视频编解码, ≥8K显示输出；</w:t>
            </w:r>
          </w:p>
          <w:p>
            <w:pPr>
              <w:pStyle w:val="null3"/>
              <w:ind w:firstLine="480"/>
              <w:jc w:val="both"/>
            </w:pPr>
            <w:r>
              <w:rPr>
                <w:rFonts w:ascii="仿宋_GB2312" w:hAnsi="仿宋_GB2312" w:cs="仿宋_GB2312" w:eastAsia="仿宋_GB2312"/>
                <w:sz w:val="24"/>
              </w:rPr>
              <w:t>内置多种显示接口，支持多屏异显；</w:t>
            </w:r>
          </w:p>
          <w:p>
            <w:pPr>
              <w:pStyle w:val="null3"/>
              <w:ind w:firstLine="480"/>
              <w:jc w:val="both"/>
            </w:pPr>
            <w:r>
              <w:rPr>
                <w:rFonts w:ascii="仿宋_GB2312" w:hAnsi="仿宋_GB2312" w:cs="仿宋_GB2312" w:eastAsia="仿宋_GB2312"/>
                <w:sz w:val="24"/>
              </w:rPr>
              <w:t>超强影像处理能力，</w:t>
            </w:r>
            <w:r>
              <w:rPr>
                <w:rFonts w:ascii="仿宋_GB2312" w:hAnsi="仿宋_GB2312" w:cs="仿宋_GB2312" w:eastAsia="仿宋_GB2312"/>
                <w:sz w:val="24"/>
              </w:rPr>
              <w:t>≥48MP ISP, 支持多摄像头输入；</w:t>
            </w:r>
          </w:p>
          <w:p>
            <w:pPr>
              <w:pStyle w:val="null3"/>
              <w:ind w:firstLine="480"/>
              <w:jc w:val="both"/>
            </w:pPr>
            <w:r>
              <w:rPr>
                <w:rFonts w:ascii="仿宋_GB2312" w:hAnsi="仿宋_GB2312" w:cs="仿宋_GB2312" w:eastAsia="仿宋_GB2312"/>
                <w:sz w:val="24"/>
              </w:rPr>
              <w:t>丰富的高速接口</w:t>
            </w:r>
            <w:r>
              <w:rPr>
                <w:rFonts w:ascii="仿宋_GB2312" w:hAnsi="仿宋_GB2312" w:cs="仿宋_GB2312" w:eastAsia="仿宋_GB2312"/>
                <w:sz w:val="24"/>
              </w:rPr>
              <w:t>(PCIe, TYPE-C，SATA, 千兆以太网)，易于扩展支持更多的评估设备。</w:t>
            </w:r>
          </w:p>
          <w:p>
            <w:pPr>
              <w:pStyle w:val="null3"/>
              <w:ind w:firstLine="480"/>
              <w:jc w:val="both"/>
            </w:pPr>
            <w:r>
              <w:rPr>
                <w:rFonts w:ascii="仿宋_GB2312" w:hAnsi="仿宋_GB2312" w:cs="仿宋_GB2312" w:eastAsia="仿宋_GB2312"/>
                <w:sz w:val="24"/>
              </w:rPr>
              <w:t>（三）摄像头：</w:t>
            </w:r>
          </w:p>
          <w:p>
            <w:pPr>
              <w:pStyle w:val="null3"/>
              <w:ind w:firstLine="480"/>
              <w:jc w:val="both"/>
            </w:pPr>
            <w:r>
              <w:rPr>
                <w:rFonts w:ascii="仿宋_GB2312" w:hAnsi="仿宋_GB2312" w:cs="仿宋_GB2312" w:eastAsia="仿宋_GB2312"/>
                <w:sz w:val="24"/>
              </w:rPr>
              <w:t>≥4K超高清摄像头</w:t>
            </w:r>
          </w:p>
          <w:p>
            <w:pPr>
              <w:pStyle w:val="null3"/>
              <w:ind w:firstLine="480"/>
              <w:jc w:val="both"/>
            </w:pPr>
            <w:r>
              <w:rPr>
                <w:rFonts w:ascii="仿宋_GB2312" w:hAnsi="仿宋_GB2312" w:cs="仿宋_GB2312" w:eastAsia="仿宋_GB2312"/>
                <w:sz w:val="24"/>
              </w:rPr>
              <w:t>图像传感器</w:t>
            </w:r>
            <w:r>
              <w:rPr>
                <w:rFonts w:ascii="仿宋_GB2312" w:hAnsi="仿宋_GB2312" w:cs="仿宋_GB2312" w:eastAsia="仿宋_GB2312"/>
                <w:sz w:val="24"/>
              </w:rPr>
              <w:t>:</w:t>
            </w:r>
            <w:r>
              <w:rPr>
                <w:rFonts w:ascii="仿宋_GB2312" w:hAnsi="仿宋_GB2312" w:cs="仿宋_GB2312" w:eastAsia="仿宋_GB2312"/>
                <w:sz w:val="21"/>
              </w:rPr>
              <w:t xml:space="preserve"> </w:t>
            </w:r>
            <w:r>
              <w:rPr>
                <w:rFonts w:ascii="仿宋_GB2312" w:hAnsi="仿宋_GB2312" w:cs="仿宋_GB2312" w:eastAsia="仿宋_GB2312"/>
                <w:sz w:val="24"/>
              </w:rPr>
              <w:t>≥1/2 CMOS</w:t>
            </w:r>
          </w:p>
          <w:p>
            <w:pPr>
              <w:pStyle w:val="null3"/>
              <w:ind w:firstLine="480"/>
              <w:jc w:val="both"/>
            </w:pPr>
            <w:r>
              <w:rPr>
                <w:rFonts w:ascii="仿宋_GB2312" w:hAnsi="仿宋_GB2312" w:cs="仿宋_GB2312" w:eastAsia="仿宋_GB2312"/>
                <w:sz w:val="24"/>
              </w:rPr>
              <w:t>有效像素</w:t>
            </w:r>
            <w:r>
              <w:rPr>
                <w:rFonts w:ascii="仿宋_GB2312" w:hAnsi="仿宋_GB2312" w:cs="仿宋_GB2312" w:eastAsia="仿宋_GB2312"/>
                <w:sz w:val="24"/>
              </w:rPr>
              <w:t>: ≥4800万像素</w:t>
            </w:r>
          </w:p>
          <w:p>
            <w:pPr>
              <w:pStyle w:val="null3"/>
              <w:ind w:firstLine="480"/>
              <w:jc w:val="both"/>
            </w:pPr>
            <w:r>
              <w:rPr>
                <w:rFonts w:ascii="仿宋_GB2312" w:hAnsi="仿宋_GB2312" w:cs="仿宋_GB2312" w:eastAsia="仿宋_GB2312"/>
                <w:sz w:val="24"/>
              </w:rPr>
              <w:t>光圈</w:t>
            </w:r>
            <w:r>
              <w:rPr>
                <w:rFonts w:ascii="仿宋_GB2312" w:hAnsi="仿宋_GB2312" w:cs="仿宋_GB2312" w:eastAsia="仿宋_GB2312"/>
                <w:sz w:val="24"/>
              </w:rPr>
              <w:t>: ≥f/1.8</w:t>
            </w:r>
          </w:p>
          <w:p>
            <w:pPr>
              <w:pStyle w:val="null3"/>
              <w:ind w:firstLine="480"/>
              <w:jc w:val="both"/>
            </w:pPr>
            <w:r>
              <w:rPr>
                <w:rFonts w:ascii="仿宋_GB2312" w:hAnsi="仿宋_GB2312" w:cs="仿宋_GB2312" w:eastAsia="仿宋_GB2312"/>
                <w:sz w:val="24"/>
              </w:rPr>
              <w:t>视野</w:t>
            </w:r>
            <w:r>
              <w:rPr>
                <w:rFonts w:ascii="仿宋_GB2312" w:hAnsi="仿宋_GB2312" w:cs="仿宋_GB2312" w:eastAsia="仿宋_GB2312"/>
                <w:sz w:val="24"/>
              </w:rPr>
              <w:t>: ≥79.4°(4:3)</w:t>
            </w:r>
          </w:p>
          <w:p>
            <w:pPr>
              <w:pStyle w:val="null3"/>
              <w:ind w:firstLine="480"/>
              <w:jc w:val="both"/>
            </w:pPr>
            <w:r>
              <w:rPr>
                <w:rFonts w:ascii="仿宋_GB2312" w:hAnsi="仿宋_GB2312" w:cs="仿宋_GB2312" w:eastAsia="仿宋_GB2312"/>
                <w:sz w:val="24"/>
              </w:rPr>
              <w:t>最小对焦距离</w:t>
            </w:r>
            <w:r>
              <w:rPr>
                <w:rFonts w:ascii="仿宋_GB2312" w:hAnsi="仿宋_GB2312" w:cs="仿宋_GB2312" w:eastAsia="仿宋_GB2312"/>
                <w:sz w:val="24"/>
              </w:rPr>
              <w:t>: ≥10</w:t>
            </w:r>
            <w:r>
              <w:rPr>
                <w:rFonts w:ascii="仿宋_GB2312" w:hAnsi="仿宋_GB2312" w:cs="仿宋_GB2312" w:eastAsia="仿宋_GB2312"/>
                <w:sz w:val="21"/>
              </w:rPr>
              <w:t xml:space="preserve"> </w:t>
            </w:r>
            <w:r>
              <w:rPr>
                <w:rFonts w:ascii="仿宋_GB2312" w:hAnsi="仿宋_GB2312" w:cs="仿宋_GB2312" w:eastAsia="仿宋_GB2312"/>
                <w:sz w:val="24"/>
              </w:rPr>
              <w:t>cT</w:t>
            </w:r>
          </w:p>
          <w:p>
            <w:pPr>
              <w:pStyle w:val="null3"/>
              <w:ind w:firstLine="480"/>
              <w:jc w:val="both"/>
            </w:pPr>
            <w:r>
              <w:rPr>
                <w:rFonts w:ascii="仿宋_GB2312" w:hAnsi="仿宋_GB2312" w:cs="仿宋_GB2312" w:eastAsia="仿宋_GB2312"/>
                <w:sz w:val="24"/>
              </w:rPr>
              <w:t>数码变焦范围</w:t>
            </w:r>
            <w:r>
              <w:rPr>
                <w:rFonts w:ascii="仿宋_GB2312" w:hAnsi="仿宋_GB2312" w:cs="仿宋_GB2312" w:eastAsia="仿宋_GB2312"/>
                <w:sz w:val="24"/>
              </w:rPr>
              <w:t>: ≥1-4倍</w:t>
            </w:r>
          </w:p>
          <w:p>
            <w:pPr>
              <w:pStyle w:val="null3"/>
              <w:ind w:firstLine="480"/>
              <w:jc w:val="both"/>
            </w:pPr>
            <w:r>
              <w:rPr>
                <w:rFonts w:ascii="仿宋_GB2312" w:hAnsi="仿宋_GB2312" w:cs="仿宋_GB2312" w:eastAsia="仿宋_GB2312"/>
                <w:sz w:val="24"/>
              </w:rPr>
              <w:t>对焦方式</w:t>
            </w:r>
            <w:r>
              <w:rPr>
                <w:rFonts w:ascii="仿宋_GB2312" w:hAnsi="仿宋_GB2312" w:cs="仿宋_GB2312" w:eastAsia="仿宋_GB2312"/>
                <w:sz w:val="24"/>
              </w:rPr>
              <w:t>:AF(PDAF)MF</w:t>
            </w:r>
          </w:p>
          <w:p>
            <w:pPr>
              <w:pStyle w:val="null3"/>
              <w:ind w:firstLine="480"/>
              <w:jc w:val="both"/>
            </w:pPr>
            <w:r>
              <w:rPr>
                <w:rFonts w:ascii="仿宋_GB2312" w:hAnsi="仿宋_GB2312" w:cs="仿宋_GB2312" w:eastAsia="仿宋_GB2312"/>
                <w:sz w:val="24"/>
              </w:rPr>
              <w:t>二、专项单元要求：</w:t>
            </w:r>
          </w:p>
          <w:p>
            <w:pPr>
              <w:pStyle w:val="null3"/>
              <w:ind w:firstLine="480"/>
              <w:jc w:val="both"/>
            </w:pPr>
            <w:r>
              <w:rPr>
                <w:rFonts w:ascii="仿宋_GB2312" w:hAnsi="仿宋_GB2312" w:cs="仿宋_GB2312" w:eastAsia="仿宋_GB2312"/>
                <w:sz w:val="24"/>
              </w:rPr>
              <w:t>（一）舌像单元要求：</w:t>
            </w:r>
          </w:p>
          <w:p>
            <w:pPr>
              <w:pStyle w:val="null3"/>
              <w:ind w:firstLine="480"/>
              <w:jc w:val="both"/>
            </w:pPr>
            <w:r>
              <w:rPr>
                <w:rFonts w:ascii="仿宋_GB2312" w:hAnsi="仿宋_GB2312" w:cs="仿宋_GB2312" w:eastAsia="仿宋_GB2312"/>
                <w:sz w:val="24"/>
              </w:rPr>
              <w:t xml:space="preserve">(1) </w:t>
            </w:r>
            <w:r>
              <w:rPr>
                <w:rFonts w:ascii="仿宋_GB2312" w:hAnsi="仿宋_GB2312" w:cs="仿宋_GB2312" w:eastAsia="仿宋_GB2312"/>
                <w:sz w:val="24"/>
              </w:rPr>
              <w:t>光学要求</w:t>
            </w:r>
          </w:p>
          <w:p>
            <w:pPr>
              <w:pStyle w:val="null3"/>
              <w:ind w:firstLine="480"/>
              <w:jc w:val="both"/>
            </w:pPr>
            <w:r>
              <w:rPr>
                <w:rFonts w:ascii="仿宋_GB2312" w:hAnsi="仿宋_GB2312" w:cs="仿宋_GB2312" w:eastAsia="仿宋_GB2312"/>
                <w:sz w:val="24"/>
              </w:rPr>
              <w:t>相关色温应在</w:t>
            </w:r>
            <w:r>
              <w:rPr>
                <w:rFonts w:ascii="仿宋_GB2312" w:hAnsi="仿宋_GB2312" w:cs="仿宋_GB2312" w:eastAsia="仿宋_GB2312"/>
                <w:sz w:val="24"/>
              </w:rPr>
              <w:t>4500K</w:t>
            </w:r>
            <w:r>
              <w:rPr>
                <w:rFonts w:ascii="仿宋_GB2312" w:hAnsi="仿宋_GB2312" w:cs="仿宋_GB2312" w:eastAsia="仿宋_GB2312"/>
                <w:sz w:val="24"/>
              </w:rPr>
              <w:t>～</w:t>
            </w:r>
            <w:r>
              <w:rPr>
                <w:rFonts w:ascii="仿宋_GB2312" w:hAnsi="仿宋_GB2312" w:cs="仿宋_GB2312" w:eastAsia="仿宋_GB2312"/>
                <w:sz w:val="24"/>
              </w:rPr>
              <w:t>7000K</w:t>
            </w:r>
            <w:r>
              <w:rPr>
                <w:rFonts w:ascii="仿宋_GB2312" w:hAnsi="仿宋_GB2312" w:cs="仿宋_GB2312" w:eastAsia="仿宋_GB2312"/>
                <w:sz w:val="24"/>
              </w:rPr>
              <w:t>范围内；</w:t>
            </w:r>
          </w:p>
          <w:p>
            <w:pPr>
              <w:pStyle w:val="null3"/>
              <w:ind w:firstLine="480"/>
              <w:jc w:val="both"/>
            </w:pPr>
            <w:r>
              <w:rPr>
                <w:rFonts w:ascii="仿宋_GB2312" w:hAnsi="仿宋_GB2312" w:cs="仿宋_GB2312" w:eastAsia="仿宋_GB2312"/>
                <w:sz w:val="24"/>
              </w:rPr>
              <w:t>显色指数（</w:t>
            </w:r>
            <w:r>
              <w:rPr>
                <w:rFonts w:ascii="仿宋_GB2312" w:hAnsi="仿宋_GB2312" w:cs="仿宋_GB2312" w:eastAsia="仿宋_GB2312"/>
                <w:sz w:val="24"/>
              </w:rPr>
              <w:t>Ra</w:t>
            </w:r>
            <w:r>
              <w:rPr>
                <w:rFonts w:ascii="仿宋_GB2312" w:hAnsi="仿宋_GB2312" w:cs="仿宋_GB2312" w:eastAsia="仿宋_GB2312"/>
                <w:sz w:val="24"/>
              </w:rPr>
              <w:t>）应大于</w:t>
            </w:r>
            <w:r>
              <w:rPr>
                <w:rFonts w:ascii="仿宋_GB2312" w:hAnsi="仿宋_GB2312" w:cs="仿宋_GB2312" w:eastAsia="仿宋_GB2312"/>
                <w:sz w:val="24"/>
              </w:rPr>
              <w:t>85</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设备在</w:t>
            </w:r>
            <w:r>
              <w:rPr>
                <w:rFonts w:ascii="仿宋_GB2312" w:hAnsi="仿宋_GB2312" w:cs="仿宋_GB2312" w:eastAsia="仿宋_GB2312"/>
                <w:sz w:val="24"/>
              </w:rPr>
              <w:t>300nm</w:t>
            </w:r>
            <w:r>
              <w:rPr>
                <w:rFonts w:ascii="仿宋_GB2312" w:hAnsi="仿宋_GB2312" w:cs="仿宋_GB2312" w:eastAsia="仿宋_GB2312"/>
                <w:sz w:val="24"/>
              </w:rPr>
              <w:t>～</w:t>
            </w:r>
            <w:r>
              <w:rPr>
                <w:rFonts w:ascii="仿宋_GB2312" w:hAnsi="仿宋_GB2312" w:cs="仿宋_GB2312" w:eastAsia="仿宋_GB2312"/>
                <w:sz w:val="24"/>
              </w:rPr>
              <w:t>2500nm</w:t>
            </w:r>
            <w:r>
              <w:rPr>
                <w:rFonts w:ascii="仿宋_GB2312" w:hAnsi="仿宋_GB2312" w:cs="仿宋_GB2312" w:eastAsia="仿宋_GB2312"/>
                <w:sz w:val="24"/>
              </w:rPr>
              <w:t>光谱范围内的最大辐射照度应不超过</w:t>
            </w:r>
            <w:r>
              <w:rPr>
                <w:rFonts w:ascii="仿宋_GB2312" w:hAnsi="仿宋_GB2312" w:cs="仿宋_GB2312" w:eastAsia="仿宋_GB2312"/>
                <w:sz w:val="24"/>
              </w:rPr>
              <w:t>350W/</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设备在</w:t>
            </w:r>
            <w:r>
              <w:rPr>
                <w:rFonts w:ascii="仿宋_GB2312" w:hAnsi="仿宋_GB2312" w:cs="仿宋_GB2312" w:eastAsia="仿宋_GB2312"/>
                <w:sz w:val="24"/>
              </w:rPr>
              <w:t>200nm</w:t>
            </w:r>
            <w:r>
              <w:rPr>
                <w:rFonts w:ascii="仿宋_GB2312" w:hAnsi="仿宋_GB2312" w:cs="仿宋_GB2312" w:eastAsia="仿宋_GB2312"/>
                <w:sz w:val="24"/>
              </w:rPr>
              <w:t>～</w:t>
            </w:r>
            <w:r>
              <w:rPr>
                <w:rFonts w:ascii="仿宋_GB2312" w:hAnsi="仿宋_GB2312" w:cs="仿宋_GB2312" w:eastAsia="仿宋_GB2312"/>
                <w:sz w:val="24"/>
              </w:rPr>
              <w:t>400nm</w:t>
            </w:r>
            <w:r>
              <w:rPr>
                <w:rFonts w:ascii="仿宋_GB2312" w:hAnsi="仿宋_GB2312" w:cs="仿宋_GB2312" w:eastAsia="仿宋_GB2312"/>
                <w:sz w:val="24"/>
              </w:rPr>
              <w:t>光谱范围内的最大照度时的有效紫外辐射照度应不超过</w:t>
            </w:r>
            <w:r>
              <w:rPr>
                <w:rFonts w:ascii="仿宋_GB2312" w:hAnsi="仿宋_GB2312" w:cs="仿宋_GB2312" w:eastAsia="仿宋_GB2312"/>
                <w:sz w:val="24"/>
              </w:rPr>
              <w:t>0.008W/</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 xml:space="preserve">(2) </w:t>
            </w:r>
            <w:r>
              <w:rPr>
                <w:rFonts w:ascii="仿宋_GB2312" w:hAnsi="仿宋_GB2312" w:cs="仿宋_GB2312" w:eastAsia="仿宋_GB2312"/>
                <w:sz w:val="24"/>
              </w:rPr>
              <w:t>成像要求</w:t>
            </w:r>
          </w:p>
          <w:p>
            <w:pPr>
              <w:pStyle w:val="null3"/>
              <w:ind w:firstLine="480"/>
              <w:jc w:val="both"/>
            </w:pPr>
            <w:r>
              <w:rPr>
                <w:rFonts w:ascii="仿宋_GB2312" w:hAnsi="仿宋_GB2312" w:cs="仿宋_GB2312" w:eastAsia="仿宋_GB2312"/>
                <w:sz w:val="24"/>
              </w:rPr>
              <w:t>相对畸变不得超过</w:t>
            </w:r>
            <w:r>
              <w:rPr>
                <w:rFonts w:ascii="仿宋_GB2312" w:hAnsi="仿宋_GB2312" w:cs="仿宋_GB2312" w:eastAsia="仿宋_GB2312"/>
                <w:sz w:val="24"/>
              </w:rPr>
              <w:t>±</w:t>
            </w:r>
            <w:r>
              <w:rPr>
                <w:rFonts w:ascii="仿宋_GB2312" w:hAnsi="仿宋_GB2312" w:cs="仿宋_GB2312" w:eastAsia="仿宋_GB2312"/>
                <w:sz w:val="24"/>
              </w:rPr>
              <w:t>5%</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二</w:t>
            </w:r>
            <w:r>
              <w:rPr>
                <w:rFonts w:ascii="仿宋_GB2312" w:hAnsi="仿宋_GB2312" w:cs="仿宋_GB2312" w:eastAsia="仿宋_GB2312"/>
                <w:sz w:val="24"/>
              </w:rPr>
              <w:t>）</w:t>
            </w:r>
            <w:r>
              <w:rPr>
                <w:rFonts w:ascii="仿宋_GB2312" w:hAnsi="仿宋_GB2312" w:cs="仿宋_GB2312" w:eastAsia="仿宋_GB2312"/>
                <w:sz w:val="24"/>
              </w:rPr>
              <w:t>脉</w:t>
            </w:r>
            <w:r>
              <w:rPr>
                <w:rFonts w:ascii="仿宋_GB2312" w:hAnsi="仿宋_GB2312" w:cs="仿宋_GB2312" w:eastAsia="仿宋_GB2312"/>
                <w:sz w:val="24"/>
              </w:rPr>
              <w:t>像单元要求：</w:t>
            </w:r>
          </w:p>
          <w:p>
            <w:pPr>
              <w:pStyle w:val="null3"/>
              <w:ind w:firstLine="480"/>
              <w:jc w:val="both"/>
            </w:pPr>
            <w:r>
              <w:rPr>
                <w:rFonts w:ascii="仿宋_GB2312" w:hAnsi="仿宋_GB2312" w:cs="仿宋_GB2312" w:eastAsia="仿宋_GB2312"/>
                <w:sz w:val="24"/>
              </w:rPr>
              <w:t>脉压准确性：脉压采集范围为</w:t>
            </w:r>
            <w:r>
              <w:rPr>
                <w:rFonts w:ascii="仿宋_GB2312" w:hAnsi="仿宋_GB2312" w:cs="仿宋_GB2312" w:eastAsia="仿宋_GB2312"/>
                <w:sz w:val="24"/>
              </w:rPr>
              <w:t>0</w:t>
            </w:r>
            <w:r>
              <w:rPr>
                <w:rFonts w:ascii="仿宋_GB2312" w:hAnsi="仿宋_GB2312" w:cs="仿宋_GB2312" w:eastAsia="仿宋_GB2312"/>
                <w:sz w:val="24"/>
              </w:rPr>
              <w:t>～</w:t>
            </w:r>
            <w:r>
              <w:rPr>
                <w:rFonts w:ascii="仿宋_GB2312" w:hAnsi="仿宋_GB2312" w:cs="仿宋_GB2312" w:eastAsia="仿宋_GB2312"/>
                <w:sz w:val="24"/>
              </w:rPr>
              <w:t>180mmHg</w:t>
            </w:r>
            <w:r>
              <w:rPr>
                <w:rFonts w:ascii="仿宋_GB2312" w:hAnsi="仿宋_GB2312" w:cs="仿宋_GB2312" w:eastAsia="仿宋_GB2312"/>
                <w:sz w:val="24"/>
              </w:rPr>
              <w:t>，显示值的最大允许误差为±</w:t>
            </w:r>
            <w:r>
              <w:rPr>
                <w:rFonts w:ascii="仿宋_GB2312" w:hAnsi="仿宋_GB2312" w:cs="仿宋_GB2312" w:eastAsia="仿宋_GB2312"/>
                <w:sz w:val="24"/>
              </w:rPr>
              <w:t>10%</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脉率准确性：脉率显示范围为</w:t>
            </w:r>
            <w:r>
              <w:rPr>
                <w:rFonts w:ascii="仿宋_GB2312" w:hAnsi="仿宋_GB2312" w:cs="仿宋_GB2312" w:eastAsia="仿宋_GB2312"/>
                <w:sz w:val="24"/>
              </w:rPr>
              <w:t>40</w:t>
            </w:r>
            <w:r>
              <w:rPr>
                <w:rFonts w:ascii="仿宋_GB2312" w:hAnsi="仿宋_GB2312" w:cs="仿宋_GB2312" w:eastAsia="仿宋_GB2312"/>
                <w:sz w:val="24"/>
              </w:rPr>
              <w:t>次</w:t>
            </w:r>
            <w:r>
              <w:rPr>
                <w:rFonts w:ascii="仿宋_GB2312" w:hAnsi="仿宋_GB2312" w:cs="仿宋_GB2312" w:eastAsia="仿宋_GB2312"/>
                <w:sz w:val="24"/>
              </w:rPr>
              <w:t>/</w:t>
            </w:r>
            <w:r>
              <w:rPr>
                <w:rFonts w:ascii="仿宋_GB2312" w:hAnsi="仿宋_GB2312" w:cs="仿宋_GB2312" w:eastAsia="仿宋_GB2312"/>
                <w:sz w:val="24"/>
              </w:rPr>
              <w:t>分～</w:t>
            </w:r>
            <w:r>
              <w:rPr>
                <w:rFonts w:ascii="仿宋_GB2312" w:hAnsi="仿宋_GB2312" w:cs="仿宋_GB2312" w:eastAsia="仿宋_GB2312"/>
                <w:sz w:val="24"/>
              </w:rPr>
              <w:t>200</w:t>
            </w:r>
            <w:r>
              <w:rPr>
                <w:rFonts w:ascii="仿宋_GB2312" w:hAnsi="仿宋_GB2312" w:cs="仿宋_GB2312" w:eastAsia="仿宋_GB2312"/>
                <w:sz w:val="24"/>
              </w:rPr>
              <w:t>次</w:t>
            </w:r>
            <w:r>
              <w:rPr>
                <w:rFonts w:ascii="仿宋_GB2312" w:hAnsi="仿宋_GB2312" w:cs="仿宋_GB2312" w:eastAsia="仿宋_GB2312"/>
                <w:sz w:val="24"/>
              </w:rPr>
              <w:t>/</w:t>
            </w:r>
            <w:r>
              <w:rPr>
                <w:rFonts w:ascii="仿宋_GB2312" w:hAnsi="仿宋_GB2312" w:cs="仿宋_GB2312" w:eastAsia="仿宋_GB2312"/>
                <w:sz w:val="24"/>
              </w:rPr>
              <w:t>分，分辨率为</w:t>
            </w:r>
            <w:r>
              <w:rPr>
                <w:rFonts w:ascii="仿宋_GB2312" w:hAnsi="仿宋_GB2312" w:cs="仿宋_GB2312" w:eastAsia="仿宋_GB2312"/>
                <w:sz w:val="24"/>
              </w:rPr>
              <w:t>1</w:t>
            </w:r>
            <w:r>
              <w:rPr>
                <w:rFonts w:ascii="仿宋_GB2312" w:hAnsi="仿宋_GB2312" w:cs="仿宋_GB2312" w:eastAsia="仿宋_GB2312"/>
                <w:sz w:val="24"/>
              </w:rPr>
              <w:t>次</w:t>
            </w:r>
            <w:r>
              <w:rPr>
                <w:rFonts w:ascii="仿宋_GB2312" w:hAnsi="仿宋_GB2312" w:cs="仿宋_GB2312" w:eastAsia="仿宋_GB2312"/>
                <w:sz w:val="24"/>
              </w:rPr>
              <w:t>/</w:t>
            </w:r>
            <w:r>
              <w:rPr>
                <w:rFonts w:ascii="仿宋_GB2312" w:hAnsi="仿宋_GB2312" w:cs="仿宋_GB2312" w:eastAsia="仿宋_GB2312"/>
                <w:sz w:val="24"/>
              </w:rPr>
              <w:t>分，显示值的最大允许误差为±</w:t>
            </w:r>
            <w:r>
              <w:rPr>
                <w:rFonts w:ascii="仿宋_GB2312" w:hAnsi="仿宋_GB2312" w:cs="仿宋_GB2312" w:eastAsia="仿宋_GB2312"/>
                <w:sz w:val="24"/>
              </w:rPr>
              <w:t>3</w:t>
            </w:r>
            <w:r>
              <w:rPr>
                <w:rFonts w:ascii="仿宋_GB2312" w:hAnsi="仿宋_GB2312" w:cs="仿宋_GB2312" w:eastAsia="仿宋_GB2312"/>
                <w:sz w:val="24"/>
              </w:rPr>
              <w:t>次</w:t>
            </w:r>
            <w:r>
              <w:rPr>
                <w:rFonts w:ascii="仿宋_GB2312" w:hAnsi="仿宋_GB2312" w:cs="仿宋_GB2312" w:eastAsia="仿宋_GB2312"/>
                <w:sz w:val="24"/>
              </w:rPr>
              <w:t>/</w:t>
            </w:r>
            <w:r>
              <w:rPr>
                <w:rFonts w:ascii="仿宋_GB2312" w:hAnsi="仿宋_GB2312" w:cs="仿宋_GB2312" w:eastAsia="仿宋_GB2312"/>
                <w:sz w:val="24"/>
              </w:rPr>
              <w:t>分；</w:t>
            </w:r>
          </w:p>
          <w:p>
            <w:pPr>
              <w:pStyle w:val="null3"/>
              <w:ind w:firstLine="480"/>
              <w:jc w:val="both"/>
            </w:pPr>
            <w:r>
              <w:rPr>
                <w:rFonts w:ascii="仿宋_GB2312" w:hAnsi="仿宋_GB2312" w:cs="仿宋_GB2312" w:eastAsia="仿宋_GB2312"/>
                <w:sz w:val="24"/>
              </w:rPr>
              <w:t>三</w:t>
            </w:r>
            <w:r>
              <w:rPr>
                <w:rFonts w:ascii="仿宋_GB2312" w:hAnsi="仿宋_GB2312" w:cs="仿宋_GB2312" w:eastAsia="仿宋_GB2312"/>
                <w:sz w:val="24"/>
              </w:rPr>
              <w:t>、软件系统</w:t>
            </w:r>
          </w:p>
          <w:p>
            <w:pPr>
              <w:pStyle w:val="null3"/>
              <w:ind w:firstLine="480"/>
              <w:jc w:val="both"/>
            </w:pPr>
            <w:r>
              <w:rPr>
                <w:rFonts w:ascii="仿宋_GB2312" w:hAnsi="仿宋_GB2312" w:cs="仿宋_GB2312" w:eastAsia="仿宋_GB2312"/>
                <w:sz w:val="24"/>
              </w:rPr>
              <w:t>（一）</w:t>
            </w:r>
            <w:r>
              <w:rPr>
                <w:rFonts w:ascii="仿宋_GB2312" w:hAnsi="仿宋_GB2312" w:cs="仿宋_GB2312" w:eastAsia="仿宋_GB2312"/>
                <w:sz w:val="24"/>
              </w:rPr>
              <w:t>AI诊断引擎:</w:t>
            </w:r>
          </w:p>
          <w:p>
            <w:pPr>
              <w:pStyle w:val="null3"/>
              <w:ind w:firstLine="480"/>
              <w:jc w:val="both"/>
            </w:pPr>
            <w:r>
              <w:rPr>
                <w:rFonts w:ascii="仿宋_GB2312" w:hAnsi="仿宋_GB2312" w:cs="仿宋_GB2312" w:eastAsia="仿宋_GB2312"/>
                <w:sz w:val="24"/>
              </w:rPr>
              <w:t>支持疾病类型</w:t>
            </w:r>
            <w:r>
              <w:rPr>
                <w:rFonts w:ascii="仿宋_GB2312" w:hAnsi="仿宋_GB2312" w:cs="仿宋_GB2312" w:eastAsia="仿宋_GB2312"/>
                <w:sz w:val="24"/>
              </w:rPr>
              <w:t>:大类常见病及亚健康状态识别。</w:t>
            </w:r>
          </w:p>
          <w:p>
            <w:pPr>
              <w:pStyle w:val="null3"/>
              <w:ind w:firstLine="480"/>
              <w:jc w:val="both"/>
            </w:pPr>
            <w:r>
              <w:rPr>
                <w:rFonts w:ascii="仿宋_GB2312" w:hAnsi="仿宋_GB2312" w:cs="仿宋_GB2312" w:eastAsia="仿宋_GB2312"/>
                <w:sz w:val="24"/>
              </w:rPr>
              <w:t>模型版本</w:t>
            </w:r>
            <w:r>
              <w:rPr>
                <w:rFonts w:ascii="仿宋_GB2312" w:hAnsi="仿宋_GB2312" w:cs="仿宋_GB2312" w:eastAsia="仿宋_GB2312"/>
                <w:sz w:val="24"/>
              </w:rPr>
              <w:t>:支持在线更新。</w:t>
            </w:r>
          </w:p>
          <w:p>
            <w:pPr>
              <w:pStyle w:val="null3"/>
              <w:ind w:firstLine="480"/>
              <w:jc w:val="both"/>
            </w:pPr>
            <w:r>
              <w:rPr>
                <w:rFonts w:ascii="仿宋_GB2312" w:hAnsi="仿宋_GB2312" w:cs="仿宋_GB2312" w:eastAsia="仿宋_GB2312"/>
                <w:sz w:val="24"/>
              </w:rPr>
              <w:t>（二）数据安全</w:t>
            </w:r>
          </w:p>
          <w:p>
            <w:pPr>
              <w:pStyle w:val="null3"/>
              <w:ind w:firstLine="480"/>
              <w:jc w:val="both"/>
            </w:pPr>
            <w:r>
              <w:rPr>
                <w:rFonts w:ascii="仿宋_GB2312" w:hAnsi="仿宋_GB2312" w:cs="仿宋_GB2312" w:eastAsia="仿宋_GB2312"/>
                <w:sz w:val="24"/>
              </w:rPr>
              <w:t>AES-256本地加密+HTTPS云端传输。</w:t>
            </w:r>
          </w:p>
          <w:p>
            <w:pPr>
              <w:pStyle w:val="null3"/>
              <w:ind w:firstLine="480"/>
              <w:jc w:val="both"/>
            </w:pPr>
            <w:r>
              <w:rPr>
                <w:rFonts w:ascii="仿宋_GB2312" w:hAnsi="仿宋_GB2312" w:cs="仿宋_GB2312" w:eastAsia="仿宋_GB2312"/>
                <w:sz w:val="24"/>
              </w:rPr>
              <w:t>（三）兼容性</w:t>
            </w:r>
            <w:r>
              <w:rPr>
                <w:rFonts w:ascii="仿宋_GB2312" w:hAnsi="仿宋_GB2312" w:cs="仿宋_GB2312" w:eastAsia="仿宋_GB2312"/>
                <w:sz w:val="24"/>
              </w:rPr>
              <w:t>:支持HL7/FHIR标准。</w:t>
            </w:r>
          </w:p>
          <w:p>
            <w:pPr>
              <w:pStyle w:val="null3"/>
              <w:ind w:firstLine="480"/>
              <w:jc w:val="both"/>
            </w:pPr>
            <w:r>
              <w:rPr>
                <w:rFonts w:ascii="仿宋_GB2312" w:hAnsi="仿宋_GB2312" w:cs="仿宋_GB2312" w:eastAsia="仿宋_GB2312"/>
                <w:sz w:val="24"/>
              </w:rPr>
              <w:t>四</w:t>
            </w:r>
            <w:r>
              <w:rPr>
                <w:rFonts w:ascii="仿宋_GB2312" w:hAnsi="仿宋_GB2312" w:cs="仿宋_GB2312" w:eastAsia="仿宋_GB2312"/>
                <w:sz w:val="24"/>
              </w:rPr>
              <w:t>、网络与连接</w:t>
            </w:r>
          </w:p>
          <w:p>
            <w:pPr>
              <w:pStyle w:val="null3"/>
              <w:ind w:firstLine="480"/>
              <w:jc w:val="both"/>
            </w:pPr>
            <w:r>
              <w:rPr>
                <w:rFonts w:ascii="仿宋_GB2312" w:hAnsi="仿宋_GB2312" w:cs="仿宋_GB2312" w:eastAsia="仿宋_GB2312"/>
                <w:sz w:val="24"/>
              </w:rPr>
              <w:t>无线通信</w:t>
            </w:r>
            <w:r>
              <w:rPr>
                <w:rFonts w:ascii="仿宋_GB2312" w:hAnsi="仿宋_GB2312" w:cs="仿宋_GB2312" w:eastAsia="仿宋_GB2312"/>
                <w:sz w:val="24"/>
              </w:rPr>
              <w:t>:Wi-Fi:双频2.4GHz/5GHz，支持802.11a/b/g/n/ac。</w:t>
            </w:r>
          </w:p>
          <w:p>
            <w:pPr>
              <w:pStyle w:val="null3"/>
              <w:ind w:firstLine="480"/>
              <w:jc w:val="both"/>
            </w:pPr>
            <w:r>
              <w:rPr>
                <w:rFonts w:ascii="仿宋_GB2312" w:hAnsi="仿宋_GB2312" w:cs="仿宋_GB2312" w:eastAsia="仿宋_GB2312"/>
                <w:sz w:val="24"/>
              </w:rPr>
              <w:t>蓝牙</w:t>
            </w:r>
            <w:r>
              <w:rPr>
                <w:rFonts w:ascii="仿宋_GB2312" w:hAnsi="仿宋_GB2312" w:cs="仿宋_GB2312" w:eastAsia="仿宋_GB2312"/>
                <w:sz w:val="24"/>
              </w:rPr>
              <w:t>:5.0(外接可穿戴设备配对)。</w:t>
            </w:r>
          </w:p>
          <w:p>
            <w:pPr>
              <w:pStyle w:val="null3"/>
              <w:ind w:firstLine="480"/>
              <w:jc w:val="both"/>
            </w:pPr>
            <w:r>
              <w:rPr>
                <w:rFonts w:ascii="仿宋_GB2312" w:hAnsi="仿宋_GB2312" w:cs="仿宋_GB2312" w:eastAsia="仿宋_GB2312"/>
                <w:sz w:val="24"/>
              </w:rPr>
              <w:t>有线网络</w:t>
            </w:r>
            <w:r>
              <w:rPr>
                <w:rFonts w:ascii="仿宋_GB2312" w:hAnsi="仿宋_GB2312" w:cs="仿宋_GB2312" w:eastAsia="仿宋_GB2312"/>
                <w:sz w:val="24"/>
              </w:rPr>
              <w:t>:千兆以太网远程服务。</w:t>
            </w:r>
          </w:p>
          <w:p>
            <w:pPr>
              <w:pStyle w:val="null3"/>
              <w:ind w:firstLine="480"/>
              <w:jc w:val="both"/>
            </w:pPr>
            <w:r>
              <w:rPr>
                <w:rFonts w:ascii="仿宋_GB2312" w:hAnsi="仿宋_GB2312" w:cs="仿宋_GB2312" w:eastAsia="仿宋_GB2312"/>
                <w:sz w:val="24"/>
              </w:rPr>
              <w:t>云端数据同步</w:t>
            </w:r>
            <w:r>
              <w:rPr>
                <w:rFonts w:ascii="仿宋_GB2312" w:hAnsi="仿宋_GB2312" w:cs="仿宋_GB2312" w:eastAsia="仿宋_GB2312"/>
                <w:sz w:val="24"/>
              </w:rPr>
              <w:t>(AWS/GCP兼容)。</w:t>
            </w:r>
          </w:p>
          <w:p>
            <w:pPr>
              <w:pStyle w:val="null3"/>
              <w:ind w:firstLine="480"/>
              <w:jc w:val="both"/>
            </w:pPr>
            <w:r>
              <w:rPr>
                <w:rFonts w:ascii="仿宋_GB2312" w:hAnsi="仿宋_GB2312" w:cs="仿宋_GB2312" w:eastAsia="仿宋_GB2312"/>
                <w:sz w:val="24"/>
              </w:rPr>
              <w:t>五</w:t>
            </w:r>
            <w:r>
              <w:rPr>
                <w:rFonts w:ascii="仿宋_GB2312" w:hAnsi="仿宋_GB2312" w:cs="仿宋_GB2312" w:eastAsia="仿宋_GB2312"/>
                <w:sz w:val="24"/>
              </w:rPr>
              <w:t>、结构特征及工作原理</w:t>
            </w:r>
          </w:p>
          <w:p>
            <w:pPr>
              <w:pStyle w:val="null3"/>
              <w:ind w:firstLine="480"/>
              <w:jc w:val="both"/>
            </w:pPr>
            <w:r>
              <w:rPr>
                <w:rFonts w:ascii="仿宋_GB2312" w:hAnsi="仿宋_GB2312" w:cs="仿宋_GB2312" w:eastAsia="仿宋_GB2312"/>
                <w:sz w:val="24"/>
              </w:rPr>
              <w:t>（一）机械结构</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设备的数字医疗助诊箱需要结耐用且重量轻便，便于携带，也可以有效保护箱内设备免受震动和冲击的损害。</w:t>
            </w:r>
          </w:p>
          <w:p>
            <w:pPr>
              <w:pStyle w:val="null3"/>
              <w:ind w:firstLine="480"/>
              <w:jc w:val="both"/>
            </w:pPr>
            <w:r>
              <w:rPr>
                <w:rFonts w:ascii="仿宋_GB2312" w:hAnsi="仿宋_GB2312" w:cs="仿宋_GB2312" w:eastAsia="仿宋_GB2312"/>
                <w:sz w:val="24"/>
              </w:rPr>
              <w:t>外壳材质</w:t>
            </w:r>
            <w:r>
              <w:rPr>
                <w:rFonts w:ascii="仿宋_GB2312" w:hAnsi="仿宋_GB2312" w:cs="仿宋_GB2312" w:eastAsia="仿宋_GB2312"/>
                <w:sz w:val="24"/>
              </w:rPr>
              <w:t>:医用级ABS+部分钣金件。</w:t>
            </w:r>
          </w:p>
          <w:p>
            <w:pPr>
              <w:pStyle w:val="null3"/>
              <w:ind w:firstLine="480"/>
              <w:jc w:val="both"/>
            </w:pPr>
            <w:r>
              <w:rPr>
                <w:rFonts w:ascii="仿宋_GB2312" w:hAnsi="仿宋_GB2312" w:cs="仿宋_GB2312" w:eastAsia="仿宋_GB2312"/>
                <w:sz w:val="24"/>
              </w:rPr>
              <w:t>内部模块</w:t>
            </w:r>
            <w:r>
              <w:rPr>
                <w:rFonts w:ascii="仿宋_GB2312" w:hAnsi="仿宋_GB2312" w:cs="仿宋_GB2312" w:eastAsia="仿宋_GB2312"/>
                <w:sz w:val="24"/>
              </w:rPr>
              <w:t>:分层隔离设计，传感器与主板电磁屏蔽。</w:t>
            </w:r>
          </w:p>
          <w:p>
            <w:pPr>
              <w:pStyle w:val="null3"/>
              <w:ind w:firstLine="480"/>
              <w:jc w:val="both"/>
            </w:pPr>
            <w:r>
              <w:rPr>
                <w:rFonts w:ascii="仿宋_GB2312" w:hAnsi="仿宋_GB2312" w:cs="仿宋_GB2312" w:eastAsia="仿宋_GB2312"/>
                <w:sz w:val="24"/>
              </w:rPr>
              <w:t>（二）工作原理</w:t>
            </w:r>
            <w:r>
              <w:rPr>
                <w:rFonts w:ascii="仿宋_GB2312" w:hAnsi="仿宋_GB2312" w:cs="仿宋_GB2312" w:eastAsia="仿宋_GB2312"/>
                <w:sz w:val="24"/>
              </w:rPr>
              <w:t>:数据采集→</w:t>
            </w:r>
            <w:r>
              <w:rPr>
                <w:rFonts w:ascii="仿宋_GB2312" w:hAnsi="仿宋_GB2312" w:cs="仿宋_GB2312" w:eastAsia="仿宋_GB2312"/>
                <w:sz w:val="24"/>
              </w:rPr>
              <w:t>AI算法分析</w:t>
            </w:r>
            <w:r>
              <w:rPr>
                <w:rFonts w:ascii="仿宋_GB2312" w:hAnsi="仿宋_GB2312" w:cs="仿宋_GB2312" w:eastAsia="仿宋_GB2312"/>
                <w:sz w:val="24"/>
              </w:rPr>
              <w:t>→云端诊断→结果可视化。</w:t>
            </w:r>
          </w:p>
          <w:p>
            <w:pPr>
              <w:pStyle w:val="null3"/>
              <w:spacing w:before="105" w:after="105"/>
              <w:jc w:val="both"/>
              <w:outlineLvl w:val="3"/>
            </w:pPr>
            <w:r>
              <w:rPr>
                <w:rFonts w:ascii="仿宋_GB2312" w:hAnsi="仿宋_GB2312" w:cs="仿宋_GB2312" w:eastAsia="仿宋_GB2312"/>
                <w:sz w:val="28"/>
                <w:b/>
                <w:color w:val="000000"/>
              </w:rPr>
              <w:t>1.2.5接口</w:t>
            </w:r>
          </w:p>
          <w:p>
            <w:pPr>
              <w:pStyle w:val="null3"/>
              <w:ind w:firstLine="480"/>
              <w:jc w:val="both"/>
            </w:pPr>
            <w:r>
              <w:rPr>
                <w:rFonts w:ascii="仿宋_GB2312" w:hAnsi="仿宋_GB2312" w:cs="仿宋_GB2312" w:eastAsia="仿宋_GB2312"/>
                <w:sz w:val="24"/>
              </w:rPr>
              <w:t>支持开放数据接口，支持与医院信息系统对接，包括但不限于</w:t>
            </w:r>
            <w:r>
              <w:rPr>
                <w:rFonts w:ascii="仿宋_GB2312" w:hAnsi="仿宋_GB2312" w:cs="仿宋_GB2312" w:eastAsia="仿宋_GB2312"/>
                <w:sz w:val="24"/>
              </w:rPr>
              <w:t>HIS/</w:t>
            </w:r>
            <w:r>
              <w:rPr>
                <w:rFonts w:ascii="仿宋_GB2312" w:hAnsi="仿宋_GB2312" w:cs="仿宋_GB2312" w:eastAsia="仿宋_GB2312"/>
                <w:sz w:val="24"/>
              </w:rPr>
              <w:t>电子病历</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中医四诊仪采集患者的舌象、脉象、面色、问诊等信息，将其与</w:t>
            </w:r>
            <w:r>
              <w:rPr>
                <w:rFonts w:ascii="仿宋_GB2312" w:hAnsi="仿宋_GB2312" w:cs="仿宋_GB2312" w:eastAsia="仿宋_GB2312"/>
                <w:sz w:val="24"/>
              </w:rPr>
              <w:t>医院信息</w:t>
            </w:r>
            <w:r>
              <w:rPr>
                <w:rFonts w:ascii="仿宋_GB2312" w:hAnsi="仿宋_GB2312" w:cs="仿宋_GB2312" w:eastAsia="仿宋_GB2312"/>
                <w:sz w:val="24"/>
              </w:rPr>
              <w:t>系统对接，可以使诊断数据自动传输至</w:t>
            </w:r>
            <w:r>
              <w:rPr>
                <w:rFonts w:ascii="仿宋_GB2312" w:hAnsi="仿宋_GB2312" w:cs="仿宋_GB2312" w:eastAsia="仿宋_GB2312"/>
                <w:sz w:val="24"/>
              </w:rPr>
              <w:t>HIS系统</w:t>
            </w:r>
            <w:r>
              <w:rPr>
                <w:rFonts w:ascii="仿宋_GB2312" w:hAnsi="仿宋_GB2312" w:cs="仿宋_GB2312" w:eastAsia="仿宋_GB2312"/>
                <w:sz w:val="24"/>
              </w:rPr>
              <w:t>或</w:t>
            </w:r>
            <w:r>
              <w:rPr>
                <w:rFonts w:ascii="仿宋_GB2312" w:hAnsi="仿宋_GB2312" w:cs="仿宋_GB2312" w:eastAsia="仿宋_GB2312"/>
                <w:sz w:val="24"/>
              </w:rPr>
              <w:t>电子病历</w:t>
            </w:r>
            <w:r>
              <w:rPr>
                <w:rFonts w:ascii="仿宋_GB2312" w:hAnsi="仿宋_GB2312" w:cs="仿宋_GB2312" w:eastAsia="仿宋_GB2312"/>
                <w:sz w:val="24"/>
              </w:rPr>
              <w:t>，实现信息共享。</w:t>
            </w:r>
          </w:p>
          <w:p>
            <w:pPr>
              <w:pStyle w:val="null3"/>
              <w:jc w:val="both"/>
              <w:outlineLvl w:val="2"/>
            </w:pPr>
            <w:r>
              <w:rPr>
                <w:rFonts w:ascii="仿宋_GB2312" w:hAnsi="仿宋_GB2312" w:cs="仿宋_GB2312" w:eastAsia="仿宋_GB2312"/>
                <w:sz w:val="28"/>
                <w:b/>
                <w:color w:val="000000"/>
              </w:rPr>
              <w:t>1.3中医大脑软件（问止中医）</w:t>
            </w:r>
          </w:p>
          <w:p>
            <w:pPr>
              <w:pStyle w:val="null3"/>
              <w:ind w:firstLine="480"/>
              <w:jc w:val="both"/>
            </w:pPr>
            <w:r>
              <w:rPr>
                <w:rFonts w:ascii="仿宋_GB2312" w:hAnsi="仿宋_GB2312" w:cs="仿宋_GB2312" w:eastAsia="仿宋_GB2312"/>
                <w:sz w:val="24"/>
              </w:rPr>
              <w:t>因本项目所支持的课题使用实际情况，需购买问止中医的中医大脑软件使用权，该模块无需开发，成交供应商需购买中医大脑软件三年使用权交由采购人使用，软件使用权费用市场价约为</w:t>
            </w:r>
            <w:r>
              <w:rPr>
                <w:rFonts w:ascii="仿宋_GB2312" w:hAnsi="仿宋_GB2312" w:cs="仿宋_GB2312" w:eastAsia="仿宋_GB2312"/>
                <w:sz w:val="24"/>
              </w:rPr>
              <w:t>3万/年（该部分费用已包含在采购预算金额之内，采购人不再另行支付）。</w:t>
            </w:r>
          </w:p>
          <w:p>
            <w:pPr>
              <w:pStyle w:val="null3"/>
              <w:jc w:val="both"/>
              <w:outlineLvl w:val="2"/>
            </w:pPr>
            <w:r>
              <w:rPr>
                <w:rFonts w:ascii="仿宋_GB2312" w:hAnsi="仿宋_GB2312" w:cs="仿宋_GB2312" w:eastAsia="仿宋_GB2312"/>
                <w:sz w:val="28"/>
                <w:b/>
                <w:color w:val="000000"/>
              </w:rPr>
              <w:t>1.4服务器</w:t>
            </w:r>
          </w:p>
          <w:tbl>
            <w:tblPr>
              <w:tblBorders>
                <w:top w:val="none" w:color="000000" w:sz="4"/>
                <w:left w:val="none" w:color="000000" w:sz="4"/>
                <w:bottom w:val="none" w:color="000000" w:sz="4"/>
                <w:right w:val="none" w:color="000000" w:sz="4"/>
                <w:insideH w:val="none"/>
                <w:insideV w:val="none"/>
              </w:tblBorders>
            </w:tblPr>
            <w:tblGrid>
              <w:gridCol w:w="727"/>
              <w:gridCol w:w="1251"/>
              <w:gridCol w:w="287"/>
              <w:gridCol w:w="287"/>
            </w:tblGrid>
            <w:tr>
              <w:tc>
                <w:tcPr>
                  <w:tcW w:type="dxa" w:w="72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名称</w:t>
                  </w:r>
                </w:p>
              </w:tc>
              <w:tc>
                <w:tcPr>
                  <w:tcW w:type="dxa" w:w="125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参数</w:t>
                  </w:r>
                </w:p>
              </w:tc>
              <w:tc>
                <w:tcPr>
                  <w:tcW w:type="dxa" w:w="28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数量</w:t>
                  </w:r>
                </w:p>
              </w:tc>
              <w:tc>
                <w:tcPr>
                  <w:tcW w:type="dxa" w:w="28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单位</w:t>
                  </w:r>
                </w:p>
              </w:tc>
            </w:tr>
            <w:tr>
              <w:tc>
                <w:tcPr>
                  <w:tcW w:type="dxa" w:w="7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应用服务器</w:t>
                  </w:r>
                </w:p>
              </w:tc>
              <w:tc>
                <w:tcPr>
                  <w:tcW w:type="dxa" w:w="1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CPU:≥1</w:t>
                  </w:r>
                  <w:r>
                    <w:rPr>
                      <w:rFonts w:ascii="仿宋_GB2312" w:hAnsi="仿宋_GB2312" w:cs="仿宋_GB2312" w:eastAsia="仿宋_GB2312"/>
                      <w:sz w:val="21"/>
                    </w:rPr>
                    <w:t>6</w:t>
                  </w:r>
                  <w:r>
                    <w:rPr>
                      <w:rFonts w:ascii="仿宋_GB2312" w:hAnsi="仿宋_GB2312" w:cs="仿宋_GB2312" w:eastAsia="仿宋_GB2312"/>
                      <w:sz w:val="21"/>
                    </w:rPr>
                    <w:t>核</w:t>
                  </w:r>
                  <w:r>
                    <w:rPr>
                      <w:rFonts w:ascii="仿宋_GB2312" w:hAnsi="仿宋_GB2312" w:cs="仿宋_GB2312" w:eastAsia="仿宋_GB2312"/>
                      <w:sz w:val="21"/>
                    </w:rPr>
                    <w:t>*2颗 主频 ≥2.</w:t>
                  </w:r>
                  <w:r>
                    <w:rPr>
                      <w:rFonts w:ascii="仿宋_GB2312" w:hAnsi="仿宋_GB2312" w:cs="仿宋_GB2312" w:eastAsia="仿宋_GB2312"/>
                      <w:sz w:val="21"/>
                    </w:rPr>
                    <w:t>2</w:t>
                  </w:r>
                  <w:r>
                    <w:rPr>
                      <w:rFonts w:ascii="仿宋_GB2312" w:hAnsi="仿宋_GB2312" w:cs="仿宋_GB2312" w:eastAsia="仿宋_GB2312"/>
                      <w:sz w:val="21"/>
                    </w:rPr>
                    <w:t>GHz</w:t>
                  </w:r>
                </w:p>
                <w:p>
                  <w:pPr>
                    <w:pStyle w:val="null3"/>
                    <w:jc w:val="left"/>
                  </w:pPr>
                  <w:r>
                    <w:rPr>
                      <w:rFonts w:ascii="仿宋_GB2312" w:hAnsi="仿宋_GB2312" w:cs="仿宋_GB2312" w:eastAsia="仿宋_GB2312"/>
                      <w:sz w:val="21"/>
                    </w:rPr>
                    <w:t>内存：</w:t>
                  </w:r>
                  <w:r>
                    <w:rPr>
                      <w:rFonts w:ascii="仿宋_GB2312" w:hAnsi="仿宋_GB2312" w:cs="仿宋_GB2312" w:eastAsia="仿宋_GB2312"/>
                      <w:sz w:val="21"/>
                    </w:rPr>
                    <w:t>≥32GB *4</w:t>
                  </w:r>
                </w:p>
                <w:p>
                  <w:pPr>
                    <w:pStyle w:val="null3"/>
                    <w:jc w:val="left"/>
                  </w:pPr>
                  <w:r>
                    <w:rPr>
                      <w:rFonts w:ascii="仿宋_GB2312" w:hAnsi="仿宋_GB2312" w:cs="仿宋_GB2312" w:eastAsia="仿宋_GB2312"/>
                      <w:sz w:val="21"/>
                    </w:rPr>
                    <w:t>硬盘：</w:t>
                  </w:r>
                  <w:r>
                    <w:rPr>
                      <w:rFonts w:ascii="仿宋_GB2312" w:hAnsi="仿宋_GB2312" w:cs="仿宋_GB2312" w:eastAsia="仿宋_GB2312"/>
                      <w:sz w:val="21"/>
                    </w:rPr>
                    <w:t>≥2TB SATA SSD</w:t>
                  </w:r>
                </w:p>
                <w:p>
                  <w:pPr>
                    <w:pStyle w:val="null3"/>
                    <w:jc w:val="left"/>
                  </w:pPr>
                  <w:r>
                    <w:rPr>
                      <w:rFonts w:ascii="仿宋_GB2312" w:hAnsi="仿宋_GB2312" w:cs="仿宋_GB2312" w:eastAsia="仿宋_GB2312"/>
                      <w:sz w:val="21"/>
                    </w:rPr>
                    <w:t>含有独立阵列卡</w:t>
                  </w:r>
                </w:p>
                <w:p>
                  <w:pPr>
                    <w:pStyle w:val="null3"/>
                    <w:jc w:val="left"/>
                  </w:pPr>
                  <w:r>
                    <w:rPr>
                      <w:rFonts w:ascii="仿宋_GB2312" w:hAnsi="仿宋_GB2312" w:cs="仿宋_GB2312" w:eastAsia="仿宋_GB2312"/>
                      <w:sz w:val="21"/>
                    </w:rPr>
                    <w:t>网卡：不少于</w:t>
                  </w:r>
                  <w:r>
                    <w:rPr>
                      <w:rFonts w:ascii="仿宋_GB2312" w:hAnsi="仿宋_GB2312" w:cs="仿宋_GB2312" w:eastAsia="仿宋_GB2312"/>
                      <w:sz w:val="21"/>
                    </w:rPr>
                    <w:t>2</w:t>
                  </w:r>
                  <w:r>
                    <w:rPr>
                      <w:rFonts w:ascii="仿宋_GB2312" w:hAnsi="仿宋_GB2312" w:cs="仿宋_GB2312" w:eastAsia="仿宋_GB2312"/>
                      <w:sz w:val="21"/>
                    </w:rPr>
                    <w:t>个</w:t>
                  </w:r>
                  <w:r>
                    <w:rPr>
                      <w:rFonts w:ascii="仿宋_GB2312" w:hAnsi="仿宋_GB2312" w:cs="仿宋_GB2312" w:eastAsia="仿宋_GB2312"/>
                      <w:sz w:val="21"/>
                    </w:rPr>
                    <w:t>千</w:t>
                  </w:r>
                  <w:r>
                    <w:rPr>
                      <w:rFonts w:ascii="仿宋_GB2312" w:hAnsi="仿宋_GB2312" w:cs="仿宋_GB2312" w:eastAsia="仿宋_GB2312"/>
                      <w:sz w:val="21"/>
                    </w:rPr>
                    <w:t>兆光口</w:t>
                  </w:r>
                </w:p>
                <w:p>
                  <w:pPr>
                    <w:pStyle w:val="null3"/>
                    <w:jc w:val="left"/>
                  </w:pPr>
                  <w:r>
                    <w:rPr>
                      <w:rFonts w:ascii="仿宋_GB2312" w:hAnsi="仿宋_GB2312" w:cs="仿宋_GB2312" w:eastAsia="仿宋_GB2312"/>
                      <w:sz w:val="21"/>
                    </w:rPr>
                    <w:t>电源：配置</w:t>
                  </w:r>
                  <w:r>
                    <w:rPr>
                      <w:rFonts w:ascii="仿宋_GB2312" w:hAnsi="仿宋_GB2312" w:cs="仿宋_GB2312" w:eastAsia="仿宋_GB2312"/>
                      <w:sz w:val="21"/>
                    </w:rPr>
                    <w:t>1+1冗余电源</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7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数据库服务器</w:t>
                  </w:r>
                </w:p>
              </w:tc>
              <w:tc>
                <w:tcPr>
                  <w:tcW w:type="dxa" w:w="1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CPU:</w:t>
                  </w: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6</w:t>
                  </w:r>
                  <w:r>
                    <w:rPr>
                      <w:rFonts w:ascii="仿宋_GB2312" w:hAnsi="仿宋_GB2312" w:cs="仿宋_GB2312" w:eastAsia="仿宋_GB2312"/>
                      <w:sz w:val="21"/>
                    </w:rPr>
                    <w:t>核</w:t>
                  </w:r>
                  <w:r>
                    <w:rPr>
                      <w:rFonts w:ascii="仿宋_GB2312" w:hAnsi="仿宋_GB2312" w:cs="仿宋_GB2312" w:eastAsia="仿宋_GB2312"/>
                      <w:sz w:val="21"/>
                    </w:rPr>
                    <w:t>*2</w:t>
                  </w:r>
                  <w:r>
                    <w:rPr>
                      <w:rFonts w:ascii="仿宋_GB2312" w:hAnsi="仿宋_GB2312" w:cs="仿宋_GB2312" w:eastAsia="仿宋_GB2312"/>
                      <w:sz w:val="21"/>
                    </w:rPr>
                    <w:t>颗 主频 ≥</w:t>
                  </w:r>
                  <w:r>
                    <w:rPr>
                      <w:rFonts w:ascii="仿宋_GB2312" w:hAnsi="仿宋_GB2312" w:cs="仿宋_GB2312" w:eastAsia="仿宋_GB2312"/>
                      <w:sz w:val="21"/>
                    </w:rPr>
                    <w:t>2.</w:t>
                  </w:r>
                  <w:r>
                    <w:rPr>
                      <w:rFonts w:ascii="仿宋_GB2312" w:hAnsi="仿宋_GB2312" w:cs="仿宋_GB2312" w:eastAsia="仿宋_GB2312"/>
                      <w:sz w:val="21"/>
                    </w:rPr>
                    <w:t>2</w:t>
                  </w:r>
                  <w:r>
                    <w:rPr>
                      <w:rFonts w:ascii="仿宋_GB2312" w:hAnsi="仿宋_GB2312" w:cs="仿宋_GB2312" w:eastAsia="仿宋_GB2312"/>
                      <w:sz w:val="21"/>
                    </w:rPr>
                    <w:t>GHz</w:t>
                  </w:r>
                </w:p>
                <w:p>
                  <w:pPr>
                    <w:pStyle w:val="null3"/>
                    <w:jc w:val="left"/>
                  </w:pPr>
                  <w:r>
                    <w:rPr>
                      <w:rFonts w:ascii="仿宋_GB2312" w:hAnsi="仿宋_GB2312" w:cs="仿宋_GB2312" w:eastAsia="仿宋_GB2312"/>
                      <w:sz w:val="21"/>
                    </w:rPr>
                    <w:t>内存：</w:t>
                  </w:r>
                  <w:r>
                    <w:rPr>
                      <w:rFonts w:ascii="仿宋_GB2312" w:hAnsi="仿宋_GB2312" w:cs="仿宋_GB2312" w:eastAsia="仿宋_GB2312"/>
                      <w:sz w:val="21"/>
                    </w:rPr>
                    <w:t>≥</w:t>
                  </w:r>
                  <w:r>
                    <w:rPr>
                      <w:rFonts w:ascii="仿宋_GB2312" w:hAnsi="仿宋_GB2312" w:cs="仿宋_GB2312" w:eastAsia="仿宋_GB2312"/>
                      <w:sz w:val="21"/>
                    </w:rPr>
                    <w:t>32GB *4</w:t>
                  </w:r>
                </w:p>
                <w:p>
                  <w:pPr>
                    <w:pStyle w:val="null3"/>
                    <w:jc w:val="left"/>
                  </w:pPr>
                  <w:r>
                    <w:rPr>
                      <w:rFonts w:ascii="仿宋_GB2312" w:hAnsi="仿宋_GB2312" w:cs="仿宋_GB2312" w:eastAsia="仿宋_GB2312"/>
                      <w:sz w:val="21"/>
                    </w:rPr>
                    <w:t>硬盘：</w:t>
                  </w:r>
                  <w:r>
                    <w:rPr>
                      <w:rFonts w:ascii="仿宋_GB2312" w:hAnsi="仿宋_GB2312" w:cs="仿宋_GB2312" w:eastAsia="仿宋_GB2312"/>
                      <w:sz w:val="21"/>
                    </w:rPr>
                    <w:t>≥</w:t>
                  </w:r>
                  <w:r>
                    <w:rPr>
                      <w:rFonts w:ascii="仿宋_GB2312" w:hAnsi="仿宋_GB2312" w:cs="仿宋_GB2312" w:eastAsia="仿宋_GB2312"/>
                      <w:sz w:val="21"/>
                    </w:rPr>
                    <w:t>2TB SATA SSD</w:t>
                  </w:r>
                </w:p>
                <w:p>
                  <w:pPr>
                    <w:pStyle w:val="null3"/>
                    <w:jc w:val="left"/>
                  </w:pPr>
                  <w:r>
                    <w:rPr>
                      <w:rFonts w:ascii="仿宋_GB2312" w:hAnsi="仿宋_GB2312" w:cs="仿宋_GB2312" w:eastAsia="仿宋_GB2312"/>
                      <w:sz w:val="21"/>
                    </w:rPr>
                    <w:t>含有独立阵列卡</w:t>
                  </w:r>
                </w:p>
                <w:p>
                  <w:pPr>
                    <w:pStyle w:val="null3"/>
                    <w:jc w:val="left"/>
                  </w:pPr>
                  <w:r>
                    <w:rPr>
                      <w:rFonts w:ascii="仿宋_GB2312" w:hAnsi="仿宋_GB2312" w:cs="仿宋_GB2312" w:eastAsia="仿宋_GB2312"/>
                      <w:sz w:val="21"/>
                    </w:rPr>
                    <w:t>网卡：不少于</w:t>
                  </w:r>
                  <w:r>
                    <w:rPr>
                      <w:rFonts w:ascii="仿宋_GB2312" w:hAnsi="仿宋_GB2312" w:cs="仿宋_GB2312" w:eastAsia="仿宋_GB2312"/>
                      <w:sz w:val="21"/>
                    </w:rPr>
                    <w:t>2</w:t>
                  </w:r>
                  <w:r>
                    <w:rPr>
                      <w:rFonts w:ascii="仿宋_GB2312" w:hAnsi="仿宋_GB2312" w:cs="仿宋_GB2312" w:eastAsia="仿宋_GB2312"/>
                      <w:sz w:val="21"/>
                    </w:rPr>
                    <w:t>个</w:t>
                  </w:r>
                  <w:r>
                    <w:rPr>
                      <w:rFonts w:ascii="仿宋_GB2312" w:hAnsi="仿宋_GB2312" w:cs="仿宋_GB2312" w:eastAsia="仿宋_GB2312"/>
                      <w:sz w:val="21"/>
                    </w:rPr>
                    <w:t>千</w:t>
                  </w:r>
                  <w:r>
                    <w:rPr>
                      <w:rFonts w:ascii="仿宋_GB2312" w:hAnsi="仿宋_GB2312" w:cs="仿宋_GB2312" w:eastAsia="仿宋_GB2312"/>
                      <w:sz w:val="21"/>
                    </w:rPr>
                    <w:t>兆光口</w:t>
                  </w:r>
                </w:p>
                <w:p>
                  <w:pPr>
                    <w:pStyle w:val="null3"/>
                    <w:jc w:val="left"/>
                  </w:pPr>
                  <w:r>
                    <w:rPr>
                      <w:rFonts w:ascii="仿宋_GB2312" w:hAnsi="仿宋_GB2312" w:cs="仿宋_GB2312" w:eastAsia="仿宋_GB2312"/>
                      <w:sz w:val="21"/>
                    </w:rPr>
                    <w:t>电源：配置</w:t>
                  </w:r>
                  <w:r>
                    <w:rPr>
                      <w:rFonts w:ascii="仿宋_GB2312" w:hAnsi="仿宋_GB2312" w:cs="仿宋_GB2312" w:eastAsia="仿宋_GB2312"/>
                      <w:sz w:val="21"/>
                    </w:rPr>
                    <w:t>1+1冗余电源</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7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视频服务器</w:t>
                  </w:r>
                </w:p>
              </w:tc>
              <w:tc>
                <w:tcPr>
                  <w:tcW w:type="dxa" w:w="1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CPU:</w:t>
                  </w: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6</w:t>
                  </w:r>
                  <w:r>
                    <w:rPr>
                      <w:rFonts w:ascii="仿宋_GB2312" w:hAnsi="仿宋_GB2312" w:cs="仿宋_GB2312" w:eastAsia="仿宋_GB2312"/>
                      <w:sz w:val="21"/>
                    </w:rPr>
                    <w:t>核</w:t>
                  </w:r>
                  <w:r>
                    <w:rPr>
                      <w:rFonts w:ascii="仿宋_GB2312" w:hAnsi="仿宋_GB2312" w:cs="仿宋_GB2312" w:eastAsia="仿宋_GB2312"/>
                      <w:sz w:val="21"/>
                    </w:rPr>
                    <w:t>*2</w:t>
                  </w:r>
                  <w:r>
                    <w:rPr>
                      <w:rFonts w:ascii="仿宋_GB2312" w:hAnsi="仿宋_GB2312" w:cs="仿宋_GB2312" w:eastAsia="仿宋_GB2312"/>
                      <w:sz w:val="21"/>
                    </w:rPr>
                    <w:t>颗 主频 ≥</w:t>
                  </w:r>
                  <w:r>
                    <w:rPr>
                      <w:rFonts w:ascii="仿宋_GB2312" w:hAnsi="仿宋_GB2312" w:cs="仿宋_GB2312" w:eastAsia="仿宋_GB2312"/>
                      <w:sz w:val="21"/>
                    </w:rPr>
                    <w:t>2.</w:t>
                  </w:r>
                  <w:r>
                    <w:rPr>
                      <w:rFonts w:ascii="仿宋_GB2312" w:hAnsi="仿宋_GB2312" w:cs="仿宋_GB2312" w:eastAsia="仿宋_GB2312"/>
                      <w:sz w:val="21"/>
                    </w:rPr>
                    <w:t>2</w:t>
                  </w:r>
                  <w:r>
                    <w:rPr>
                      <w:rFonts w:ascii="仿宋_GB2312" w:hAnsi="仿宋_GB2312" w:cs="仿宋_GB2312" w:eastAsia="仿宋_GB2312"/>
                      <w:sz w:val="21"/>
                    </w:rPr>
                    <w:t>GHz</w:t>
                  </w:r>
                </w:p>
                <w:p>
                  <w:pPr>
                    <w:pStyle w:val="null3"/>
                    <w:jc w:val="left"/>
                  </w:pPr>
                  <w:r>
                    <w:rPr>
                      <w:rFonts w:ascii="仿宋_GB2312" w:hAnsi="仿宋_GB2312" w:cs="仿宋_GB2312" w:eastAsia="仿宋_GB2312"/>
                      <w:sz w:val="21"/>
                    </w:rPr>
                    <w:t>内存：</w:t>
                  </w:r>
                  <w:r>
                    <w:rPr>
                      <w:rFonts w:ascii="仿宋_GB2312" w:hAnsi="仿宋_GB2312" w:cs="仿宋_GB2312" w:eastAsia="仿宋_GB2312"/>
                      <w:sz w:val="21"/>
                    </w:rPr>
                    <w:t>≥</w:t>
                  </w:r>
                  <w:r>
                    <w:rPr>
                      <w:rFonts w:ascii="仿宋_GB2312" w:hAnsi="仿宋_GB2312" w:cs="仿宋_GB2312" w:eastAsia="仿宋_GB2312"/>
                      <w:sz w:val="21"/>
                    </w:rPr>
                    <w:t>32GB *4</w:t>
                  </w:r>
                </w:p>
                <w:p>
                  <w:pPr>
                    <w:pStyle w:val="null3"/>
                    <w:jc w:val="left"/>
                  </w:pPr>
                  <w:r>
                    <w:rPr>
                      <w:rFonts w:ascii="仿宋_GB2312" w:hAnsi="仿宋_GB2312" w:cs="仿宋_GB2312" w:eastAsia="仿宋_GB2312"/>
                      <w:sz w:val="21"/>
                    </w:rPr>
                    <w:t>硬盘：</w:t>
                  </w:r>
                  <w:r>
                    <w:rPr>
                      <w:rFonts w:ascii="仿宋_GB2312" w:hAnsi="仿宋_GB2312" w:cs="仿宋_GB2312" w:eastAsia="仿宋_GB2312"/>
                      <w:sz w:val="21"/>
                    </w:rPr>
                    <w:t>≥</w:t>
                  </w:r>
                  <w:r>
                    <w:rPr>
                      <w:rFonts w:ascii="仿宋_GB2312" w:hAnsi="仿宋_GB2312" w:cs="仿宋_GB2312" w:eastAsia="仿宋_GB2312"/>
                      <w:sz w:val="21"/>
                    </w:rPr>
                    <w:t>2TB SATA SSD</w:t>
                  </w:r>
                </w:p>
                <w:p>
                  <w:pPr>
                    <w:pStyle w:val="null3"/>
                    <w:jc w:val="left"/>
                  </w:pPr>
                  <w:r>
                    <w:rPr>
                      <w:rFonts w:ascii="仿宋_GB2312" w:hAnsi="仿宋_GB2312" w:cs="仿宋_GB2312" w:eastAsia="仿宋_GB2312"/>
                      <w:sz w:val="21"/>
                    </w:rPr>
                    <w:t>含有独立阵列卡</w:t>
                  </w:r>
                </w:p>
                <w:p>
                  <w:pPr>
                    <w:pStyle w:val="null3"/>
                    <w:jc w:val="left"/>
                  </w:pPr>
                  <w:r>
                    <w:rPr>
                      <w:rFonts w:ascii="仿宋_GB2312" w:hAnsi="仿宋_GB2312" w:cs="仿宋_GB2312" w:eastAsia="仿宋_GB2312"/>
                      <w:sz w:val="21"/>
                    </w:rPr>
                    <w:t>网卡：不少于</w:t>
                  </w:r>
                  <w:r>
                    <w:rPr>
                      <w:rFonts w:ascii="仿宋_GB2312" w:hAnsi="仿宋_GB2312" w:cs="仿宋_GB2312" w:eastAsia="仿宋_GB2312"/>
                      <w:sz w:val="21"/>
                    </w:rPr>
                    <w:t>2</w:t>
                  </w:r>
                  <w:r>
                    <w:rPr>
                      <w:rFonts w:ascii="仿宋_GB2312" w:hAnsi="仿宋_GB2312" w:cs="仿宋_GB2312" w:eastAsia="仿宋_GB2312"/>
                      <w:sz w:val="21"/>
                    </w:rPr>
                    <w:t>个</w:t>
                  </w:r>
                  <w:r>
                    <w:rPr>
                      <w:rFonts w:ascii="仿宋_GB2312" w:hAnsi="仿宋_GB2312" w:cs="仿宋_GB2312" w:eastAsia="仿宋_GB2312"/>
                      <w:sz w:val="21"/>
                    </w:rPr>
                    <w:t>千</w:t>
                  </w:r>
                  <w:r>
                    <w:rPr>
                      <w:rFonts w:ascii="仿宋_GB2312" w:hAnsi="仿宋_GB2312" w:cs="仿宋_GB2312" w:eastAsia="仿宋_GB2312"/>
                      <w:sz w:val="21"/>
                    </w:rPr>
                    <w:t>兆光口</w:t>
                  </w:r>
                </w:p>
                <w:p>
                  <w:pPr>
                    <w:pStyle w:val="null3"/>
                    <w:jc w:val="left"/>
                  </w:pPr>
                  <w:r>
                    <w:rPr>
                      <w:rFonts w:ascii="仿宋_GB2312" w:hAnsi="仿宋_GB2312" w:cs="仿宋_GB2312" w:eastAsia="仿宋_GB2312"/>
                      <w:sz w:val="21"/>
                    </w:rPr>
                    <w:t>电源：配置</w:t>
                  </w:r>
                  <w:r>
                    <w:rPr>
                      <w:rFonts w:ascii="仿宋_GB2312" w:hAnsi="仿宋_GB2312" w:cs="仿宋_GB2312" w:eastAsia="仿宋_GB2312"/>
                      <w:sz w:val="21"/>
                    </w:rPr>
                    <w:t>1+1</w:t>
                  </w:r>
                  <w:r>
                    <w:rPr>
                      <w:rFonts w:ascii="仿宋_GB2312" w:hAnsi="仿宋_GB2312" w:cs="仿宋_GB2312" w:eastAsia="仿宋_GB2312"/>
                      <w:sz w:val="21"/>
                    </w:rPr>
                    <w:t>冗余电源</w:t>
                  </w:r>
                  <w:r>
                    <w:rPr>
                      <w:rFonts w:ascii="仿宋_GB2312" w:hAnsi="仿宋_GB2312" w:cs="仿宋_GB2312" w:eastAsia="仿宋_GB2312"/>
                      <w:sz w:val="21"/>
                    </w:rPr>
                    <w:t xml:space="preserve">                                                                                                                                                                                                                                                                                                                                                                                                        </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7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GPU算力服务器</w:t>
                  </w:r>
                </w:p>
              </w:tc>
              <w:tc>
                <w:tcPr>
                  <w:tcW w:type="dxa" w:w="1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CPU:</w:t>
                  </w: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6</w:t>
                  </w:r>
                  <w:r>
                    <w:rPr>
                      <w:rFonts w:ascii="仿宋_GB2312" w:hAnsi="仿宋_GB2312" w:cs="仿宋_GB2312" w:eastAsia="仿宋_GB2312"/>
                      <w:sz w:val="21"/>
                    </w:rPr>
                    <w:t>核</w:t>
                  </w:r>
                  <w:r>
                    <w:rPr>
                      <w:rFonts w:ascii="仿宋_GB2312" w:hAnsi="仿宋_GB2312" w:cs="仿宋_GB2312" w:eastAsia="仿宋_GB2312"/>
                      <w:sz w:val="21"/>
                    </w:rPr>
                    <w:t>*2</w:t>
                  </w:r>
                  <w:r>
                    <w:rPr>
                      <w:rFonts w:ascii="仿宋_GB2312" w:hAnsi="仿宋_GB2312" w:cs="仿宋_GB2312" w:eastAsia="仿宋_GB2312"/>
                      <w:sz w:val="21"/>
                    </w:rPr>
                    <w:t>颗 主频 ≥</w:t>
                  </w:r>
                  <w:r>
                    <w:rPr>
                      <w:rFonts w:ascii="仿宋_GB2312" w:hAnsi="仿宋_GB2312" w:cs="仿宋_GB2312" w:eastAsia="仿宋_GB2312"/>
                      <w:sz w:val="21"/>
                    </w:rPr>
                    <w:t>2.</w:t>
                  </w:r>
                  <w:r>
                    <w:rPr>
                      <w:rFonts w:ascii="仿宋_GB2312" w:hAnsi="仿宋_GB2312" w:cs="仿宋_GB2312" w:eastAsia="仿宋_GB2312"/>
                      <w:sz w:val="21"/>
                    </w:rPr>
                    <w:t>4</w:t>
                  </w:r>
                  <w:r>
                    <w:rPr>
                      <w:rFonts w:ascii="仿宋_GB2312" w:hAnsi="仿宋_GB2312" w:cs="仿宋_GB2312" w:eastAsia="仿宋_GB2312"/>
                      <w:sz w:val="21"/>
                    </w:rPr>
                    <w:t>GHz</w:t>
                  </w:r>
                </w:p>
                <w:p>
                  <w:pPr>
                    <w:pStyle w:val="null3"/>
                    <w:jc w:val="left"/>
                  </w:pPr>
                  <w:r>
                    <w:rPr>
                      <w:rFonts w:ascii="仿宋_GB2312" w:hAnsi="仿宋_GB2312" w:cs="仿宋_GB2312" w:eastAsia="仿宋_GB2312"/>
                      <w:sz w:val="21"/>
                    </w:rPr>
                    <w:t>内存：</w:t>
                  </w:r>
                  <w:r>
                    <w:rPr>
                      <w:rFonts w:ascii="仿宋_GB2312" w:hAnsi="仿宋_GB2312" w:cs="仿宋_GB2312" w:eastAsia="仿宋_GB2312"/>
                      <w:sz w:val="21"/>
                    </w:rPr>
                    <w:t>≥</w:t>
                  </w:r>
                  <w:r>
                    <w:rPr>
                      <w:rFonts w:ascii="仿宋_GB2312" w:hAnsi="仿宋_GB2312" w:cs="仿宋_GB2312" w:eastAsia="仿宋_GB2312"/>
                      <w:sz w:val="21"/>
                    </w:rPr>
                    <w:t>64GB *2</w:t>
                  </w:r>
                </w:p>
                <w:p>
                  <w:pPr>
                    <w:pStyle w:val="null3"/>
                    <w:jc w:val="left"/>
                  </w:pPr>
                  <w:r>
                    <w:rPr>
                      <w:rFonts w:ascii="仿宋_GB2312" w:hAnsi="仿宋_GB2312" w:cs="仿宋_GB2312" w:eastAsia="仿宋_GB2312"/>
                      <w:sz w:val="21"/>
                    </w:rPr>
                    <w:t>硬盘：</w:t>
                  </w:r>
                  <w:r>
                    <w:rPr>
                      <w:rFonts w:ascii="仿宋_GB2312" w:hAnsi="仿宋_GB2312" w:cs="仿宋_GB2312" w:eastAsia="仿宋_GB2312"/>
                      <w:sz w:val="21"/>
                    </w:rPr>
                    <w:t>≥</w:t>
                  </w:r>
                  <w:r>
                    <w:rPr>
                      <w:rFonts w:ascii="仿宋_GB2312" w:hAnsi="仿宋_GB2312" w:cs="仿宋_GB2312" w:eastAsia="仿宋_GB2312"/>
                      <w:sz w:val="21"/>
                    </w:rPr>
                    <w:t>2TB SATA SSD</w:t>
                  </w:r>
                </w:p>
                <w:p>
                  <w:pPr>
                    <w:pStyle w:val="null3"/>
                    <w:jc w:val="left"/>
                  </w:pPr>
                  <w:r>
                    <w:rPr>
                      <w:rFonts w:ascii="仿宋_GB2312" w:hAnsi="仿宋_GB2312" w:cs="仿宋_GB2312" w:eastAsia="仿宋_GB2312"/>
                      <w:sz w:val="21"/>
                    </w:rPr>
                    <w:t>含有独立阵列卡</w:t>
                  </w:r>
                </w:p>
                <w:p>
                  <w:pPr>
                    <w:pStyle w:val="null3"/>
                    <w:jc w:val="left"/>
                  </w:pPr>
                  <w:r>
                    <w:rPr>
                      <w:rFonts w:ascii="仿宋_GB2312" w:hAnsi="仿宋_GB2312" w:cs="仿宋_GB2312" w:eastAsia="仿宋_GB2312"/>
                      <w:sz w:val="21"/>
                    </w:rPr>
                    <w:t>网卡：不少于</w:t>
                  </w:r>
                  <w:r>
                    <w:rPr>
                      <w:rFonts w:ascii="仿宋_GB2312" w:hAnsi="仿宋_GB2312" w:cs="仿宋_GB2312" w:eastAsia="仿宋_GB2312"/>
                      <w:sz w:val="21"/>
                    </w:rPr>
                    <w:t>2</w:t>
                  </w:r>
                  <w:r>
                    <w:rPr>
                      <w:rFonts w:ascii="仿宋_GB2312" w:hAnsi="仿宋_GB2312" w:cs="仿宋_GB2312" w:eastAsia="仿宋_GB2312"/>
                      <w:sz w:val="21"/>
                    </w:rPr>
                    <w:t>个万兆光口</w:t>
                  </w:r>
                </w:p>
                <w:p>
                  <w:pPr>
                    <w:pStyle w:val="null3"/>
                    <w:jc w:val="left"/>
                  </w:pPr>
                  <w:r>
                    <w:rPr>
                      <w:rFonts w:ascii="仿宋_GB2312" w:hAnsi="仿宋_GB2312" w:cs="仿宋_GB2312" w:eastAsia="仿宋_GB2312"/>
                      <w:sz w:val="21"/>
                    </w:rPr>
                    <w:t>显卡：</w:t>
                  </w:r>
                  <w:r>
                    <w:rPr>
                      <w:rFonts w:ascii="仿宋_GB2312" w:hAnsi="仿宋_GB2312" w:cs="仿宋_GB2312" w:eastAsia="仿宋_GB2312"/>
                      <w:sz w:val="21"/>
                    </w:rPr>
                    <w:t>≥</w:t>
                  </w:r>
                  <w:r>
                    <w:rPr>
                      <w:rFonts w:ascii="仿宋_GB2312" w:hAnsi="仿宋_GB2312" w:cs="仿宋_GB2312" w:eastAsia="仿宋_GB2312"/>
                      <w:sz w:val="21"/>
                    </w:rPr>
                    <w:t>RTX4090*4</w:t>
                  </w:r>
                  <w:r>
                    <w:rPr>
                      <w:rFonts w:ascii="仿宋_GB2312" w:hAnsi="仿宋_GB2312" w:cs="仿宋_GB2312" w:eastAsia="仿宋_GB2312"/>
                      <w:sz w:val="21"/>
                    </w:rPr>
                    <w:t>或具备同等算力水平</w:t>
                  </w:r>
                  <w:r>
                    <w:rPr>
                      <w:rFonts w:ascii="仿宋_GB2312" w:hAnsi="仿宋_GB2312" w:cs="仿宋_GB2312" w:eastAsia="仿宋_GB2312"/>
                      <w:sz w:val="21"/>
                    </w:rPr>
                    <w:t>以上</w:t>
                  </w:r>
                  <w:r>
                    <w:rPr>
                      <w:rFonts w:ascii="仿宋_GB2312" w:hAnsi="仿宋_GB2312" w:cs="仿宋_GB2312" w:eastAsia="仿宋_GB2312"/>
                      <w:sz w:val="21"/>
                    </w:rPr>
                    <w:t>的显卡</w:t>
                  </w:r>
                </w:p>
                <w:p>
                  <w:pPr>
                    <w:pStyle w:val="null3"/>
                    <w:jc w:val="left"/>
                  </w:pPr>
                  <w:r>
                    <w:rPr>
                      <w:rFonts w:ascii="仿宋_GB2312" w:hAnsi="仿宋_GB2312" w:cs="仿宋_GB2312" w:eastAsia="仿宋_GB2312"/>
                      <w:sz w:val="21"/>
                    </w:rPr>
                    <w:t>电源：配置</w:t>
                  </w:r>
                  <w:r>
                    <w:rPr>
                      <w:rFonts w:ascii="仿宋_GB2312" w:hAnsi="仿宋_GB2312" w:cs="仿宋_GB2312" w:eastAsia="仿宋_GB2312"/>
                      <w:sz w:val="21"/>
                    </w:rPr>
                    <w:t>1+1</w:t>
                  </w:r>
                  <w:r>
                    <w:rPr>
                      <w:rFonts w:ascii="仿宋_GB2312" w:hAnsi="仿宋_GB2312" w:cs="仿宋_GB2312" w:eastAsia="仿宋_GB2312"/>
                      <w:sz w:val="21"/>
                    </w:rPr>
                    <w:t>冗余电源</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bl>
          <w:p>
            <w:pPr>
              <w:pStyle w:val="null3"/>
              <w:jc w:val="both"/>
              <w:outlineLvl w:val="2"/>
            </w:pPr>
            <w:r>
              <w:rPr>
                <w:rFonts w:ascii="仿宋_GB2312" w:hAnsi="仿宋_GB2312" w:cs="仿宋_GB2312" w:eastAsia="仿宋_GB2312"/>
                <w:sz w:val="28"/>
                <w:b/>
                <w:color w:val="000000"/>
              </w:rPr>
              <w:t>1.5实施要求</w:t>
            </w:r>
            <w:r>
              <w:rPr>
                <w:rFonts w:ascii="仿宋_GB2312" w:hAnsi="仿宋_GB2312" w:cs="仿宋_GB2312" w:eastAsia="仿宋_GB2312"/>
                <w:sz w:val="28"/>
                <w:b/>
                <w:color w:val="000000"/>
              </w:rPr>
              <w:t xml:space="preserve"> </w:t>
            </w:r>
          </w:p>
          <w:p>
            <w:pPr>
              <w:pStyle w:val="null3"/>
              <w:ind w:firstLine="480"/>
              <w:jc w:val="both"/>
            </w:pPr>
            <w:r>
              <w:rPr>
                <w:rFonts w:ascii="仿宋_GB2312" w:hAnsi="仿宋_GB2312" w:cs="仿宋_GB2312" w:eastAsia="仿宋_GB2312"/>
                <w:sz w:val="24"/>
              </w:rPr>
              <w:t>1、项目实施周期：自合同签订之日起3个月内完成项目建设。</w:t>
            </w:r>
          </w:p>
          <w:p>
            <w:pPr>
              <w:pStyle w:val="null3"/>
              <w:ind w:firstLine="480"/>
              <w:jc w:val="both"/>
            </w:pPr>
            <w:r>
              <w:rPr>
                <w:rFonts w:ascii="仿宋_GB2312" w:hAnsi="仿宋_GB2312" w:cs="仿宋_GB2312" w:eastAsia="仿宋_GB2312"/>
                <w:sz w:val="24"/>
              </w:rPr>
              <w:t>2、本项目在合同签订后，中标公司应切实保障本项目按照建设进度要求完成全部开发集成工作并上线运行。</w:t>
            </w:r>
          </w:p>
          <w:p>
            <w:pPr>
              <w:pStyle w:val="null3"/>
              <w:ind w:firstLine="480"/>
              <w:jc w:val="both"/>
            </w:pPr>
            <w:r>
              <w:rPr>
                <w:rFonts w:ascii="仿宋_GB2312" w:hAnsi="仿宋_GB2312" w:cs="仿宋_GB2312" w:eastAsia="仿宋_GB2312"/>
                <w:sz w:val="24"/>
              </w:rPr>
              <w:t>3、中标公司必须承诺在中标后，立刻提供本项目的详细工作进度安排和项目组人员配备方案。</w:t>
            </w:r>
          </w:p>
          <w:p>
            <w:pPr>
              <w:pStyle w:val="null3"/>
              <w:ind w:firstLine="480"/>
              <w:jc w:val="both"/>
            </w:pPr>
            <w:r>
              <w:rPr>
                <w:rFonts w:ascii="仿宋_GB2312" w:hAnsi="仿宋_GB2312" w:cs="仿宋_GB2312" w:eastAsia="仿宋_GB2312"/>
                <w:sz w:val="24"/>
              </w:rPr>
              <w:t>4、本项目的中标公司签订合同后，应与采购人根据中标情况，确定详细具体的技术方案，包括各实施小组的人员，具体实施进度。</w:t>
            </w:r>
          </w:p>
          <w:p>
            <w:pPr>
              <w:pStyle w:val="null3"/>
              <w:ind w:firstLine="480"/>
              <w:jc w:val="both"/>
            </w:pPr>
            <w:r>
              <w:rPr>
                <w:rFonts w:ascii="仿宋_GB2312" w:hAnsi="仿宋_GB2312" w:cs="仿宋_GB2312" w:eastAsia="仿宋_GB2312"/>
                <w:sz w:val="24"/>
              </w:rPr>
              <w:t>5、协助采购人完成本项目内各个子系统的业务调研和技术标准制定，完成各项目实施期的安排以配合整个工程实施的进度要求。</w:t>
            </w:r>
          </w:p>
          <w:p>
            <w:pPr>
              <w:pStyle w:val="null3"/>
              <w:jc w:val="both"/>
              <w:outlineLvl w:val="2"/>
            </w:pPr>
            <w:r>
              <w:rPr>
                <w:rFonts w:ascii="仿宋_GB2312" w:hAnsi="仿宋_GB2312" w:cs="仿宋_GB2312" w:eastAsia="仿宋_GB2312"/>
                <w:sz w:val="28"/>
                <w:b/>
                <w:color w:val="000000"/>
              </w:rPr>
              <w:t>1.6</w:t>
            </w:r>
            <w:r>
              <w:rPr>
                <w:rFonts w:ascii="仿宋_GB2312" w:hAnsi="仿宋_GB2312" w:cs="仿宋_GB2312" w:eastAsia="仿宋_GB2312"/>
                <w:sz w:val="28"/>
                <w:b/>
                <w:color w:val="000000"/>
              </w:rPr>
              <w:t>付款时间及方式</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本项目合同签订后，乙方开具的合同等额的增值税发票，甲方向乙方支付合同总价的</w:t>
            </w:r>
            <w:r>
              <w:rPr>
                <w:rFonts w:ascii="仿宋_GB2312" w:hAnsi="仿宋_GB2312" w:cs="仿宋_GB2312" w:eastAsia="仿宋_GB2312"/>
                <w:sz w:val="24"/>
              </w:rPr>
              <w:t>30%款项</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项目整体验收合格后，甲方向乙方支付合同总价的</w:t>
            </w:r>
            <w:r>
              <w:rPr>
                <w:rFonts w:ascii="仿宋_GB2312" w:hAnsi="仿宋_GB2312" w:cs="仿宋_GB2312" w:eastAsia="仿宋_GB2312"/>
                <w:sz w:val="24"/>
              </w:rPr>
              <w:t>6</w:t>
            </w:r>
            <w:r>
              <w:rPr>
                <w:rFonts w:ascii="仿宋_GB2312" w:hAnsi="仿宋_GB2312" w:cs="仿宋_GB2312" w:eastAsia="仿宋_GB2312"/>
                <w:sz w:val="24"/>
              </w:rPr>
              <w:t>0%款项；</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项目在</w:t>
            </w:r>
            <w:r>
              <w:rPr>
                <w:rFonts w:ascii="仿宋_GB2312" w:hAnsi="仿宋_GB2312" w:cs="仿宋_GB2312" w:eastAsia="仿宋_GB2312"/>
                <w:sz w:val="24"/>
              </w:rPr>
              <w:t>整体</w:t>
            </w:r>
            <w:r>
              <w:rPr>
                <w:rFonts w:ascii="仿宋_GB2312" w:hAnsi="仿宋_GB2312" w:cs="仿宋_GB2312" w:eastAsia="仿宋_GB2312"/>
                <w:sz w:val="24"/>
              </w:rPr>
              <w:t>验收合格之日满</w:t>
            </w:r>
            <w:r>
              <w:rPr>
                <w:rFonts w:ascii="仿宋_GB2312" w:hAnsi="仿宋_GB2312" w:cs="仿宋_GB2312" w:eastAsia="仿宋_GB2312"/>
                <w:sz w:val="24"/>
              </w:rPr>
              <w:t>一年后</w:t>
            </w:r>
            <w:r>
              <w:rPr>
                <w:rFonts w:ascii="仿宋_GB2312" w:hAnsi="仿宋_GB2312" w:cs="仿宋_GB2312" w:eastAsia="仿宋_GB2312"/>
                <w:sz w:val="24"/>
              </w:rPr>
              <w:t>，甲方向乙方支付合同总额的</w:t>
            </w:r>
            <w:r>
              <w:rPr>
                <w:rFonts w:ascii="仿宋_GB2312" w:hAnsi="仿宋_GB2312" w:cs="仿宋_GB2312" w:eastAsia="仿宋_GB2312"/>
                <w:sz w:val="24"/>
              </w:rPr>
              <w:t>5</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4、</w:t>
            </w:r>
            <w:r>
              <w:rPr>
                <w:rFonts w:ascii="仿宋_GB2312" w:hAnsi="仿宋_GB2312" w:cs="仿宋_GB2312" w:eastAsia="仿宋_GB2312"/>
                <w:sz w:val="24"/>
              </w:rPr>
              <w:t>项目在</w:t>
            </w:r>
            <w:r>
              <w:rPr>
                <w:rFonts w:ascii="仿宋_GB2312" w:hAnsi="仿宋_GB2312" w:cs="仿宋_GB2312" w:eastAsia="仿宋_GB2312"/>
                <w:sz w:val="24"/>
              </w:rPr>
              <w:t>整体</w:t>
            </w:r>
            <w:r>
              <w:rPr>
                <w:rFonts w:ascii="仿宋_GB2312" w:hAnsi="仿宋_GB2312" w:cs="仿宋_GB2312" w:eastAsia="仿宋_GB2312"/>
                <w:sz w:val="24"/>
              </w:rPr>
              <w:t>验收合格之日满</w:t>
            </w:r>
            <w:r>
              <w:rPr>
                <w:rFonts w:ascii="仿宋_GB2312" w:hAnsi="仿宋_GB2312" w:cs="仿宋_GB2312" w:eastAsia="仿宋_GB2312"/>
                <w:sz w:val="24"/>
              </w:rPr>
              <w:t>三年后</w:t>
            </w:r>
            <w:r>
              <w:rPr>
                <w:rFonts w:ascii="仿宋_GB2312" w:hAnsi="仿宋_GB2312" w:cs="仿宋_GB2312" w:eastAsia="仿宋_GB2312"/>
                <w:sz w:val="24"/>
              </w:rPr>
              <w:t>，甲方向乙方支付合同总额的</w:t>
            </w:r>
            <w:r>
              <w:rPr>
                <w:rFonts w:ascii="仿宋_GB2312" w:hAnsi="仿宋_GB2312" w:cs="仿宋_GB2312" w:eastAsia="仿宋_GB2312"/>
                <w:sz w:val="24"/>
              </w:rPr>
              <w:t>5</w:t>
            </w:r>
            <w:r>
              <w:rPr>
                <w:rFonts w:ascii="仿宋_GB2312" w:hAnsi="仿宋_GB2312" w:cs="仿宋_GB2312" w:eastAsia="仿宋_GB2312"/>
                <w:sz w:val="24"/>
              </w:rPr>
              <w:t>%。</w:t>
            </w:r>
          </w:p>
          <w:p>
            <w:pPr>
              <w:pStyle w:val="null3"/>
              <w:jc w:val="both"/>
              <w:outlineLvl w:val="2"/>
            </w:pPr>
            <w:r>
              <w:rPr>
                <w:rFonts w:ascii="仿宋_GB2312" w:hAnsi="仿宋_GB2312" w:cs="仿宋_GB2312" w:eastAsia="仿宋_GB2312"/>
                <w:sz w:val="28"/>
                <w:b/>
                <w:color w:val="000000"/>
              </w:rPr>
              <w:t>1.</w:t>
            </w:r>
            <w:r>
              <w:rPr>
                <w:rFonts w:ascii="仿宋_GB2312" w:hAnsi="仿宋_GB2312" w:cs="仿宋_GB2312" w:eastAsia="仿宋_GB2312"/>
                <w:sz w:val="28"/>
                <w:b/>
                <w:color w:val="000000"/>
              </w:rPr>
              <w:t>7</w:t>
            </w:r>
            <w:r>
              <w:rPr>
                <w:rFonts w:ascii="仿宋_GB2312" w:hAnsi="仿宋_GB2312" w:cs="仿宋_GB2312" w:eastAsia="仿宋_GB2312"/>
                <w:sz w:val="28"/>
                <w:b/>
                <w:color w:val="000000"/>
              </w:rPr>
              <w:t>售后要求</w:t>
            </w:r>
          </w:p>
          <w:p>
            <w:pPr>
              <w:pStyle w:val="null3"/>
              <w:ind w:firstLine="480"/>
              <w:jc w:val="both"/>
            </w:pPr>
            <w:r>
              <w:rPr>
                <w:rFonts w:ascii="仿宋_GB2312" w:hAnsi="仿宋_GB2312" w:cs="仿宋_GB2312" w:eastAsia="仿宋_GB2312"/>
                <w:sz w:val="24"/>
              </w:rPr>
              <w:t>1、中标公司需提供自验收之日起3年的软硬件质保服务和运维，项目维护人员必须为参与本项目实施过程的人员。</w:t>
            </w:r>
          </w:p>
          <w:p>
            <w:pPr>
              <w:pStyle w:val="null3"/>
              <w:ind w:firstLine="480"/>
              <w:jc w:val="both"/>
            </w:pPr>
            <w:r>
              <w:rPr>
                <w:rFonts w:ascii="仿宋_GB2312" w:hAnsi="仿宋_GB2312" w:cs="仿宋_GB2312" w:eastAsia="仿宋_GB2312"/>
                <w:sz w:val="24"/>
              </w:rPr>
              <w:t>2、系统验收通过前，中标公司必须在培训和试运行期间按照现场服务和运维方案演练完善。</w:t>
            </w:r>
          </w:p>
          <w:p>
            <w:pPr>
              <w:pStyle w:val="null3"/>
              <w:ind w:firstLine="480"/>
              <w:jc w:val="both"/>
            </w:pPr>
            <w:r>
              <w:rPr>
                <w:rFonts w:ascii="仿宋_GB2312" w:hAnsi="仿宋_GB2312" w:cs="仿宋_GB2312" w:eastAsia="仿宋_GB2312"/>
                <w:sz w:val="24"/>
              </w:rPr>
              <w:t>3、故障响应时间：投标人需提供7×24小时技术支持服务，并在接到故障通知后30分钟响应，</w:t>
            </w:r>
            <w:r>
              <w:rPr>
                <w:rFonts w:ascii="仿宋_GB2312" w:hAnsi="仿宋_GB2312" w:cs="仿宋_GB2312" w:eastAsia="仿宋_GB2312"/>
                <w:sz w:val="24"/>
                <w:color w:val="000000"/>
              </w:rPr>
              <w:t>8小时</w:t>
            </w:r>
            <w:r>
              <w:rPr>
                <w:rFonts w:ascii="仿宋_GB2312" w:hAnsi="仿宋_GB2312" w:cs="仿宋_GB2312" w:eastAsia="仿宋_GB2312"/>
                <w:sz w:val="24"/>
              </w:rPr>
              <w:t>到达现场，</w:t>
            </w:r>
            <w:r>
              <w:rPr>
                <w:rFonts w:ascii="仿宋_GB2312" w:hAnsi="仿宋_GB2312" w:cs="仿宋_GB2312" w:eastAsia="仿宋_GB2312"/>
                <w:sz w:val="24"/>
              </w:rPr>
              <w:t>24小时排除故障。</w:t>
            </w:r>
          </w:p>
          <w:p>
            <w:pPr>
              <w:pStyle w:val="null3"/>
              <w:ind w:firstLine="480"/>
              <w:jc w:val="both"/>
            </w:pPr>
            <w:r>
              <w:rPr>
                <w:rFonts w:ascii="仿宋_GB2312" w:hAnsi="仿宋_GB2312" w:cs="仿宋_GB2312" w:eastAsia="仿宋_GB2312"/>
                <w:sz w:val="24"/>
              </w:rPr>
              <w:t>4、免费软件升级服务：提供免费质保期间的系统免费软件版本升级及软件功能更新服务。</w:t>
            </w:r>
          </w:p>
          <w:p>
            <w:pPr>
              <w:pStyle w:val="null3"/>
              <w:ind w:firstLine="480"/>
              <w:jc w:val="both"/>
            </w:pPr>
            <w:r>
              <w:rPr>
                <w:rFonts w:ascii="仿宋_GB2312" w:hAnsi="仿宋_GB2312" w:cs="仿宋_GB2312" w:eastAsia="仿宋_GB2312"/>
                <w:sz w:val="24"/>
              </w:rPr>
              <w:t>5、免费咨询服务：免费为用户提供技术咨询等支持服务。</w:t>
            </w:r>
          </w:p>
          <w:p>
            <w:pPr>
              <w:pStyle w:val="null3"/>
              <w:jc w:val="both"/>
              <w:outlineLvl w:val="2"/>
            </w:pPr>
            <w:r>
              <w:rPr>
                <w:rFonts w:ascii="仿宋_GB2312" w:hAnsi="仿宋_GB2312" w:cs="仿宋_GB2312" w:eastAsia="仿宋_GB2312"/>
                <w:sz w:val="28"/>
                <w:b/>
                <w:color w:val="000000"/>
              </w:rPr>
              <w:t>1.</w:t>
            </w:r>
            <w:r>
              <w:rPr>
                <w:rFonts w:ascii="仿宋_GB2312" w:hAnsi="仿宋_GB2312" w:cs="仿宋_GB2312" w:eastAsia="仿宋_GB2312"/>
                <w:sz w:val="28"/>
                <w:b/>
                <w:color w:val="000000"/>
              </w:rPr>
              <w:t>8</w:t>
            </w:r>
            <w:r>
              <w:rPr>
                <w:rFonts w:ascii="仿宋_GB2312" w:hAnsi="仿宋_GB2312" w:cs="仿宋_GB2312" w:eastAsia="仿宋_GB2312"/>
                <w:sz w:val="28"/>
                <w:b/>
                <w:color w:val="000000"/>
              </w:rPr>
              <w:t>其他要求</w:t>
            </w:r>
          </w:p>
          <w:p>
            <w:pPr>
              <w:pStyle w:val="null3"/>
              <w:ind w:firstLine="480"/>
              <w:jc w:val="both"/>
            </w:pPr>
            <w:r>
              <w:rPr>
                <w:rFonts w:ascii="仿宋_GB2312" w:hAnsi="仿宋_GB2312" w:cs="仿宋_GB2312" w:eastAsia="仿宋_GB2312"/>
                <w:sz w:val="24"/>
              </w:rPr>
              <w:t>1.采购标的对应的中小企业划分标准所属行业为其他未列明行业。从业人员300人以下的为中小微型企业。其中，从业人员100人及以上的为中型企业；从业人员10人及以上的为小型企业；从业人员10人以下的为微型企业。</w:t>
            </w:r>
          </w:p>
          <w:p>
            <w:pPr>
              <w:pStyle w:val="null3"/>
              <w:ind w:firstLine="480"/>
              <w:jc w:val="both"/>
            </w:pPr>
            <w:r>
              <w:rPr>
                <w:rFonts w:ascii="仿宋_GB2312" w:hAnsi="仿宋_GB2312" w:cs="仿宋_GB2312" w:eastAsia="仿宋_GB2312"/>
                <w:sz w:val="24"/>
              </w:rPr>
              <w:t>2.中标人在领取中标通知书前，须向采购代理机构提供纸质版投标文件3套（一正二副）、电子U盘二份，且提供的投标文件必须与在陕西省政府采购综合管理平台的项目电子化交易系统中递交的电子投标文件内容一致，纸质版投标文件必须装订成册签字盖章。</w:t>
            </w:r>
          </w:p>
          <w:p>
            <w:pPr>
              <w:pStyle w:val="null3"/>
              <w:ind w:firstLine="480"/>
              <w:jc w:val="both"/>
            </w:pP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1、项目实施周期：自合同签订之日起3个月内完成项目建设。 2、本项目在合同签订后，中标公司应切实保障本项目按照建设进度要求完成全部开发集成工作并上线运行。 3、中标公司必须承诺在中标后，立刻提供本项目的详细工作进度安排和项目组人员配备方案。 4、本项目的中标公司签订合同后，应与采购人根据中标情况，确定详细具体的技术方案，包括各实施小组的人员，具体实施进度。 5、协助采购人完成本项目内各个子系统的业务调研和技术标准制定，完成各项目实施期的安排以配合整个工程实施的进度要求。</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陕西中医药大学附属医院指定地点。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本项目合同签订后，乙方开具的合同等额的增值税发票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项目整体验收合格后，乙方开具的合同等额的增值税发票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项目在整体验收合格之日满一年后，乙方开具的合同等额的增值税发票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项目在整体验收合格之日满三年后，乙方开具的合同等额的增值税发票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详见招标文件及合同条款</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1、中标公司需提供自验收之日起3年的软硬件质保服务和运维，项目维护人员必须为参与本项目实施过程的人员。 2、系统验收通过前，中标公司必须在培训和试运行期间按照现场服务和运维方案演练完善。 3、故障响应时间：投标人需提供7×24小时技术支持服务，并在接到故障通知后30分钟响应，8小时到达现场，24小时排除故障。 4、免费软件升级服务：提供免费质保期间的系统免费软件版本升级及软件功能更新服务。 5、免费咨询服务：免费为用户提供技术咨询等支持服务。</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以双方最终签订的合同内具体条款为准</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采购标的对应的中小企业划分标准所属行业为其他未列明行业。从业人员300人以下的为中小微型企业。其中，从业人员100人及以上的为中型企业；从业人员10人及以上的为小型企业；从业人员10人以下的为微型企业。 2.中标人在领取中标通知书前，须向采购代理机构提供纸质版投标文件3套（一正二副）、电子U盘二份，且提供的投标文件必须与在陕西省政府采购综合管理平台的项目电子化交易系统中递交的电子投标文件内容一致，纸质版投标文件必须装订成册签字盖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供应商资格要求基本资格条件.docx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供应商资格要求基本资格条件.docx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供应商资格要求基本资格条件.docx</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具有独立承担民事责任能力的法人、其他组织或自然人</w:t>
            </w:r>
          </w:p>
        </w:tc>
        <w:tc>
          <w:tcPr>
            <w:tcW w:type="dxa" w:w="3322"/>
          </w:tcPr>
          <w:p>
            <w:pPr>
              <w:pStyle w:val="null3"/>
            </w:pPr>
            <w:r>
              <w:rPr>
                <w:rFonts w:ascii="仿宋_GB2312" w:hAnsi="仿宋_GB2312" w:cs="仿宋_GB2312" w:eastAsia="仿宋_GB2312"/>
              </w:rPr>
              <w:t>具有独立承担民事责任能力的法人、其他组织或自然人，提供合法有效的统一社会信用代码营业执照（事业单位提供事业单位法人证书，自然人应提供身份证）；</w:t>
            </w:r>
          </w:p>
        </w:tc>
        <w:tc>
          <w:tcPr>
            <w:tcW w:type="dxa" w:w="1661"/>
          </w:tcPr>
          <w:p>
            <w:pPr>
              <w:pStyle w:val="null3"/>
            </w:pPr>
            <w:r>
              <w:rPr>
                <w:rFonts w:ascii="仿宋_GB2312" w:hAnsi="仿宋_GB2312" w:cs="仿宋_GB2312" w:eastAsia="仿宋_GB2312"/>
              </w:rPr>
              <w:t>供应商资格要求基本资格条件.docx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投标截止日12个月内任意一月缴纳社会保险证明（含养老、医疗、工伤，缺少一种即否决）；</w:t>
            </w:r>
          </w:p>
        </w:tc>
        <w:tc>
          <w:tcPr>
            <w:tcW w:type="dxa" w:w="1661"/>
          </w:tcPr>
          <w:p>
            <w:pPr>
              <w:pStyle w:val="null3"/>
            </w:pPr>
            <w:r>
              <w:rPr>
                <w:rFonts w:ascii="仿宋_GB2312" w:hAnsi="仿宋_GB2312" w:cs="仿宋_GB2312" w:eastAsia="仿宋_GB2312"/>
              </w:rPr>
              <w:t>供应商资格要求基本资格条件.docx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投标截止日12个月内任意一个月依法缴纳税收的相关凭据（时间以税款所属日期为准），凭据应有税务机关或代收机关的公章或业务专用章。依法免税或无须缴纳税收的供应商，应提供相应证明文件；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供应商资格要求基本资格条件.docx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财务状况证明</w:t>
            </w:r>
          </w:p>
        </w:tc>
        <w:tc>
          <w:tcPr>
            <w:tcW w:type="dxa" w:w="3322"/>
          </w:tcPr>
          <w:p>
            <w:pPr>
              <w:pStyle w:val="null3"/>
            </w:pPr>
            <w:r>
              <w:rPr>
                <w:rFonts w:ascii="仿宋_GB2312" w:hAnsi="仿宋_GB2312" w:cs="仿宋_GB2312" w:eastAsia="仿宋_GB2312"/>
              </w:rPr>
              <w:t>提供2024年度至投标截止时间止任意年度经审计的财务会计报告（包括审计报告、资产负债表、利润表、现金流量表、所有者权益变动表及其附注），成立时间至提交投标文件截止时间不足一年的可提供成立后任意时段的资产负债表或其开标前三个月内基本开户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供应商资格要求基本资格条件.docx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违纪失信</w:t>
            </w:r>
          </w:p>
        </w:tc>
        <w:tc>
          <w:tcPr>
            <w:tcW w:type="dxa" w:w="3322"/>
          </w:tcPr>
          <w:p>
            <w:pPr>
              <w:pStyle w:val="null3"/>
            </w:pPr>
            <w:r>
              <w:rPr>
                <w:rFonts w:ascii="仿宋_GB2312" w:hAnsi="仿宋_GB2312" w:cs="仿宋_GB2312" w:eastAsia="仿宋_GB2312"/>
              </w:rPr>
              <w:t>参加本次政府采购活动前3年内在经营活动中没有重大违纪，以及未被列入失信被执行人、重大税收违法案件当事人名单、政府采购严重违法失信行为记录名单；（提供截图，并按格式要求声明）；</w:t>
            </w:r>
          </w:p>
        </w:tc>
        <w:tc>
          <w:tcPr>
            <w:tcW w:type="dxa" w:w="1661"/>
          </w:tcPr>
          <w:p>
            <w:pPr>
              <w:pStyle w:val="null3"/>
            </w:pPr>
            <w:r>
              <w:rPr>
                <w:rFonts w:ascii="仿宋_GB2312" w:hAnsi="仿宋_GB2312" w:cs="仿宋_GB2312" w:eastAsia="仿宋_GB2312"/>
              </w:rPr>
              <w:t>供应商资格要求基本资格条件.docx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具有履行合同所必需的设备和专业技术能力</w:t>
            </w:r>
          </w:p>
        </w:tc>
        <w:tc>
          <w:tcPr>
            <w:tcW w:type="dxa" w:w="3322"/>
          </w:tcPr>
          <w:p>
            <w:pPr>
              <w:pStyle w:val="null3"/>
            </w:pPr>
            <w:r>
              <w:rPr>
                <w:rFonts w:ascii="仿宋_GB2312" w:hAnsi="仿宋_GB2312" w:cs="仿宋_GB2312" w:eastAsia="仿宋_GB2312"/>
              </w:rPr>
              <w:t>具备履行合同所必需的设备和专业技术能力的承诺（格式自拟）；</w:t>
            </w:r>
          </w:p>
        </w:tc>
        <w:tc>
          <w:tcPr>
            <w:tcW w:type="dxa" w:w="1661"/>
          </w:tcPr>
          <w:p>
            <w:pPr>
              <w:pStyle w:val="null3"/>
            </w:pPr>
            <w:r>
              <w:rPr>
                <w:rFonts w:ascii="仿宋_GB2312" w:hAnsi="仿宋_GB2312" w:cs="仿宋_GB2312" w:eastAsia="仿宋_GB2312"/>
              </w:rPr>
              <w:t>供应商资格要求基本资格条件.docx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法定代表人或授权代表委托书</w:t>
            </w:r>
          </w:p>
        </w:tc>
        <w:tc>
          <w:tcPr>
            <w:tcW w:type="dxa" w:w="3322"/>
          </w:tcPr>
          <w:p>
            <w:pPr>
              <w:pStyle w:val="null3"/>
            </w:pPr>
            <w:r>
              <w:rPr>
                <w:rFonts w:ascii="仿宋_GB2312" w:hAnsi="仿宋_GB2312" w:cs="仿宋_GB2312" w:eastAsia="仿宋_GB2312"/>
              </w:rPr>
              <w:t>法定代表人直接参加的，须出具法人身份证并与营业执照上信息一致；法定代表人授权代表参加的，须出具法定代表人授权书、授权代表身份证以及被授权人有效的劳动合同或者截止开标前六个月内任意一个月本单位社保缴纳证明；</w:t>
            </w:r>
          </w:p>
        </w:tc>
        <w:tc>
          <w:tcPr>
            <w:tcW w:type="dxa" w:w="1661"/>
          </w:tcPr>
          <w:p>
            <w:pPr>
              <w:pStyle w:val="null3"/>
            </w:pPr>
            <w:r>
              <w:rPr>
                <w:rFonts w:ascii="仿宋_GB2312" w:hAnsi="仿宋_GB2312" w:cs="仿宋_GB2312" w:eastAsia="仿宋_GB2312"/>
              </w:rPr>
              <w:t>供应商资格要求基本资格条件.docx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非联合体声明</w:t>
            </w:r>
          </w:p>
        </w:tc>
        <w:tc>
          <w:tcPr>
            <w:tcW w:type="dxa" w:w="3322"/>
          </w:tcPr>
          <w:p>
            <w:pPr>
              <w:pStyle w:val="null3"/>
            </w:pPr>
            <w:r>
              <w:rPr>
                <w:rFonts w:ascii="仿宋_GB2312" w:hAnsi="仿宋_GB2312" w:cs="仿宋_GB2312" w:eastAsia="仿宋_GB2312"/>
              </w:rPr>
              <w:t>供应商提供非联合体书面声明（按格式要求声明）</w:t>
            </w:r>
          </w:p>
        </w:tc>
        <w:tc>
          <w:tcPr>
            <w:tcW w:type="dxa" w:w="1661"/>
          </w:tcPr>
          <w:p>
            <w:pPr>
              <w:pStyle w:val="null3"/>
            </w:pPr>
            <w:r>
              <w:rPr>
                <w:rFonts w:ascii="仿宋_GB2312" w:hAnsi="仿宋_GB2312" w:cs="仿宋_GB2312" w:eastAsia="仿宋_GB2312"/>
              </w:rPr>
              <w:t>供应商资格要求基本资格条件.docx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本采购包不专门面向中小企业采购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参与的供应商（联合体）提供的货物全部由符合政策要求的中小企业制造的可以享受相关政策优惠。</w:t>
            </w:r>
          </w:p>
        </w:tc>
        <w:tc>
          <w:tcPr>
            <w:tcW w:type="dxa" w:w="1661"/>
          </w:tcPr>
          <w:p>
            <w:pPr>
              <w:pStyle w:val="null3"/>
            </w:pPr>
            <w:r>
              <w:rPr>
                <w:rFonts w:ascii="仿宋_GB2312" w:hAnsi="仿宋_GB2312" w:cs="仿宋_GB2312" w:eastAsia="仿宋_GB2312"/>
              </w:rPr>
              <w:t>残疾人福利性单位声明函 中小企业声明函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审过程中，评审小组认为供应商报价低于采购预算50%或者低于其他有效供应商报价算术平均价40%，有可能影响产品质量或者不能诚信履约的，评审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评审小组要求的时间内通过项目电子化交易系统进行提交，否则提交的相关证明材料无效。供应商不能证明其报价合理性的，评审小组应当将其响应文件作为无效处理。</w:t>
            </w:r>
          </w:p>
        </w:tc>
        <w:tc>
          <w:tcPr>
            <w:tcW w:type="dxa" w:w="1661"/>
          </w:tcPr>
          <w:p>
            <w:pPr>
              <w:pStyle w:val="null3"/>
            </w:pPr>
            <w:r>
              <w:rPr>
                <w:rFonts w:ascii="仿宋_GB2312" w:hAnsi="仿宋_GB2312" w:cs="仿宋_GB2312" w:eastAsia="仿宋_GB2312"/>
              </w:rPr>
              <w:t>开标一览表 标的清单 开标一览表2.docx 分项报价表2.docx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投标报价超过采购预算或者最高限价 不合格；投标报价未超过采购预算或者最高限价 合格</w:t>
            </w:r>
          </w:p>
        </w:tc>
        <w:tc>
          <w:tcPr>
            <w:tcW w:type="dxa" w:w="1661"/>
          </w:tcPr>
          <w:p>
            <w:pPr>
              <w:pStyle w:val="null3"/>
            </w:pPr>
            <w:r>
              <w:rPr>
                <w:rFonts w:ascii="仿宋_GB2312" w:hAnsi="仿宋_GB2312" w:cs="仿宋_GB2312" w:eastAsia="仿宋_GB2312"/>
              </w:rPr>
              <w:t>开标一览表 开标一览表2.docx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实施周期</w:t>
            </w:r>
          </w:p>
        </w:tc>
        <w:tc>
          <w:tcPr>
            <w:tcW w:type="dxa" w:w="3322"/>
          </w:tcPr>
          <w:p>
            <w:pPr>
              <w:pStyle w:val="null3"/>
            </w:pPr>
            <w:r>
              <w:rPr>
                <w:rFonts w:ascii="仿宋_GB2312" w:hAnsi="仿宋_GB2312" w:cs="仿宋_GB2312" w:eastAsia="仿宋_GB2312"/>
              </w:rPr>
              <w:t>实施周期不满足招标文件要求 不合格；实施周期满足招标文件要求 合格</w:t>
            </w:r>
          </w:p>
        </w:tc>
        <w:tc>
          <w:tcPr>
            <w:tcW w:type="dxa" w:w="1661"/>
          </w:tcPr>
          <w:p>
            <w:pPr>
              <w:pStyle w:val="null3"/>
            </w:pPr>
            <w:r>
              <w:rPr>
                <w:rFonts w:ascii="仿宋_GB2312" w:hAnsi="仿宋_GB2312" w:cs="仿宋_GB2312" w:eastAsia="仿宋_GB2312"/>
              </w:rPr>
              <w:t>开标一览表 开标一览表2.docx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质保期不满足招标文件要求 不合格；质保期满足招标文件要求 合格</w:t>
            </w:r>
          </w:p>
        </w:tc>
        <w:tc>
          <w:tcPr>
            <w:tcW w:type="dxa" w:w="1661"/>
          </w:tcPr>
          <w:p>
            <w:pPr>
              <w:pStyle w:val="null3"/>
            </w:pPr>
            <w:r>
              <w:rPr>
                <w:rFonts w:ascii="仿宋_GB2312" w:hAnsi="仿宋_GB2312" w:cs="仿宋_GB2312" w:eastAsia="仿宋_GB2312"/>
              </w:rPr>
              <w:t>开标一览表 开标一览表2.docx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投标文件的签署、盖章不符合招标文件要求 不合格；投标文件的签署、盖章符合招标文件要求 合格</w:t>
            </w:r>
          </w:p>
        </w:tc>
        <w:tc>
          <w:tcPr>
            <w:tcW w:type="dxa" w:w="1661"/>
          </w:tcPr>
          <w:p>
            <w:pPr>
              <w:pStyle w:val="null3"/>
            </w:pPr>
            <w:r>
              <w:rPr>
                <w:rFonts w:ascii="仿宋_GB2312" w:hAnsi="仿宋_GB2312" w:cs="仿宋_GB2312" w:eastAsia="仿宋_GB2312"/>
              </w:rPr>
              <w:t>开标一览表 业绩一览表.docx 商务及技术响应说明.docx 中小企业声明函 服务承诺.docx 开标一览表2.docx 分项报价表2.docx 供应商资格要求基本资格条件.docx 投标函 残疾人福利性单位声明函 技术与服务方案.docx 标的清单 投标文件封面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投标文件无投标有效期或有效期达不到招标文件要求的 不合格；投标文件投标有效期达到招标文件要求的 合格</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标的数量</w:t>
            </w:r>
          </w:p>
        </w:tc>
        <w:tc>
          <w:tcPr>
            <w:tcW w:type="dxa" w:w="3322"/>
          </w:tcPr>
          <w:p>
            <w:pPr>
              <w:pStyle w:val="null3"/>
            </w:pPr>
            <w:r>
              <w:rPr>
                <w:rFonts w:ascii="仿宋_GB2312" w:hAnsi="仿宋_GB2312" w:cs="仿宋_GB2312" w:eastAsia="仿宋_GB2312"/>
              </w:rPr>
              <w:t>投标文件的标的数量不满足采购要求的 不合格；投标文件的标的数量满足采购要求的 合格</w:t>
            </w:r>
          </w:p>
        </w:tc>
        <w:tc>
          <w:tcPr>
            <w:tcW w:type="dxa" w:w="1661"/>
          </w:tcPr>
          <w:p>
            <w:pPr>
              <w:pStyle w:val="null3"/>
            </w:pPr>
            <w:r>
              <w:rPr>
                <w:rFonts w:ascii="仿宋_GB2312" w:hAnsi="仿宋_GB2312" w:cs="仿宋_GB2312" w:eastAsia="仿宋_GB2312"/>
              </w:rPr>
              <w:t>商务及技术响应说明.docx 标的清单 分项报价表2.docx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法律、法规和招标文件规定的其他无效情形</w:t>
            </w:r>
          </w:p>
        </w:tc>
        <w:tc>
          <w:tcPr>
            <w:tcW w:type="dxa" w:w="3322"/>
          </w:tcPr>
          <w:p>
            <w:pPr>
              <w:pStyle w:val="null3"/>
            </w:pPr>
            <w:r>
              <w:rPr>
                <w:rFonts w:ascii="仿宋_GB2312" w:hAnsi="仿宋_GB2312" w:cs="仿宋_GB2312" w:eastAsia="仿宋_GB2312"/>
              </w:rPr>
              <w:t>不存在法律、法规和招标文件规定的其他无效情形（合格）；存在法律、法规和招标文件规定的其他无效情形（不合格）</w:t>
            </w:r>
          </w:p>
        </w:tc>
        <w:tc>
          <w:tcPr>
            <w:tcW w:type="dxa" w:w="1661"/>
          </w:tcPr>
          <w:p>
            <w:pPr>
              <w:pStyle w:val="null3"/>
            </w:pPr>
            <w:r>
              <w:rPr>
                <w:rFonts w:ascii="仿宋_GB2312" w:hAnsi="仿宋_GB2312" w:cs="仿宋_GB2312" w:eastAsia="仿宋_GB2312"/>
              </w:rPr>
              <w:t>开标一览表 业绩一览表.docx 商务及技术响应说明.docx 中小企业声明函 服务承诺.docx 开标一览表2.docx 分项报价表2.docx 供应商资格要求基本资格条件.docx 投标函 残疾人福利性单位声明函 技术与服务方案.docx 标的清单 投标文件封面 监狱企业的证明文件</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投标人业绩</w:t>
            </w:r>
          </w:p>
        </w:tc>
        <w:tc>
          <w:tcPr>
            <w:tcW w:type="dxa" w:w="2492"/>
          </w:tcPr>
          <w:p>
            <w:pPr>
              <w:pStyle w:val="null3"/>
            </w:pPr>
            <w:r>
              <w:rPr>
                <w:rFonts w:ascii="仿宋_GB2312" w:hAnsi="仿宋_GB2312" w:cs="仿宋_GB2312" w:eastAsia="仿宋_GB2312"/>
              </w:rPr>
              <w:t>投标人具有与项目相关的类似业绩，每提供一份得1分（提供合同首页、盖章页、合同发票复印件，加盖公章），最多得5分。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业绩一览表.docx</w:t>
            </w:r>
          </w:p>
        </w:tc>
      </w:tr>
      <w:tr>
        <w:tc>
          <w:tcPr>
            <w:tcW w:type="dxa" w:w="831"/>
            <w:vMerge/>
          </w:tcPr>
          <w:p/>
        </w:tc>
        <w:tc>
          <w:tcPr>
            <w:tcW w:type="dxa" w:w="1661"/>
          </w:tcPr>
          <w:p>
            <w:pPr>
              <w:pStyle w:val="null3"/>
            </w:pPr>
            <w:r>
              <w:rPr>
                <w:rFonts w:ascii="仿宋_GB2312" w:hAnsi="仿宋_GB2312" w:cs="仿宋_GB2312" w:eastAsia="仿宋_GB2312"/>
              </w:rPr>
              <w:t>投标人实力</w:t>
            </w:r>
          </w:p>
        </w:tc>
        <w:tc>
          <w:tcPr>
            <w:tcW w:type="dxa" w:w="2492"/>
          </w:tcPr>
          <w:p>
            <w:pPr>
              <w:pStyle w:val="null3"/>
            </w:pPr>
            <w:r>
              <w:rPr>
                <w:rFonts w:ascii="仿宋_GB2312" w:hAnsi="仿宋_GB2312" w:cs="仿宋_GB2312" w:eastAsia="仿宋_GB2312"/>
              </w:rPr>
              <w:t>投标人具有与项目相关的类似软件著作权书，每提供一个得1分，最多得5分。（提供证书复印件，加盖公章）。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技术与服务方案.docx</w:t>
            </w:r>
          </w:p>
        </w:tc>
      </w:tr>
      <w:tr>
        <w:tc>
          <w:tcPr>
            <w:tcW w:type="dxa" w:w="831"/>
            <w:vMerge/>
          </w:tcPr>
          <w:p/>
        </w:tc>
        <w:tc>
          <w:tcPr>
            <w:tcW w:type="dxa" w:w="1661"/>
          </w:tcPr>
          <w:p>
            <w:pPr>
              <w:pStyle w:val="null3"/>
            </w:pPr>
            <w:r>
              <w:rPr>
                <w:rFonts w:ascii="仿宋_GB2312" w:hAnsi="仿宋_GB2312" w:cs="仿宋_GB2312" w:eastAsia="仿宋_GB2312"/>
              </w:rPr>
              <w:t>投标人实力</w:t>
            </w:r>
          </w:p>
        </w:tc>
        <w:tc>
          <w:tcPr>
            <w:tcW w:type="dxa" w:w="2492"/>
          </w:tcPr>
          <w:p>
            <w:pPr>
              <w:pStyle w:val="null3"/>
            </w:pPr>
            <w:r>
              <w:rPr>
                <w:rFonts w:ascii="仿宋_GB2312" w:hAnsi="仿宋_GB2312" w:cs="仿宋_GB2312" w:eastAsia="仿宋_GB2312"/>
              </w:rPr>
              <w:t>投标人实施团队必须具有较高的专业水准，组员结构合理，必须为投标人在职员工。项目团队具有信息系统项目管理师、系统集成项目管理师、PMP、软件设计师、软件工程师证书，每提供一个得1分，最多得5分。（同类证书提供多个只计一次，同一人具备多类证书只算作一类，需提供人员近6个月社保证明材料、证书复印件，加盖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技术与服务方案.docx</w:t>
            </w:r>
          </w:p>
        </w:tc>
      </w:tr>
      <w:tr>
        <w:tc>
          <w:tcPr>
            <w:tcW w:type="dxa" w:w="831"/>
            <w:vMerge/>
          </w:tcPr>
          <w:p/>
        </w:tc>
        <w:tc>
          <w:tcPr>
            <w:tcW w:type="dxa" w:w="1661"/>
          </w:tcPr>
          <w:p>
            <w:pPr>
              <w:pStyle w:val="null3"/>
            </w:pPr>
            <w:r>
              <w:rPr>
                <w:rFonts w:ascii="仿宋_GB2312" w:hAnsi="仿宋_GB2312" w:cs="仿宋_GB2312" w:eastAsia="仿宋_GB2312"/>
              </w:rPr>
              <w:t>参数符合性</w:t>
            </w:r>
          </w:p>
        </w:tc>
        <w:tc>
          <w:tcPr>
            <w:tcW w:type="dxa" w:w="2492"/>
          </w:tcPr>
          <w:p>
            <w:pPr>
              <w:pStyle w:val="null3"/>
            </w:pPr>
            <w:r>
              <w:rPr>
                <w:rFonts w:ascii="仿宋_GB2312" w:hAnsi="仿宋_GB2312" w:cs="仿宋_GB2312" w:eastAsia="仿宋_GB2312"/>
              </w:rPr>
              <w:t>投标人技术参数完全符合招标文件配置要求得20分；带“▲”号的负偏离每项扣1.5分，其它参数负偏离每项扣0.5分，扣完为止。 评审专家根据投标人响应情况进行评分，对响应不满足要求的视为负偏离。</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技术与服务方案.docx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1、本项目提供项目整体实施方案内容包括但不限于：（1）项目实施、（2）项目计划、（3）项目管理、（4）项目组织、（5）项目质量保证等。 2、评审标准 ：（1）完整性：方案必须全面，对评审内容中的各项要求有详细描述；（2）可实施性：切合本项目实际情况，提出步骤清晰、合理的方案；（3）针对性：方案能够紧扣项目实际情况，内容科学合理。 3、赋分标准： （1）项目实施：每满足一个评审标准得0.5分，满分1.5分； （2）项目计划：每满足一个评审标准得0.5分，满分1.5分； （3）项目管理：每满足一个评审标准得0.5分，满分1.5分； （4）项目组织：每满足一个评审标准得0.5分，满分1.5分；（5）项目质量保证：每满足一个评审标准得0.5分，满分1.5分。</w:t>
            </w:r>
          </w:p>
        </w:tc>
        <w:tc>
          <w:tcPr>
            <w:tcW w:type="dxa" w:w="831"/>
          </w:tcPr>
          <w:p>
            <w:pPr>
              <w:pStyle w:val="null3"/>
              <w:jc w:val="right"/>
            </w:pPr>
            <w:r>
              <w:rPr>
                <w:rFonts w:ascii="仿宋_GB2312" w:hAnsi="仿宋_GB2312" w:cs="仿宋_GB2312" w:eastAsia="仿宋_GB2312"/>
              </w:rPr>
              <w:t>7.5000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技术与服务方案.docx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1、培训方案包含但不限于：(1)培训目标、(2)培训内容及计划、(3)培训组织保障、(4)培训方式。 2、评审标准 ：(1)完整性：方案必须全面，对评审内容中的各项要求有详细描述；(2)可实施性：切合本项目实际情况，提出步骤清晰、合理的方案；(3)针对性：方案能够紧扣项目实际情况，内容科学合理。 3、赋分标准： (1)培训目标：每满足一个评审标准得0.4分，满分1分； (2)培训内容及计划：每满足一个评审标准得0.4分，满分1分； (3)培训组织保障：每满足一个评审标准得0.4分，满分1分； (4)培训方式：每满足一个评审标准得0.4分，满分1分。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技术与服务方案.docx</w:t>
            </w:r>
          </w:p>
        </w:tc>
      </w:tr>
      <w:tr>
        <w:tc>
          <w:tcPr>
            <w:tcW w:type="dxa" w:w="831"/>
            <w:vMerge/>
          </w:tcPr>
          <w:p/>
        </w:tc>
        <w:tc>
          <w:tcPr>
            <w:tcW w:type="dxa" w:w="1661"/>
          </w:tcPr>
          <w:p>
            <w:pPr>
              <w:pStyle w:val="null3"/>
            </w:pPr>
            <w:r>
              <w:rPr>
                <w:rFonts w:ascii="仿宋_GB2312" w:hAnsi="仿宋_GB2312" w:cs="仿宋_GB2312" w:eastAsia="仿宋_GB2312"/>
              </w:rPr>
              <w:t>售后方案</w:t>
            </w:r>
          </w:p>
        </w:tc>
        <w:tc>
          <w:tcPr>
            <w:tcW w:type="dxa" w:w="2492"/>
          </w:tcPr>
          <w:p>
            <w:pPr>
              <w:pStyle w:val="null3"/>
            </w:pPr>
            <w:r>
              <w:rPr>
                <w:rFonts w:ascii="仿宋_GB2312" w:hAnsi="仿宋_GB2312" w:cs="仿宋_GB2312" w:eastAsia="仿宋_GB2312"/>
              </w:rPr>
              <w:t>1、售后服务方案包含但不限于：(1)服务承诺、(2)总体服务框架、(3)服务组织结构、(4)售后服务方案规划、(5)应急服务方案规划。 2、评审标准： (1)完整性：方案必须全面，对评审内容中的各项要求有详细描述；(2)可实施性：切合本项目实际情况，提出步骤清晰、合理的方案；(3)针对性：方案能够紧扣项目实际情况，内容科学合理。 3、赋分标准 ：(1)项目实施：每满足一个评审标准得0.5分，满分1.5分； (2)项目计划：每满足一个评审标准得0.5分，满分1.5分； (3)项目管理：每满足一个评审标准得0.5分，满分1.5分；(4)项目组织：每满足一个评审标准得0.5分，满分1.5分；(5)项目质量保证：每满足一个评审标准得0.5分，满分1.5分。</w:t>
            </w:r>
          </w:p>
        </w:tc>
        <w:tc>
          <w:tcPr>
            <w:tcW w:type="dxa" w:w="831"/>
          </w:tcPr>
          <w:p>
            <w:pPr>
              <w:pStyle w:val="null3"/>
              <w:jc w:val="right"/>
            </w:pPr>
            <w:r>
              <w:rPr>
                <w:rFonts w:ascii="仿宋_GB2312" w:hAnsi="仿宋_GB2312" w:cs="仿宋_GB2312" w:eastAsia="仿宋_GB2312"/>
              </w:rPr>
              <w:t>7.5000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技术与服务方案.docx</w:t>
            </w:r>
          </w:p>
        </w:tc>
      </w:tr>
      <w:tr>
        <w:tc>
          <w:tcPr>
            <w:tcW w:type="dxa" w:w="831"/>
            <w:vMerge/>
          </w:tcPr>
          <w:p/>
        </w:tc>
        <w:tc>
          <w:tcPr>
            <w:tcW w:type="dxa" w:w="1661"/>
          </w:tcPr>
          <w:p>
            <w:pPr>
              <w:pStyle w:val="null3"/>
            </w:pPr>
            <w:r>
              <w:rPr>
                <w:rFonts w:ascii="仿宋_GB2312" w:hAnsi="仿宋_GB2312" w:cs="仿宋_GB2312" w:eastAsia="仿宋_GB2312"/>
              </w:rPr>
              <w:t>系统演示</w:t>
            </w:r>
          </w:p>
        </w:tc>
        <w:tc>
          <w:tcPr>
            <w:tcW w:type="dxa" w:w="2492"/>
          </w:tcPr>
          <w:p>
            <w:pPr>
              <w:pStyle w:val="null3"/>
            </w:pPr>
            <w:r>
              <w:rPr>
                <w:rFonts w:ascii="仿宋_GB2312" w:hAnsi="仿宋_GB2312" w:cs="仿宋_GB2312" w:eastAsia="仿宋_GB2312"/>
              </w:rPr>
              <w:t>评审时邀请投标人利用腾讯会议远程进行软件实操演示或播放演示视频，视频时长不得超过10分钟，超出时长部分不计入得分。 专家组根据是否满足1-8项演示的各项功能点（以“（）”为序号的内容为功能点）进行评分，演示项中每响应1个功能点得1分，不响应不得分，最高得2分，共8项，最高得16分，具体演示要求如下： 一、名老中医药专家传承工作室建设 1、工作室基础管理：（1）支持名老中医药专家传承工作室管理；（2）工作室成员管理，如工作室的图片、名称、简介、专长介绍、成员基本信息等。 2、工作室资源管理：（1）针对医案的复诊情况；（2）支持录入复诊相关信息，如处方名称、复诊日期、处方用量（精确到具体剂量）、中药名（可详细列出每味中药）、处方组成、针灸治疗、治疗变化、目前情况等，全面记录复诊过程。 二、名老中医跟师学习 3、活态传承 （1）直播发布：提供可视化界面，支持填写直播名称、直播类型、开始时间、结束时间、简介等信息； （2）直播管理：观众在观看直播时可发送弹幕和评论，支持文字输入，实现与主播及其他观众的实时互动。 4、模拟开方 （1）模拟开方：跟师审核通过后，学员才能进行模拟开方，学员根据学习需求选择不同难度和类型的病例进行模拟开方；学员在自开方界面进行模拟开方，录入药品、用量，提交处方，完成本次模拟开方； （2）模拟处方记录查看：查看模拟开方记录，显示详细的医案信息，包括名医医案、自开方；以饼状图的形式展示本次模拟与原方剂中四气、五味的统计分析；原医案处方与模拟处方的方剂匹配度；展示名医在抄方过程中的点评内容。 5、在线考核 （1）支持设置单选题、多选题、问答题、模拟接诊处方等格式题目； （2）系统预设各客观题（单选题、多选题）的正确答案，考生提交答卷后，自动将考生作答选项与正确答案进行逐题匹配。匹配正确则按题目预设分值自动计分，匹配错误不得分，快速准确地完成客观题评分，并生成客观题得分明细。 三、医案文献挖掘分析 6、中医诊断教学 （1）学生可选择教学案例进行模拟诊断，模拟真实的诊疗流程；（2）完成练习后，系统自动评分，并给出详细的诊断分析。 7、医案多维度分析 （1）统计分析 症候分析：统计症状规律（症状模式、规则分析、网络展示）、症状聚类（聚类、提取组合、症状系数）； 方证分析：网络展示（药-症网络、药-证网络）、关键药物、关键症状。 （2）关联分析 组方分析：用药模式、规则分析、网络展示； 类方分析：相似方剂、方剂匹配。 8、名老中医用药习惯分析 （1）运用数据分析算法，对名老中医用药数据进行处理，分析用药模式、规则等；（2）统计不同病症下名老中医的用药偏好。</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技术与服务方案.docx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价格分统一采用低价优先法计算，即满足招标文件要求且投标价格最低的投标报价为评标基准价，其价格分为满分。其他供应商的价格分统一按照下列公式计算：价格分=(评标基准价／投标报价)×报价分值 注：计算分数时四舍五入取小数点后两位；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开标一览表2.docx</w:t>
            </w:r>
          </w:p>
          <w:p>
            <w:pPr>
              <w:pStyle w:val="null3"/>
            </w:pPr>
            <w:r>
              <w:rPr>
                <w:rFonts w:ascii="仿宋_GB2312" w:hAnsi="仿宋_GB2312" w:cs="仿宋_GB2312" w:eastAsia="仿宋_GB2312"/>
              </w:rPr>
              <w:t>分项报价表2.docx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最后报价×（1-10%）;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开标一览表2.docx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详见附件：开标一览表2.docx</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详见附件：分项报价表2.docx</w:t>
      </w:r>
    </w:p>
    <w:p>
      <w:pPr>
        <w:pStyle w:val="null3"/>
        <w:ind w:firstLine="960"/>
      </w:pPr>
      <w:r>
        <w:rPr>
          <w:rFonts w:ascii="仿宋_GB2312" w:hAnsi="仿宋_GB2312" w:cs="仿宋_GB2312" w:eastAsia="仿宋_GB2312"/>
        </w:rPr>
        <w:t>详见附件：商务及技术响应说明.docx</w:t>
      </w:r>
    </w:p>
    <w:p>
      <w:pPr>
        <w:pStyle w:val="null3"/>
        <w:ind w:firstLine="960"/>
      </w:pPr>
      <w:r>
        <w:rPr>
          <w:rFonts w:ascii="仿宋_GB2312" w:hAnsi="仿宋_GB2312" w:cs="仿宋_GB2312" w:eastAsia="仿宋_GB2312"/>
        </w:rPr>
        <w:t>详见附件：供应商资格要求基本资格条件.docx</w:t>
      </w:r>
    </w:p>
    <w:p>
      <w:pPr>
        <w:pStyle w:val="null3"/>
        <w:ind w:firstLine="960"/>
      </w:pPr>
      <w:r>
        <w:rPr>
          <w:rFonts w:ascii="仿宋_GB2312" w:hAnsi="仿宋_GB2312" w:cs="仿宋_GB2312" w:eastAsia="仿宋_GB2312"/>
        </w:rPr>
        <w:t>详见附件：技术与服务方案.docx</w:t>
      </w:r>
    </w:p>
    <w:p>
      <w:pPr>
        <w:pStyle w:val="null3"/>
        <w:ind w:firstLine="960"/>
      </w:pPr>
      <w:r>
        <w:rPr>
          <w:rFonts w:ascii="仿宋_GB2312" w:hAnsi="仿宋_GB2312" w:cs="仿宋_GB2312" w:eastAsia="仿宋_GB2312"/>
        </w:rPr>
        <w:t>详见附件：服务承诺.docx</w:t>
      </w:r>
    </w:p>
    <w:p>
      <w:pPr>
        <w:pStyle w:val="null3"/>
        <w:ind w:firstLine="960"/>
      </w:pPr>
      <w:r>
        <w:rPr>
          <w:rFonts w:ascii="仿宋_GB2312" w:hAnsi="仿宋_GB2312" w:cs="仿宋_GB2312" w:eastAsia="仿宋_GB2312"/>
        </w:rPr>
        <w:t>详见附件：业绩一览表.docx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详见附件：拟签订合同文本.docx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