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版本号：HXGJXM2025-ZC-CS107820250814001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科研用房线路改造项目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HXGJXM2025-ZC-CS1078</w:t>
      </w:r>
      <w:r>
        <w:br/>
      </w:r>
      <w:r>
        <w:br/>
      </w:r>
      <w:r>
        <w:br/>
      </w:r>
    </w:p>
    <w:p>
      <w:pPr>
        <w:pStyle w:val="null3"/>
        <w:jc w:val="center"/>
        <w:outlineLvl w:val="2"/>
      </w:pPr>
      <w:r>
        <w:rPr>
          <w:rFonts w:ascii="仿宋_GB2312" w:hAnsi="仿宋_GB2312" w:cs="仿宋_GB2312" w:eastAsia="仿宋_GB2312"/>
          <w:sz w:val="28"/>
          <w:b/>
        </w:rPr>
        <w:t>西安邮电大学</w:t>
      </w:r>
    </w:p>
    <w:p>
      <w:pPr>
        <w:pStyle w:val="null3"/>
        <w:jc w:val="center"/>
        <w:outlineLvl w:val="2"/>
      </w:pPr>
      <w:r>
        <w:rPr>
          <w:rFonts w:ascii="仿宋_GB2312" w:hAnsi="仿宋_GB2312" w:cs="仿宋_GB2312" w:eastAsia="仿宋_GB2312"/>
          <w:sz w:val="28"/>
          <w:b/>
        </w:rPr>
        <w:t>华夏国际项目管理（西安）有限公司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2025年08月14日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华夏国际项目管理（西安）有限公司</w:t>
      </w:r>
      <w:r>
        <w:rPr>
          <w:rFonts w:ascii="仿宋_GB2312" w:hAnsi="仿宋_GB2312" w:cs="仿宋_GB2312" w:eastAsia="仿宋_GB2312"/>
        </w:rPr>
        <w:t>（以下简称“代理机构”）受</w:t>
      </w:r>
      <w:r>
        <w:rPr>
          <w:rFonts w:ascii="仿宋_GB2312" w:hAnsi="仿宋_GB2312" w:cs="仿宋_GB2312" w:eastAsia="仿宋_GB2312"/>
        </w:rPr>
        <w:t>西安邮电大学</w:t>
      </w:r>
      <w:r>
        <w:rPr>
          <w:rFonts w:ascii="仿宋_GB2312" w:hAnsi="仿宋_GB2312" w:cs="仿宋_GB2312" w:eastAsia="仿宋_GB2312"/>
        </w:rPr>
        <w:t>委托，拟对</w:t>
      </w:r>
      <w:r>
        <w:rPr>
          <w:rFonts w:ascii="仿宋_GB2312" w:hAnsi="仿宋_GB2312" w:cs="仿宋_GB2312" w:eastAsia="仿宋_GB2312"/>
        </w:rPr>
        <w:t>科研用房线路改造项目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HXGJXM2025-ZC-CS1078</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科研用房线路改造项目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科研用房线路改造项目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采购包1（科研用房线路改造项目）：属于专门面向中小企业采购。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1、法定代表人授权书或法定代表人身份证明 ：法定代表人授权书（附法定代表人、被授权人身份证复印件及被授权人磋商截止日前一年内已缴存的至少一个月的社会保障资金凭证）；法定代表人直接参加投标，须提供法定代表人身份证明；</w:t>
      </w:r>
    </w:p>
    <w:p>
      <w:pPr>
        <w:pStyle w:val="null3"/>
      </w:pPr>
      <w:r>
        <w:rPr>
          <w:rFonts w:ascii="仿宋_GB2312" w:hAnsi="仿宋_GB2312" w:cs="仿宋_GB2312" w:eastAsia="仿宋_GB2312"/>
        </w:rPr>
        <w:t>2、信用记录 ：供应商未被“信用中国”网站（www.creditchina.gov.cn）列入失信被执行人和重大税收违法失信主体，未被中国政府采购网（www.ccgp.gov.cn）列入政府采购严重违法失信行为记录名单；（于本项目开标当日资格审查环节查询相关信用记录，对列入失信被执行人、重大税收违法失信主体、政府采购严重违法失信行为记录名单及其他不符合《中华人民共和国政府采购法》第二十二条规定的供应商，采购代理机构将拒绝其参与政府采购活动，查询结果以电子或纸质方式留存）；</w:t>
      </w:r>
    </w:p>
    <w:p>
      <w:pPr>
        <w:pStyle w:val="null3"/>
      </w:pPr>
      <w:r>
        <w:rPr>
          <w:rFonts w:ascii="仿宋_GB2312" w:hAnsi="仿宋_GB2312" w:cs="仿宋_GB2312" w:eastAsia="仿宋_GB2312"/>
        </w:rPr>
        <w:t>3、资质要求 ：具备建筑工程施工总承包三级以上(含三级)或建筑装修装饰工程专业承包二级以上(含二级)资质，具备有效的安全生产许可证；</w:t>
      </w:r>
    </w:p>
    <w:p>
      <w:pPr>
        <w:pStyle w:val="null3"/>
      </w:pPr>
      <w:r>
        <w:rPr>
          <w:rFonts w:ascii="仿宋_GB2312" w:hAnsi="仿宋_GB2312" w:cs="仿宋_GB2312" w:eastAsia="仿宋_GB2312"/>
        </w:rPr>
        <w:t>4、拟派项目负责人 ：拟派项目经理须为建筑工程专业贰级及以上注册建造师，具有安全生产考核合格证（B证）在本单位注册且无在建工程（提供无在建工程承诺书）；</w:t>
      </w:r>
    </w:p>
    <w:p>
      <w:pPr>
        <w:pStyle w:val="null3"/>
      </w:pPr>
      <w:r>
        <w:rPr>
          <w:rFonts w:ascii="仿宋_GB2312" w:hAnsi="仿宋_GB2312" w:cs="仿宋_GB2312" w:eastAsia="仿宋_GB2312"/>
        </w:rPr>
        <w:t>5、非联合体 ：本项目不接受联合体磋商。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西安邮电大学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西安市长安区西长安街618号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姚老师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18191323036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华夏国际项目管理（西安）有限公司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陕西省西安市莲湖区陕西省西安市莲湖区二环南路西段202号1幢1单元1605室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宋文倩、康敏茹、张艳萍</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029-88899970-830</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采购包1：483,324.42元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如有</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如有</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如有</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说明：履约保证金：采购包1：缴纳 本采购包履约保证金为合同金额的5% 说明：（一）本项目履约保证金为合同金额的5%，在合同签订前必须缴纳，履约保证金缴纳形式：成交供应商应当以支票、转账等非现金形式缴纳。 （二）收款账户：中标后由采购人提供； （三）履约保证金的退付：项目保修期满后无争议，履约保证金将退还至成交供应商账户。</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发的《招标代理服务收费管理暂行办法》（计价格[2002]1980号）和国家发展和改革委员会办公厅颁发的《关于招标代理服务收费有关问题的通知》（发改办价格[2003]857号）的有关规定执行。 户名：华夏国际项目管理（西安）有限公司 开户行:中国工商银行股份有限公司西安城南科技支行 账号:3700024819200130193 请中标供应商按照要求将服务费汇入以上指定账户，如因自身原因发生错误，产生的不利后果均由供应商自行承担。</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采购包1：组织现场踏勘：是</w:t>
            </w:r>
          </w:p>
          <w:p>
            <w:pPr>
              <w:pStyle w:val="null3"/>
              <w:ind w:firstLine="975"/>
            </w:pPr>
            <w:r>
              <w:rPr>
                <w:rFonts w:ascii="仿宋_GB2312" w:hAnsi="仿宋_GB2312" w:cs="仿宋_GB2312" w:eastAsia="仿宋_GB2312"/>
              </w:rPr>
              <w:t>踏勘时间：2025-08-22 10:00:00</w:t>
            </w:r>
          </w:p>
          <w:p>
            <w:pPr>
              <w:pStyle w:val="null3"/>
              <w:ind w:firstLine="975"/>
            </w:pPr>
            <w:r>
              <w:rPr>
                <w:rFonts w:ascii="仿宋_GB2312" w:hAnsi="仿宋_GB2312" w:cs="仿宋_GB2312" w:eastAsia="仿宋_GB2312"/>
              </w:rPr>
              <w:t>踏勘地点：甲方指定地点</w:t>
            </w:r>
          </w:p>
          <w:p>
            <w:pPr>
              <w:pStyle w:val="null3"/>
              <w:ind w:firstLine="975"/>
            </w:pPr>
            <w:r>
              <w:rPr>
                <w:rFonts w:ascii="仿宋_GB2312" w:hAnsi="仿宋_GB2312" w:cs="仿宋_GB2312" w:eastAsia="仿宋_GB2312"/>
              </w:rPr>
              <w:t>联系人：薛老师</w:t>
            </w:r>
          </w:p>
          <w:p>
            <w:pPr>
              <w:pStyle w:val="null3"/>
              <w:ind w:firstLine="975"/>
            </w:pPr>
            <w:r>
              <w:rPr>
                <w:rFonts w:ascii="仿宋_GB2312" w:hAnsi="仿宋_GB2312" w:cs="仿宋_GB2312" w:eastAsia="仿宋_GB2312"/>
              </w:rPr>
              <w:t>联系电话号码： 155 2929 1895</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西安邮电大学</w:t>
      </w:r>
      <w:r>
        <w:rPr>
          <w:rFonts w:ascii="仿宋_GB2312" w:hAnsi="仿宋_GB2312" w:cs="仿宋_GB2312" w:eastAsia="仿宋_GB2312"/>
        </w:rPr>
        <w:t>和</w:t>
      </w:r>
      <w:r>
        <w:rPr>
          <w:rFonts w:ascii="仿宋_GB2312" w:hAnsi="仿宋_GB2312" w:cs="仿宋_GB2312" w:eastAsia="仿宋_GB2312"/>
        </w:rPr>
        <w:t>华夏国际项目管理（西安）有限公司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西安邮电大学</w:t>
      </w:r>
      <w:r>
        <w:rPr>
          <w:rFonts w:ascii="仿宋_GB2312" w:hAnsi="仿宋_GB2312" w:cs="仿宋_GB2312" w:eastAsia="仿宋_GB2312"/>
        </w:rPr>
        <w:t>负责解释。除上述磋商文件内容，其他内容由</w:t>
      </w:r>
      <w:r>
        <w:rPr>
          <w:rFonts w:ascii="仿宋_GB2312" w:hAnsi="仿宋_GB2312" w:cs="仿宋_GB2312" w:eastAsia="仿宋_GB2312"/>
        </w:rPr>
        <w:t>华夏国际项目管理（西安）有限公司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西安邮电大学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华夏国际项目管理（西安）有限公司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详见招标文件。</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华夏国际项目管理（西安）有限公司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华夏国际项目管理（西安）有限公司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华夏国际项目管理（西安）有限公司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联系人：宋文倩、康敏茹、张艳萍</w:t>
      </w:r>
    </w:p>
    <w:p>
      <w:pPr>
        <w:pStyle w:val="null3"/>
      </w:pPr>
      <w:r>
        <w:rPr>
          <w:rFonts w:ascii="仿宋_GB2312" w:hAnsi="仿宋_GB2312" w:cs="仿宋_GB2312" w:eastAsia="仿宋_GB2312"/>
        </w:rPr>
        <w:t>联系电话：029-88899970-830</w:t>
      </w:r>
    </w:p>
    <w:p>
      <w:pPr>
        <w:pStyle w:val="null3"/>
      </w:pPr>
      <w:r>
        <w:rPr>
          <w:rFonts w:ascii="仿宋_GB2312" w:hAnsi="仿宋_GB2312" w:cs="仿宋_GB2312" w:eastAsia="仿宋_GB2312"/>
        </w:rPr>
        <w:t>地址：陕西省西安市莲湖区二环南路西段202号九座花园16层1605室</w:t>
      </w:r>
    </w:p>
    <w:p>
      <w:pPr>
        <w:pStyle w:val="null3"/>
      </w:pPr>
      <w:r>
        <w:rPr>
          <w:rFonts w:ascii="仿宋_GB2312" w:hAnsi="仿宋_GB2312" w:cs="仿宋_GB2312" w:eastAsia="仿宋_GB2312"/>
        </w:rPr>
        <w:t>邮编：710082</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483,324.42</w:t>
      </w:r>
    </w:p>
    <w:p>
      <w:pPr>
        <w:pStyle w:val="null3"/>
      </w:pPr>
      <w:r>
        <w:rPr>
          <w:rFonts w:ascii="仿宋_GB2312" w:hAnsi="仿宋_GB2312" w:cs="仿宋_GB2312" w:eastAsia="仿宋_GB2312"/>
        </w:rPr>
        <w:t>采购包最高限价（元）: 483,324.42</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西安邮电大学科研用房线路改造项 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483,324.42</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标的名称：西安邮电大学科研用房线路改造项 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1、项目概况：科研用房线路改造。</w:t>
            </w:r>
          </w:p>
          <w:p>
            <w:pPr>
              <w:pStyle w:val="null3"/>
            </w:pPr>
            <w:r>
              <w:rPr>
                <w:rFonts w:ascii="仿宋_GB2312" w:hAnsi="仿宋_GB2312" w:cs="仿宋_GB2312" w:eastAsia="仿宋_GB2312"/>
              </w:rPr>
              <w:t>2、需满足的技术规格、服务及验收要求:质量满足《建筑装饰装修工程质量验收标准》(GB50210-2018)要求，达到合格标准。</w:t>
            </w:r>
          </w:p>
          <w:p>
            <w:pPr>
              <w:pStyle w:val="null3"/>
            </w:pPr>
            <w:r>
              <w:rPr>
                <w:rFonts w:ascii="仿宋_GB2312" w:hAnsi="仿宋_GB2312" w:cs="仿宋_GB2312" w:eastAsia="仿宋_GB2312"/>
              </w:rPr>
              <w:t>3、采用广联达计价软件版本GCCP7.5000.23.1。</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（1）质量标准：符合国家现行有关施工质量验收规范“合格”要求; （2）工期：自合同签订之日起10日历天； （3）验收合格之后，达到支付条件30日内，支付工程款50%。 审计决算后，达到支付条件30日内，支付至审计审定金额的100%。 （4）付款前，承包人须提供合法合规的增值税发票（税率按本合同价款后的约定），否则，发包人有权拒绝支付任何款项。 （5）质保期：2年。</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本项目于2025.8.22 10:00 组织现场踏勘，请携带单位授权书。 （甲方联系人：薛老师 155 2929 1895 ）</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 1.提供合格有效的法人或者其他组织的营业执照等证明文件，自然人的身份证明；供应商是法人或其他组织的应提供营业执照等证明文件，供应商是自然人的应提供有效的自然人身份证明。 2.提供2024年度经审计的已赋码且完整的财务报告；（成立时间至提交投标文件截止时间不足一年的单位可提供成立后任意时段的资产负债表；事业单位提供财务报表，财务报表应当包括：资产负债表、收入支出表或者收入费用表、财政补助收入支出表）或财政部门认可的政府采购专业担保机构出具的担保函或在投标截止日期前三个月内其基本开户银行出具的资信证明（附开户许可证或开户备案证明或基本账户信息）,以上形式的证明资料提供任何一种即可； 3.提供具有履行合同所必需的设备和专业技术能力的承诺； 4.税收缴纳证明：提供递交响应文件截止之日前一年内任意一个月的依法缴纳税收的完税证明，完税证明应有税务机关或代收机关的公章或业务专用章。依法免税或无须缴纳税收的供应商，应提供相应证明文件； 5.社会保障资金缴纳证明：提供投标文件递交截止日前一年内已缴存的至少一个月的社会保障资金缴存单据或社保机构开具的 社会保险参保缴费情况证明，依法不需要缴纳社会保障资金的单位应提供相关证明材料； 6.参加采购活动前3年内，在经营活动中没有重大违法记录的书面声明。</w:t>
            </w:r>
          </w:p>
        </w:tc>
        <w:tc>
          <w:tcPr>
            <w:tcW w:type="dxa" w:w="1661"/>
          </w:tcPr>
          <w:p>
            <w:pPr>
              <w:pStyle w:val="null3"/>
            </w:pPr>
            <w:r>
              <w:rPr>
                <w:rFonts w:ascii="仿宋_GB2312" w:hAnsi="仿宋_GB2312" w:cs="仿宋_GB2312" w:eastAsia="仿宋_GB2312"/>
              </w:rPr>
              <w:t>磋商资格证明文件.docx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经审计的已赋码且完整的财务报告；（成立时间至提交投标文件截止时间不足一年的单位可提供成立后任意时段的资产负债表；事业单位提供财务报表，财务报表应当包括：资产负债表、收入支出表或者收入费用表、财政补助收入支出表）或财政部门认可的政府采购专业担保机构出具的担保函或在投标截止日期前三个月内其基本开户银行出具的资信证明（附开户许可证或开户备案证明或基本账户信息）,以上形式的证明资料提供任何一种即可；</w:t>
            </w:r>
          </w:p>
        </w:tc>
        <w:tc>
          <w:tcPr>
            <w:tcW w:type="dxa" w:w="1661"/>
          </w:tcPr>
          <w:p>
            <w:pPr>
              <w:pStyle w:val="null3"/>
            </w:pPr>
            <w:r>
              <w:rPr>
                <w:rFonts w:ascii="仿宋_GB2312" w:hAnsi="仿宋_GB2312" w:cs="仿宋_GB2312" w:eastAsia="仿宋_GB2312"/>
              </w:rPr>
              <w:t>磋商资格证明文件.docx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磋商资格证明文件.docx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法定代表人授权书或法定代表人身份证明</w:t>
            </w:r>
          </w:p>
        </w:tc>
        <w:tc>
          <w:tcPr>
            <w:tcW w:type="dxa" w:w="3322"/>
          </w:tcPr>
          <w:p>
            <w:pPr>
              <w:pStyle w:val="null3"/>
            </w:pPr>
            <w:r>
              <w:rPr>
                <w:rFonts w:ascii="仿宋_GB2312" w:hAnsi="仿宋_GB2312" w:cs="仿宋_GB2312" w:eastAsia="仿宋_GB2312"/>
              </w:rPr>
              <w:t>法定代表人授权书（附法定代表人、被授权人身份证复印件及被授权人磋商截止日前一年内已缴存的至少一个月的社会保障资金凭证）；法定代表人直接参加投标，须提供法定代表人身份证明；</w:t>
            </w:r>
          </w:p>
        </w:tc>
        <w:tc>
          <w:tcPr>
            <w:tcW w:type="dxa" w:w="1661"/>
          </w:tcPr>
          <w:p>
            <w:pPr>
              <w:pStyle w:val="null3"/>
            </w:pPr>
            <w:r>
              <w:rPr>
                <w:rFonts w:ascii="仿宋_GB2312" w:hAnsi="仿宋_GB2312" w:cs="仿宋_GB2312" w:eastAsia="仿宋_GB2312"/>
              </w:rPr>
              <w:t>磋商资格证明文件.docx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未被“信用中国”网站（www.creditchina.gov.cn）列入失信被执行人和重大税收违法失信主体，未被中国政府采购网（www.ccgp.gov.cn）列入政府采购严重违法失信行为记录名单；（于本项目开标当日资格审查环节查询相关信用记录，对列入失信被执行人、重大税收违法失信主体、政府采购严重违法失信行为记录名单及其他不符合《中华人民共和国政府采购法》第二十二条规定的供应商，采购代理机构将拒绝其参与政府采购活动，查询结果以电子或纸质方式留存）；</w:t>
            </w:r>
          </w:p>
        </w:tc>
        <w:tc>
          <w:tcPr>
            <w:tcW w:type="dxa" w:w="1661"/>
          </w:tcPr>
          <w:p>
            <w:pPr>
              <w:pStyle w:val="null3"/>
            </w:pPr>
            <w:r>
              <w:rPr>
                <w:rFonts w:ascii="仿宋_GB2312" w:hAnsi="仿宋_GB2312" w:cs="仿宋_GB2312" w:eastAsia="仿宋_GB2312"/>
              </w:rPr>
              <w:t>磋商资格证明文件.docx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资质要求</w:t>
            </w:r>
          </w:p>
        </w:tc>
        <w:tc>
          <w:tcPr>
            <w:tcW w:type="dxa" w:w="3322"/>
          </w:tcPr>
          <w:p>
            <w:pPr>
              <w:pStyle w:val="null3"/>
            </w:pPr>
            <w:r>
              <w:rPr>
                <w:rFonts w:ascii="仿宋_GB2312" w:hAnsi="仿宋_GB2312" w:cs="仿宋_GB2312" w:eastAsia="仿宋_GB2312"/>
              </w:rPr>
              <w:t>具备建筑工程施工总承包三级以上(含三级)或建筑装修装饰工程专业承包二级以上(含二级)资质，具备有效的安全生产许可证；</w:t>
            </w:r>
          </w:p>
        </w:tc>
        <w:tc>
          <w:tcPr>
            <w:tcW w:type="dxa" w:w="1661"/>
          </w:tcPr>
          <w:p>
            <w:pPr>
              <w:pStyle w:val="null3"/>
            </w:pPr>
            <w:r>
              <w:rPr>
                <w:rFonts w:ascii="仿宋_GB2312" w:hAnsi="仿宋_GB2312" w:cs="仿宋_GB2312" w:eastAsia="仿宋_GB2312"/>
              </w:rPr>
              <w:t>磋商资格证明文件.docx 主要人员简历表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拟派项目负责人</w:t>
            </w:r>
          </w:p>
        </w:tc>
        <w:tc>
          <w:tcPr>
            <w:tcW w:type="dxa" w:w="3322"/>
          </w:tcPr>
          <w:p>
            <w:pPr>
              <w:pStyle w:val="null3"/>
            </w:pPr>
            <w:r>
              <w:rPr>
                <w:rFonts w:ascii="仿宋_GB2312" w:hAnsi="仿宋_GB2312" w:cs="仿宋_GB2312" w:eastAsia="仿宋_GB2312"/>
              </w:rPr>
              <w:t>拟派项目经理须为建筑工程专业贰级及以上注册建造师，具有安全生产考核合格证（B证）在本单位注册且无在建工程（提供无在建工程承诺书）；</w:t>
            </w:r>
          </w:p>
        </w:tc>
        <w:tc>
          <w:tcPr>
            <w:tcW w:type="dxa" w:w="1661"/>
          </w:tcPr>
          <w:p>
            <w:pPr>
              <w:pStyle w:val="null3"/>
            </w:pPr>
            <w:r>
              <w:rPr>
                <w:rFonts w:ascii="仿宋_GB2312" w:hAnsi="仿宋_GB2312" w:cs="仿宋_GB2312" w:eastAsia="仿宋_GB2312"/>
              </w:rPr>
              <w:t>磋商资格证明文件.docx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非联合体</w:t>
            </w:r>
          </w:p>
        </w:tc>
        <w:tc>
          <w:tcPr>
            <w:tcW w:type="dxa" w:w="3322"/>
          </w:tcPr>
          <w:p>
            <w:pPr>
              <w:pStyle w:val="null3"/>
            </w:pPr>
            <w:r>
              <w:rPr>
                <w:rFonts w:ascii="仿宋_GB2312" w:hAnsi="仿宋_GB2312" w:cs="仿宋_GB2312" w:eastAsia="仿宋_GB2312"/>
              </w:rPr>
              <w:t>本项目不接受联合体磋商。</w:t>
            </w:r>
          </w:p>
        </w:tc>
        <w:tc>
          <w:tcPr>
            <w:tcW w:type="dxa" w:w="1661"/>
          </w:tcPr>
          <w:p>
            <w:pPr>
              <w:pStyle w:val="null3"/>
            </w:pPr>
            <w:r>
              <w:rPr>
                <w:rFonts w:ascii="仿宋_GB2312" w:hAnsi="仿宋_GB2312" w:cs="仿宋_GB2312" w:eastAsia="仿宋_GB2312"/>
              </w:rPr>
              <w:t>磋商资格证明文件.docx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磋商响应文件上法定代表人或其授权代表人的签字齐全并加盖公章</w:t>
            </w:r>
          </w:p>
        </w:tc>
        <w:tc>
          <w:tcPr>
            <w:tcW w:type="dxa" w:w="1661"/>
          </w:tcPr>
          <w:p>
            <w:pPr>
              <w:pStyle w:val="null3"/>
            </w:pPr>
            <w:r>
              <w:rPr>
                <w:rFonts w:ascii="仿宋_GB2312" w:hAnsi="仿宋_GB2312" w:cs="仿宋_GB2312" w:eastAsia="仿宋_GB2312"/>
              </w:rPr>
              <w:t>已标价工程量清单 中小企业声明函 强制优先采购产品承诺函 响应文件封面 项目管理机构组成表 残疾人福利性单位声明函 报价函 标的清单 商务条款偏离表及投入人员汇总.docx 供应商类似项目业绩一览表 磋商资格证明文件.docx 响应函 主要人员简历表 服务方案.docx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磋商响应文件格式</w:t>
            </w:r>
          </w:p>
        </w:tc>
        <w:tc>
          <w:tcPr>
            <w:tcW w:type="dxa" w:w="3322"/>
          </w:tcPr>
          <w:p>
            <w:pPr>
              <w:pStyle w:val="null3"/>
            </w:pPr>
            <w:r>
              <w:rPr>
                <w:rFonts w:ascii="仿宋_GB2312" w:hAnsi="仿宋_GB2312" w:cs="仿宋_GB2312" w:eastAsia="仿宋_GB2312"/>
              </w:rPr>
              <w:t>应符合“磋商响应文件格式”要求</w:t>
            </w:r>
          </w:p>
        </w:tc>
        <w:tc>
          <w:tcPr>
            <w:tcW w:type="dxa" w:w="1661"/>
          </w:tcPr>
          <w:p>
            <w:pPr>
              <w:pStyle w:val="null3"/>
            </w:pPr>
            <w:r>
              <w:rPr>
                <w:rFonts w:ascii="仿宋_GB2312" w:hAnsi="仿宋_GB2312" w:cs="仿宋_GB2312" w:eastAsia="仿宋_GB2312"/>
              </w:rPr>
              <w:t>已标价工程量清单 中小企业声明函 强制优先采购产品承诺函 响应文件封面 项目管理机构组成表 残疾人福利性单位声明函 报价函 标的清单 商务条款偏离表及投入人员汇总.docx 供应商类似项目业绩一览表 磋商资格证明文件.docx 响应函 主要人员简历表 服务方案.docx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按磋商文件要求报价，不得提交选择性报价，且每轮报价不超过采购预算金额或最高限价。</w:t>
            </w:r>
          </w:p>
        </w:tc>
        <w:tc>
          <w:tcPr>
            <w:tcW w:type="dxa" w:w="1661"/>
          </w:tcPr>
          <w:p>
            <w:pPr>
              <w:pStyle w:val="null3"/>
            </w:pPr>
            <w:r>
              <w:rPr>
                <w:rFonts w:ascii="仿宋_GB2312" w:hAnsi="仿宋_GB2312" w:cs="仿宋_GB2312" w:eastAsia="仿宋_GB2312"/>
              </w:rPr>
              <w:t>已标价工程量清单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磋商响应文件内容</w:t>
            </w:r>
          </w:p>
        </w:tc>
        <w:tc>
          <w:tcPr>
            <w:tcW w:type="dxa" w:w="3322"/>
          </w:tcPr>
          <w:p>
            <w:pPr>
              <w:pStyle w:val="null3"/>
            </w:pPr>
            <w:r>
              <w:rPr>
                <w:rFonts w:ascii="仿宋_GB2312" w:hAnsi="仿宋_GB2312" w:cs="仿宋_GB2312" w:eastAsia="仿宋_GB2312"/>
              </w:rPr>
              <w:t>要求实质性条款全部响应，不能有采购人不能接受的附加条件</w:t>
            </w:r>
          </w:p>
        </w:tc>
        <w:tc>
          <w:tcPr>
            <w:tcW w:type="dxa" w:w="1661"/>
          </w:tcPr>
          <w:p>
            <w:pPr>
              <w:pStyle w:val="null3"/>
            </w:pPr>
            <w:r>
              <w:rPr>
                <w:rFonts w:ascii="仿宋_GB2312" w:hAnsi="仿宋_GB2312" w:cs="仿宋_GB2312" w:eastAsia="仿宋_GB2312"/>
              </w:rPr>
              <w:t>已标价工程量清单 中小企业声明函 强制优先采购产品承诺函 响应文件封面 项目管理机构组成表 残疾人福利性单位声明函 报价函 标的清单 商务条款偏离表及投入人员汇总.docx 供应商类似项目业绩一览表 磋商资格证明文件.docx 响应函 主要人员简历表 服务方案.docx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应满足磋商文件中要求</w:t>
            </w:r>
          </w:p>
        </w:tc>
        <w:tc>
          <w:tcPr>
            <w:tcW w:type="dxa" w:w="1661"/>
          </w:tcPr>
          <w:p>
            <w:pPr>
              <w:pStyle w:val="null3"/>
            </w:pPr>
            <w:r>
              <w:rPr>
                <w:rFonts w:ascii="仿宋_GB2312" w:hAnsi="仿宋_GB2312" w:cs="仿宋_GB2312" w:eastAsia="仿宋_GB2312"/>
              </w:rPr>
              <w:t>已标价工程量清单 中小企业声明函 强制优先采购产品承诺函 响应文件封面 项目管理机构组成表 残疾人福利性单位声明函 报价函 标的清单 商务条款偏离表及投入人员汇总.docx 供应商类似项目业绩一览表 磋商资格证明文件.docx 响应函 主要人员简历表 服务方案.docx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应满足磋商文件中要求</w:t>
            </w:r>
          </w:p>
        </w:tc>
        <w:tc>
          <w:tcPr>
            <w:tcW w:type="dxa" w:w="1661"/>
          </w:tcPr>
          <w:p>
            <w:pPr>
              <w:pStyle w:val="null3"/>
            </w:pPr>
            <w:r>
              <w:rPr>
                <w:rFonts w:ascii="仿宋_GB2312" w:hAnsi="仿宋_GB2312" w:cs="仿宋_GB2312" w:eastAsia="仿宋_GB2312"/>
              </w:rPr>
              <w:t>已标价工程量清单 中小企业声明函 强制优先采购产品承诺函 响应文件封面 项目管理机构组成表 残疾人福利性单位声明函 报价函 标的清单 商务条款偏离表及投入人员汇总.docx 供应商类似项目业绩一览表 磋商资格证明文件.docx 响应函 主要人员简历表 服务方案.docx 监狱企业的证明文件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已标价工程量清单 中小企业声明函 强制优先采购产品承诺函 响应文件封面 项目管理机构组成表 残疾人福利性单位声明函 报价函 标的清单 商务条款偏离表及投入人员汇总.docx 供应商类似项目业绩一览表 磋商资格证明文件.docx 响应函 主要人员简历表 服务方案.docx 监狱企业的证明文件</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方案包含但不限于产品材料溯源、运输、隐蔽工程可视化、动态质量监测、应急服务、增值服务等。 A.实施方案非常详细并且完整可行、有针对性，完全满足项目实施的得20分； B.实施方案详细、完整，可行、有针对性，满足项目实施的得15分； C.实施方案比较详细完整、可行，较利于项目实施的得10分； D.实施方案基本可行，基本满足项目实施需要的得5分; E.未提供得0分。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商务条款偏离表及投入人员汇总.docx</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安全作业管理</w:t>
            </w:r>
          </w:p>
        </w:tc>
        <w:tc>
          <w:tcPr>
            <w:tcW w:type="dxa" w:w="2492"/>
          </w:tcPr>
          <w:p>
            <w:pPr>
              <w:pStyle w:val="null3"/>
            </w:pPr>
            <w:r>
              <w:rPr>
                <w:rFonts w:ascii="仿宋_GB2312" w:hAnsi="仿宋_GB2312" w:cs="仿宋_GB2312" w:eastAsia="仿宋_GB2312"/>
              </w:rPr>
              <w:t xml:space="preserve"> 针对本项目提供的安全作业方案及安全配套措施进行综合评审。 A.提供的安全作业方案及安全配套措施具体、详细，完全符合并优于采购人安全作业的要求，得9分； B.提供安全作业方案及安全配套措施较详细、较完整，符合采购人安全作业的要求，得6分； C.提供安全作业方案及安全配套措施基本合理可行，符合采购人安全作业的要求，得3分； D.提供的安全作业方案及安全配套措施简单，基本符合采购人安全作业的要求，得1分。 E.未提供得0分。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文明施工措施计划</w:t>
            </w:r>
          </w:p>
        </w:tc>
        <w:tc>
          <w:tcPr>
            <w:tcW w:type="dxa" w:w="2492"/>
          </w:tcPr>
          <w:p>
            <w:pPr>
              <w:pStyle w:val="null3"/>
            </w:pPr>
            <w:r>
              <w:rPr>
                <w:rFonts w:ascii="仿宋_GB2312" w:hAnsi="仿宋_GB2312" w:cs="仿宋_GB2312" w:eastAsia="仿宋_GB2312"/>
              </w:rPr>
              <w:t>针对本项目提供的文明施工措施计划进行综合评审。 A.措施计划齐全、合理且切实可行，完全满足采购人需求得8分； B.措施计划较齐全、合理、切实可行，满足采购人需求得6分； C.措施计划较齐全、合理、基本可行，基本满足采购人需求得3分； D.措施计划基本完备齐全、合理性、可行性较差，得1分； E.未提供得0分。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商务条款偏离表及投入人员汇总.docx</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技术组织措施</w:t>
            </w:r>
          </w:p>
        </w:tc>
        <w:tc>
          <w:tcPr>
            <w:tcW w:type="dxa" w:w="2492"/>
          </w:tcPr>
          <w:p>
            <w:pPr>
              <w:pStyle w:val="null3"/>
            </w:pPr>
            <w:r>
              <w:rPr>
                <w:rFonts w:ascii="仿宋_GB2312" w:hAnsi="仿宋_GB2312" w:cs="仿宋_GB2312" w:eastAsia="仿宋_GB2312"/>
              </w:rPr>
              <w:t>根据供应商制定的确保工程质量及工期的技术组织措施进行综合评审。 A.措施计划齐全、合理且切实可行，完全满足采购人需求得8分； B.措施计划较齐全、合理、切实可行，满足采购人需求得6分； C.措施计划较齐全、合理、基本可行，基本满足采购人需求得3分； D.措施计划基本完备齐全、合理性、可行性较差，得1分； E.未提供得0分。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项目组织管理机构</w:t>
            </w:r>
          </w:p>
        </w:tc>
        <w:tc>
          <w:tcPr>
            <w:tcW w:type="dxa" w:w="2492"/>
          </w:tcPr>
          <w:p>
            <w:pPr>
              <w:pStyle w:val="null3"/>
            </w:pPr>
            <w:r>
              <w:rPr>
                <w:rFonts w:ascii="仿宋_GB2312" w:hAnsi="仿宋_GB2312" w:cs="仿宋_GB2312" w:eastAsia="仿宋_GB2312"/>
              </w:rPr>
              <w:t>针对本项目的项目组织管理机构配备。 A.机构设置合理，人员配备齐全，技术经验丰富，完全满足项目需求得5分； B.机构设置合理，人员配备齐全，技术经验丰富，满足项目需求得4分； C.机构设置合理，人员配备、技术经验一般，较为可行的得3分； D.机构设置、人员配备、技术经验较差，得2分； E.未提供得0分。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商务条款偏离表及投入人员汇总.docx</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施工机械配备和材料投入计划</w:t>
            </w:r>
          </w:p>
        </w:tc>
        <w:tc>
          <w:tcPr>
            <w:tcW w:type="dxa" w:w="2492"/>
          </w:tcPr>
          <w:p>
            <w:pPr>
              <w:pStyle w:val="null3"/>
            </w:pPr>
            <w:r>
              <w:rPr>
                <w:rFonts w:ascii="仿宋_GB2312" w:hAnsi="仿宋_GB2312" w:cs="仿宋_GB2312" w:eastAsia="仿宋_GB2312"/>
              </w:rPr>
              <w:t>根据供应商投入的施工机械配备和材料投入计划等进行评审。 A.施工机械配备合理并提供设备来源证明材料，投投入材料环保性达到国家标准得5分； B.施工机械配备合理和材料环保性较好，得4分； C.施工机械配备和材料投入计划基本合理、可行，得3分； D.施工机械配备和材料投入计划较差，得2分； E.未提供得0分。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商务条款偏离表及投入人员汇总.docx</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劳动力安排计划及劳务分配情况表</w:t>
            </w:r>
          </w:p>
        </w:tc>
        <w:tc>
          <w:tcPr>
            <w:tcW w:type="dxa" w:w="2492"/>
          </w:tcPr>
          <w:p>
            <w:pPr>
              <w:pStyle w:val="null3"/>
            </w:pPr>
            <w:r>
              <w:rPr>
                <w:rFonts w:ascii="仿宋_GB2312" w:hAnsi="仿宋_GB2312" w:cs="仿宋_GB2312" w:eastAsia="仿宋_GB2312"/>
              </w:rPr>
              <w:t>供应商就本项目劳动力安排计划及劳务分配情况表，根据合理、可行程度进行评审。 A.劳动力安排计划及劳务分配合理、可行，得5分； B.劳动力安排计划及劳务分配情况分配较好、可行性较好，得4分；C.可行劳动力安排计划及劳务分配基本可行，得3分；D.劳动力安排计划及劳务分配可行性较差，得2分；E.未提供得0分。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商务条款偏离表及投入人员汇总.docx</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供应商2022年8月1日至截标时间前类似施工项目业绩；每提供1份计2分，最高得10分。业绩证明以合同签订时间为准。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1、经初审合格的磋商文件，其最终报价为有效报价。 2、有效最低报价为基准价得30分。 3、按（磋商基准价/有效最终磋商报价）×30的公式计算报价得分。 报价不完整的，不进入磋商基准价的计算，本项得0分。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详见附件：商务条款偏离表及投入人员汇总.docx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详见附件：磋商资格证明文件.docx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