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最终磋商报价表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867"/>
        <w:gridCol w:w="2210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组团参加第十五届中国—东北亚博览会</w:t>
            </w:r>
            <w:bookmarkStart w:id="0" w:name="_GoBack"/>
            <w:bookmarkEnd w:id="0"/>
          </w:p>
        </w:tc>
        <w:tc>
          <w:tcPr>
            <w:tcW w:w="2867" w:type="dxa"/>
            <w:vAlign w:val="center"/>
          </w:tcPr>
          <w:p>
            <w:pPr>
              <w:shd w:val="clear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shd w:val="clear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合同签署之日起至展会服务完毕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625" w:type="dxa"/>
            <w:gridSpan w:val="4"/>
            <w:vAlign w:val="center"/>
          </w:tcPr>
          <w:p>
            <w:p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供应商磋商总报价不得超过最高限价或预算，否则响应文件按无效标处理；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br w:type="page"/>
      </w:r>
    </w:p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磋商分项报价表</w:t>
      </w:r>
    </w:p>
    <w:p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　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09"/>
        <w:gridCol w:w="1241"/>
        <w:gridCol w:w="1241"/>
        <w:gridCol w:w="1241"/>
        <w:gridCol w:w="12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其他费用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18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磋商总报价</w:t>
            </w:r>
          </w:p>
        </w:tc>
        <w:tc>
          <w:tcPr>
            <w:tcW w:w="5901" w:type="dxa"/>
            <w:gridSpan w:val="5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人民币（大写）：            小写（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 xml:space="preserve">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8519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供应商磋商总报价不得超过最高限价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或预算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，否则响应文件按无效标处理；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分项报价汇总表中磋商总报价须与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磋商报价表中磋商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报价一致。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供应商可结合自身情况，自行填写报价内容。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/>
        <w:spacing w:line="240" w:lineRule="auto"/>
        <w:ind w:firstLine="408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A861"/>
    <w:multiLevelType w:val="singleLevel"/>
    <w:tmpl w:val="8A81A8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abstractNum w:abstractNumId="1">
    <w:nsid w:val="46D6BB25"/>
    <w:multiLevelType w:val="singleLevel"/>
    <w:tmpl w:val="46D6BB25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C7FFC"/>
    <w:rsid w:val="133C7FFC"/>
    <w:rsid w:val="726659D7"/>
    <w:rsid w:val="749C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2025-07-30T03:15:00Z</dcterms:created>
  <dc:creator>ttt</dc:creator>
  <cp:lastModifiedBy>小月</cp:lastModifiedBy>
  <dcterms:modified xsi:type="dcterms:W3CDTF">2025-08-14T09:42:23Z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7FFAA0F5833C40A1B8E948AE1600265E_11</vt:lpwstr>
  </property>
  <property fmtid="{D5CDD505-2E9C-101B-9397-08002B2CF9AE}" pid="4" name="KSOTemplateDocerSaveRecord">
    <vt:lpwstr>eyJoZGlkIjoiNWJlMTZkNzkxYTk2ZWMzMDUxYmFlZDhhYTA3N2E0OTEifQ==</vt:lpwstr>
  </property>
</Properties>
</file>