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版本号：QHZX2025-ZFCG-0060.1B120250814001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参展第32届杨凌农高会宣传项目(二次)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QHZX2025-ZFCG-0060.1B1</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陕西秦禾建设项目管理有限公司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陕西秦禾建设项目管理有限公司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参展第32届杨凌农高会宣传项目(二次)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QHZX2025-ZFCG-0060.1B1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参展第32届杨凌农高会宣传项目(二次)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参展第32届杨凌农高会宣传项目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采购包1（参展第32届杨凌农高会宣传项目）：属于专门面向中小企业采购。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4、无重大违法记录声明：参加本次政府采购活动前3年内在经营活动中没有重大违法记录的书面声明（提供声明）；</w:t>
      </w:r>
    </w:p>
    <w:p>
      <w:pPr>
        <w:pStyle w:val="null3"/>
      </w:pPr>
      <w:r>
        <w:rPr>
          <w:rFonts w:ascii="仿宋_GB2312" w:hAnsi="仿宋_GB2312" w:cs="仿宋_GB2312" w:eastAsia="仿宋_GB2312"/>
        </w:rPr>
        <w:t>5、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6、具有履行合同能力声明：具有履行合同所必需的设备和专业技术能力（提供声明）；</w:t>
      </w:r>
    </w:p>
    <w:p>
      <w:pPr>
        <w:pStyle w:val="null3"/>
      </w:pPr>
      <w:r>
        <w:rPr>
          <w:rFonts w:ascii="仿宋_GB2312" w:hAnsi="仿宋_GB2312" w:cs="仿宋_GB2312" w:eastAsia="仿宋_GB2312"/>
        </w:rPr>
        <w:t>7、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8、投标人关联关系声明：单位负责人为同一人或者存在直接控股、管理关系的不同投标人，不得参加同一合同项下的政府采购活动；（提供承诺书）；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9、非联合体投标：本项目不接受联合体投标。（提供声明）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曹保林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029—88778189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陕西秦禾建设项目管理有限公司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西安市灞桥区浐灞东路与金桥三路交汇口桃源漫步天境23楼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15771787667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代理服务费收费标准：1、招标代理服务费的收取参照国家计委颁布的《招标代理服务收费管理暂行办法》（计价格[2002]1980 号）和（发改办价格[2003]857 号）收费标准收取。2、中标单位在领取中标通知书前应向代理机构一次性全额缴纳招标代理服务费。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陕西秦禾建设项目管理有限公司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陕西秦禾建设项目管理有限公司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联系人：吕雪</w:t>
      </w:r>
    </w:p>
    <w:p>
      <w:pPr>
        <w:pStyle w:val="null3"/>
      </w:pPr>
      <w:r>
        <w:rPr>
          <w:rFonts w:ascii="仿宋_GB2312" w:hAnsi="仿宋_GB2312" w:cs="仿宋_GB2312" w:eastAsia="仿宋_GB2312"/>
        </w:rPr>
        <w:t>联系电话：15771787667</w:t>
      </w:r>
    </w:p>
    <w:p>
      <w:pPr>
        <w:pStyle w:val="null3"/>
      </w:pPr>
      <w:r>
        <w:rPr>
          <w:rFonts w:ascii="仿宋_GB2312" w:hAnsi="仿宋_GB2312" w:cs="仿宋_GB2312" w:eastAsia="仿宋_GB2312"/>
        </w:rPr>
        <w:t>地址：西安市灞桥区浐灞东路与金桥三路交汇口桃源漫步天境23楼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参展第32届杨凌农高会宣传项目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陕西省自然资源厅参展第32届杨凌农高会宣传项目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标的名称：陕西省自然资源厅参展第32届杨凌农高会宣传项目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0"/>
              </w:rPr>
              <w:t>参展第</w:t>
            </w:r>
            <w:r>
              <w:rPr>
                <w:rFonts w:ascii="仿宋_GB2312" w:hAnsi="仿宋_GB2312" w:cs="仿宋_GB2312" w:eastAsia="仿宋_GB2312"/>
                <w:sz w:val="20"/>
              </w:rPr>
              <w:t>32</w:t>
            </w:r>
            <w:r>
              <w:rPr>
                <w:rFonts w:ascii="仿宋_GB2312" w:hAnsi="仿宋_GB2312" w:cs="仿宋_GB2312" w:eastAsia="仿宋_GB2312"/>
                <w:sz w:val="20"/>
              </w:rPr>
              <w:t>届杨凌农高会宣传项目</w:t>
            </w:r>
          </w:p>
          <w:p>
            <w:pPr>
              <w:pStyle w:val="null3"/>
              <w:jc w:val="both"/>
            </w:pPr>
            <w:r>
              <w:rPr>
                <w:rFonts w:ascii="仿宋_GB2312" w:hAnsi="仿宋_GB2312" w:cs="仿宋_GB2312" w:eastAsia="仿宋_GB2312"/>
                <w:sz w:val="20"/>
                <w:b/>
              </w:rPr>
              <w:t>二、采购内容</w:t>
            </w:r>
          </w:p>
          <w:p>
            <w:pPr>
              <w:pStyle w:val="null3"/>
              <w:jc w:val="both"/>
            </w:pPr>
            <w:r>
              <w:rPr>
                <w:rFonts w:ascii="仿宋_GB2312" w:hAnsi="仿宋_GB2312" w:cs="仿宋_GB2312" w:eastAsia="仿宋_GB2312"/>
                <w:sz w:val="20"/>
              </w:rPr>
              <w:t>自然资源宣传项目。用于第</w:t>
            </w:r>
            <w:r>
              <w:rPr>
                <w:rFonts w:ascii="仿宋_GB2312" w:hAnsi="仿宋_GB2312" w:cs="仿宋_GB2312" w:eastAsia="仿宋_GB2312"/>
                <w:sz w:val="20"/>
              </w:rPr>
              <w:t>32</w:t>
            </w:r>
            <w:r>
              <w:rPr>
                <w:rFonts w:ascii="仿宋_GB2312" w:hAnsi="仿宋_GB2312" w:cs="仿宋_GB2312" w:eastAsia="仿宋_GB2312"/>
                <w:sz w:val="20"/>
              </w:rPr>
              <w:t>届中国杨凌农业高新科技成果博览会陕西省自然资源厅展位设计搭建。主要包括：</w:t>
            </w:r>
            <w:r>
              <w:rPr>
                <w:rFonts w:ascii="仿宋_GB2312" w:hAnsi="仿宋_GB2312" w:cs="仿宋_GB2312" w:eastAsia="仿宋_GB2312"/>
                <w:sz w:val="20"/>
              </w:rPr>
              <w:t>200</w:t>
            </w:r>
            <w:r>
              <w:rPr>
                <w:rFonts w:ascii="仿宋_GB2312" w:hAnsi="仿宋_GB2312" w:cs="仿宋_GB2312" w:eastAsia="仿宋_GB2312"/>
                <w:sz w:val="20"/>
              </w:rPr>
              <w:t>平方米左右展区的展位费、水电费；展区设计费、搭建费；部分展品、宣传片制作费；展会期间展区服务保障等。其中展区设计要求展示内容符合甲方的需求，采用平面地图创意设计与立体点位（以立体模型为主）创意设计相结合的形式，创意新颖、简约大气、突出科技感与现代感；宣传片包装设计、剪辑制作紧扣展区主题，画质高清，分辨率</w:t>
            </w:r>
            <w:r>
              <w:rPr>
                <w:rFonts w:ascii="仿宋_GB2312" w:hAnsi="仿宋_GB2312" w:cs="仿宋_GB2312" w:eastAsia="仿宋_GB2312"/>
                <w:sz w:val="20"/>
              </w:rPr>
              <w:t>2K</w:t>
            </w:r>
            <w:r>
              <w:rPr>
                <w:rFonts w:ascii="仿宋_GB2312" w:hAnsi="仿宋_GB2312" w:cs="仿宋_GB2312" w:eastAsia="仿宋_GB2312"/>
                <w:sz w:val="20"/>
              </w:rPr>
              <w:t>以上，时长不少于</w:t>
            </w:r>
            <w:r>
              <w:rPr>
                <w:rFonts w:ascii="仿宋_GB2312" w:hAnsi="仿宋_GB2312" w:cs="仿宋_GB2312" w:eastAsia="仿宋_GB2312"/>
                <w:sz w:val="20"/>
              </w:rPr>
              <w:t>6</w:t>
            </w:r>
            <w:r>
              <w:rPr>
                <w:rFonts w:ascii="仿宋_GB2312" w:hAnsi="仿宋_GB2312" w:cs="仿宋_GB2312" w:eastAsia="仿宋_GB2312"/>
                <w:sz w:val="20"/>
              </w:rPr>
              <w:t>分钟。快闪短剧创意新颖，能达到较好的试听和演艺效果。</w:t>
            </w:r>
          </w:p>
          <w:p>
            <w:pPr>
              <w:pStyle w:val="null3"/>
              <w:jc w:val="both"/>
            </w:pPr>
            <w:r>
              <w:rPr>
                <w:rFonts w:ascii="仿宋_GB2312" w:hAnsi="仿宋_GB2312" w:cs="仿宋_GB2312" w:eastAsia="仿宋_GB2312"/>
                <w:sz w:val="20"/>
                <w:b/>
              </w:rPr>
              <w:t>三、功能和目标</w:t>
            </w:r>
          </w:p>
          <w:p>
            <w:pPr>
              <w:pStyle w:val="null3"/>
              <w:jc w:val="both"/>
            </w:pPr>
            <w:r>
              <w:rPr>
                <w:rFonts w:ascii="仿宋_GB2312" w:hAnsi="仿宋_GB2312" w:cs="仿宋_GB2312" w:eastAsia="仿宋_GB2312"/>
                <w:sz w:val="20"/>
                <w:b/>
              </w:rPr>
              <w:t>核心功能：</w:t>
            </w:r>
            <w:r>
              <w:rPr>
                <w:rFonts w:ascii="仿宋_GB2312" w:hAnsi="仿宋_GB2312" w:cs="仿宋_GB2312" w:eastAsia="仿宋_GB2312"/>
                <w:sz w:val="20"/>
              </w:rPr>
              <w:t>围绕</w:t>
            </w:r>
            <w:r>
              <w:rPr>
                <w:rFonts w:ascii="仿宋_GB2312" w:hAnsi="仿宋_GB2312" w:cs="仿宋_GB2312" w:eastAsia="仿宋_GB2312"/>
                <w:sz w:val="20"/>
              </w:rPr>
              <w:t>“山水林田湖草沙”生命共同体理念，以陕西省全域地形图为展示基础，以大秦岭、黄河、渭河、汉江、黄桥林区、三秦粮仓、瀛湖、红碱淖、关山草原、毛乌素沙地等代表性自然生态为展示点位，结合现场快闪短剧《山水林田湖草沙》，以及自然资源科普宣教现场互动、自然资源重点工作综合传播等方式，全方位呈现陕西自然资源事业的壮美画卷。</w:t>
            </w:r>
          </w:p>
          <w:p>
            <w:pPr>
              <w:pStyle w:val="null3"/>
              <w:jc w:val="both"/>
            </w:pPr>
            <w:r>
              <w:rPr>
                <w:rFonts w:ascii="仿宋_GB2312" w:hAnsi="仿宋_GB2312" w:cs="仿宋_GB2312" w:eastAsia="仿宋_GB2312"/>
                <w:sz w:val="20"/>
                <w:b/>
              </w:rPr>
              <w:t>具体目标：</w:t>
            </w:r>
            <w:r>
              <w:rPr>
                <w:rFonts w:ascii="仿宋_GB2312" w:hAnsi="仿宋_GB2312" w:cs="仿宋_GB2312" w:eastAsia="仿宋_GB2312"/>
                <w:sz w:val="20"/>
              </w:rPr>
              <w:t>在动静交错、人物互动中突出重点、照顾全局。通过全面展示高质量项目、自然生态要素，向全社会形象展现全省自然资源家底以及自然资源系统干部职工心齐气顺、风正劲足、干事创业的精神风貌、服务民生的事业情怀，全方位体现自然资源事业发展全景。</w:t>
            </w:r>
          </w:p>
          <w:p>
            <w:pPr>
              <w:pStyle w:val="null3"/>
              <w:jc w:val="both"/>
            </w:pPr>
            <w:r>
              <w:rPr>
                <w:rFonts w:ascii="仿宋_GB2312" w:hAnsi="仿宋_GB2312" w:cs="仿宋_GB2312" w:eastAsia="仿宋_GB2312"/>
                <w:sz w:val="20"/>
                <w:b/>
              </w:rPr>
              <w:t>四、展示内容</w:t>
            </w:r>
          </w:p>
          <w:p>
            <w:pPr>
              <w:pStyle w:val="null3"/>
              <w:jc w:val="both"/>
            </w:pPr>
            <w:r>
              <w:rPr>
                <w:rFonts w:ascii="仿宋_GB2312" w:hAnsi="仿宋_GB2312" w:cs="仿宋_GB2312" w:eastAsia="仿宋_GB2312"/>
                <w:sz w:val="20"/>
                <w:b/>
              </w:rPr>
              <w:t>（一）平面基础（体现高质量发展）：</w:t>
            </w:r>
            <w:r>
              <w:rPr>
                <w:rFonts w:ascii="仿宋_GB2312" w:hAnsi="仿宋_GB2312" w:cs="仿宋_GB2312" w:eastAsia="仿宋_GB2312"/>
                <w:sz w:val="20"/>
              </w:rPr>
              <w:t>以陕西省全域地形图为基础，通过平面印制图片介绍等办法，展示一批高速公路、高速铁路、机场、中欧班列物流枢纽，大型煤田、大型油气田，大型水利枢纽等基础设施，以及华为西安研究所、比亚迪、三星等新基建，重点介绍用地情况。</w:t>
            </w:r>
          </w:p>
          <w:p>
            <w:pPr>
              <w:pStyle w:val="null3"/>
              <w:jc w:val="both"/>
            </w:pPr>
            <w:r>
              <w:rPr>
                <w:rFonts w:ascii="仿宋_GB2312" w:hAnsi="仿宋_GB2312" w:cs="仿宋_GB2312" w:eastAsia="仿宋_GB2312"/>
                <w:sz w:val="20"/>
                <w:b/>
              </w:rPr>
              <w:t>（二）立体点位（体现生态文明建设）：</w:t>
            </w:r>
            <w:r>
              <w:rPr>
                <w:rFonts w:ascii="仿宋_GB2312" w:hAnsi="仿宋_GB2312" w:cs="仿宋_GB2312" w:eastAsia="仿宋_GB2312"/>
                <w:sz w:val="20"/>
              </w:rPr>
              <w:t>在陕西省全域地形图上，通过若干个标志性的自然生态点位，展示全省</w:t>
            </w:r>
            <w:r>
              <w:rPr>
                <w:rFonts w:ascii="仿宋_GB2312" w:hAnsi="仿宋_GB2312" w:cs="仿宋_GB2312" w:eastAsia="仿宋_GB2312"/>
                <w:sz w:val="20"/>
              </w:rPr>
              <w:t>“山水林田湖草沙”自然资源状貌。主要包括：“山”－－大秦岭，“水”－－黄河、汉江，“林”－－黄乔林区，“田”－－三秦粮仓，“湖”－－安康瀛湖、榆林红碱淖，“草”－－关山草原，“沙”－－毛乌素沙地等多个立体模型。每一类自然生态要素旁边均有简明扼要的文字介绍。</w:t>
            </w:r>
          </w:p>
          <w:p>
            <w:pPr>
              <w:pStyle w:val="null3"/>
              <w:jc w:val="both"/>
            </w:pPr>
            <w:r>
              <w:rPr>
                <w:rFonts w:ascii="仿宋_GB2312" w:hAnsi="仿宋_GB2312" w:cs="仿宋_GB2312" w:eastAsia="仿宋_GB2312"/>
                <w:sz w:val="20"/>
                <w:b/>
              </w:rPr>
              <w:t>（三）快闪短剧（体现干部队伍精气神）：</w:t>
            </w:r>
            <w:r>
              <w:rPr>
                <w:rFonts w:ascii="仿宋_GB2312" w:hAnsi="仿宋_GB2312" w:cs="仿宋_GB2312" w:eastAsia="仿宋_GB2312"/>
                <w:sz w:val="20"/>
              </w:rPr>
              <w:t>从全系统抽调</w:t>
            </w:r>
            <w:r>
              <w:rPr>
                <w:rFonts w:ascii="仿宋_GB2312" w:hAnsi="仿宋_GB2312" w:cs="仿宋_GB2312" w:eastAsia="仿宋_GB2312"/>
                <w:sz w:val="20"/>
              </w:rPr>
              <w:t>10</w:t>
            </w:r>
            <w:r>
              <w:rPr>
                <w:rFonts w:ascii="仿宋_GB2312" w:hAnsi="仿宋_GB2312" w:cs="仿宋_GB2312" w:eastAsia="仿宋_GB2312"/>
                <w:sz w:val="20"/>
              </w:rPr>
              <w:t>名左右青年干部职工，分别扮演“山水林田湖草沙”自然生态要素，每人有</w:t>
            </w:r>
            <w:r>
              <w:rPr>
                <w:rFonts w:ascii="仿宋_GB2312" w:hAnsi="仿宋_GB2312" w:cs="仿宋_GB2312" w:eastAsia="仿宋_GB2312"/>
                <w:sz w:val="20"/>
              </w:rPr>
              <w:t>15</w:t>
            </w:r>
            <w:r>
              <w:rPr>
                <w:rFonts w:ascii="仿宋_GB2312" w:hAnsi="仿宋_GB2312" w:cs="仿宋_GB2312" w:eastAsia="仿宋_GB2312"/>
                <w:sz w:val="20"/>
              </w:rPr>
              <w:t>秒－</w:t>
            </w:r>
            <w:r>
              <w:rPr>
                <w:rFonts w:ascii="仿宋_GB2312" w:hAnsi="仿宋_GB2312" w:cs="仿宋_GB2312" w:eastAsia="仿宋_GB2312"/>
                <w:sz w:val="20"/>
              </w:rPr>
              <w:t>20</w:t>
            </w:r>
            <w:r>
              <w:rPr>
                <w:rFonts w:ascii="仿宋_GB2312" w:hAnsi="仿宋_GB2312" w:cs="仿宋_GB2312" w:eastAsia="仿宋_GB2312"/>
                <w:sz w:val="20"/>
              </w:rPr>
              <w:t>秒体现所扮演要素的简要台词以及合作台词，配以适当的背景音乐，整体表现“人与自然和谐共生”的新发展理念。整场快闪演艺</w:t>
            </w:r>
            <w:r>
              <w:rPr>
                <w:rFonts w:ascii="仿宋_GB2312" w:hAnsi="仿宋_GB2312" w:cs="仿宋_GB2312" w:eastAsia="仿宋_GB2312"/>
                <w:sz w:val="20"/>
              </w:rPr>
              <w:t>3</w:t>
            </w:r>
            <w:r>
              <w:rPr>
                <w:rFonts w:ascii="仿宋_GB2312" w:hAnsi="仿宋_GB2312" w:cs="仿宋_GB2312" w:eastAsia="仿宋_GB2312"/>
                <w:sz w:val="20"/>
              </w:rPr>
              <w:t>分钟左右。</w:t>
            </w:r>
          </w:p>
          <w:p>
            <w:pPr>
              <w:pStyle w:val="null3"/>
              <w:jc w:val="both"/>
            </w:pPr>
            <w:r>
              <w:rPr>
                <w:rFonts w:ascii="仿宋_GB2312" w:hAnsi="仿宋_GB2312" w:cs="仿宋_GB2312" w:eastAsia="仿宋_GB2312"/>
                <w:sz w:val="20"/>
                <w:b/>
              </w:rPr>
              <w:t>（四）科普互动（体现以人民为中心）：</w:t>
            </w:r>
            <w:r>
              <w:rPr>
                <w:rFonts w:ascii="仿宋_GB2312" w:hAnsi="仿宋_GB2312" w:cs="仿宋_GB2312" w:eastAsia="仿宋_GB2312"/>
                <w:sz w:val="20"/>
              </w:rPr>
              <w:t>邀请全省自然资源科普大赛获奖选手，准备</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个与民生关联紧密的话题（比如农村宅基地建房、地灾应急避险、不动产登记等）向群众进行介绍，并与群众互动交流。科普互动点位。</w:t>
            </w:r>
          </w:p>
          <w:p>
            <w:pPr>
              <w:pStyle w:val="null3"/>
              <w:jc w:val="both"/>
            </w:pPr>
            <w:r>
              <w:rPr>
                <w:rFonts w:ascii="仿宋_GB2312" w:hAnsi="仿宋_GB2312" w:cs="仿宋_GB2312" w:eastAsia="仿宋_GB2312"/>
                <w:sz w:val="20"/>
                <w:b/>
              </w:rPr>
              <w:t>（五）综合传播（重点体现事业发展成就）：</w:t>
            </w:r>
            <w:r>
              <w:rPr>
                <w:rFonts w:ascii="仿宋_GB2312" w:hAnsi="仿宋_GB2312" w:cs="仿宋_GB2312" w:eastAsia="仿宋_GB2312"/>
                <w:sz w:val="20"/>
              </w:rPr>
              <w:t>展区配备电子大屏，滚动播出涉及全省自然资源概况数据、国土空间规划重点数据、国土</w:t>
            </w:r>
            <w:r>
              <w:rPr>
                <w:rFonts w:ascii="仿宋_GB2312" w:hAnsi="仿宋_GB2312" w:cs="仿宋_GB2312" w:eastAsia="仿宋_GB2312"/>
                <w:sz w:val="20"/>
              </w:rPr>
              <w:t>“三调”主要成果、耕地保护主要数据、土地要素保障主要数据、矿产保护利用主要数据、促进民生福祉（地灾防治、避险搬迁、确权登记等）相关数据，以及自然资源宣传短片。整体场馆周边布置“我爱三秦大地”艺术展部分书法、绘画作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自签订之日起至项目撤展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 2.供应商应自磋商文件递交截止时间起至磋商结束，保持在线状态。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 供应商认为有必要补充说明的事宜.docx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供应商应提交的相关资格证明材料.docx 残疾人福利性单位声明函 服务方案 标的清单 响应函 供应商认为有必要补充说明的事宜.docx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①项目背景、内容及意义的理解；②项目重点难点分析及应对措施；③对项目功能定位和需求的理解；方案各部分内容全面、阐述条理清晰详尽、符合本项目采购需求且描述详细可行性强得9分；以上分项每缺少一项内容扣3分；每一项评审内容中每出现一处缺陷扣0.5分，扣完为止；未提供不得分。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项目实施方案，包括但不限于①场地布展与搭建；②会场布置及物料准备；③会场现场的管理、组织及协调方案；④秩序维护及后勤保障方案；⑤宣传片制作实施方案。各部分内容全面、阐述条理清晰详尽、符合本项目采购需求且描述详细可行性强得20分；以上分项每缺少一项内容扣4分；每一项评审内容中每出现一处缺陷扣0.5分，扣完为止；未提供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服务质量及进度计划保障措施</w:t>
            </w:r>
          </w:p>
        </w:tc>
        <w:tc>
          <w:tcPr>
            <w:tcW w:type="dxa" w:w="2492"/>
          </w:tcPr>
          <w:p>
            <w:pPr>
              <w:pStyle w:val="null3"/>
            </w:pPr>
            <w:r>
              <w:rPr>
                <w:rFonts w:ascii="仿宋_GB2312" w:hAnsi="仿宋_GB2312" w:cs="仿宋_GB2312" w:eastAsia="仿宋_GB2312"/>
              </w:rPr>
              <w:t>针对本项目提供服务质量保障措施，包括但不限于①服务质量承诺；②会期各项保障措施；③进度计划安排；④进度保障措施。 方案各部分内容全面、阐述条理清晰详尽、符合本项目采购需求且描述详细可行性强得12分；以上分项每缺少一项内容扣3分； 每一项评审内容中每出现一处缺陷扣0.5分，扣完为止；未提供不得分。备注：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安全与应急预案</w:t>
            </w:r>
          </w:p>
        </w:tc>
        <w:tc>
          <w:tcPr>
            <w:tcW w:type="dxa" w:w="2492"/>
          </w:tcPr>
          <w:p>
            <w:pPr>
              <w:pStyle w:val="null3"/>
            </w:pPr>
            <w:r>
              <w:rPr>
                <w:rFonts w:ascii="仿宋_GB2312" w:hAnsi="仿宋_GB2312" w:cs="仿宋_GB2312" w:eastAsia="仿宋_GB2312"/>
              </w:rPr>
              <w:t>供应商针对项目实施过程中可能出现的突发情况（如设施设备故障、演出变化等）提供完善的①应急预案及应对措施；②安全方案描述详细可行性强得8分。 以上分项每缺少一项内容扣4分；每一项评审内容中每出现一处缺陷扣0.5分，扣完为止；未提供不得分。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应对突发事件的处理措施；②事前、事中、事后意识形态和网络动向风险点综合评估、研判、制定方案预案，方案各部分内容全面、阐述条理清晰详尽、符合本项目采购需求且描述详细可行性强得6分，以上分项每缺少一项内容扣3分； 每一项评审内容中每出现一处缺陷扣0.5分，扣完为止；未提供不得分。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针对本项目采购需求中的人员要求提供团队人员配备方案，包括但不限于①团队组织架构；②工作人员构成及分工；③岗位设置及岗位责任制度；④工作人员从业经验。 方案各部分内容全面、阐述条理清晰详尽、符合本项目采购需求且描述详细可行性强得12分；以上分项每缺少一项内容扣3分； 每一项评审内容中每出现一处缺陷扣0.5分，扣完为止；未提供不得分。 注：1、须提供项目团队人员名单（包括姓名、工作职责、联系方式等），否则不得分。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针对本项目提供后期服务方案，包括但不限于①会场后期宣传；②全过程资料的收集、整理及移交；③会场撤展方案。 方案各部分内容全面、阐述条理清晰详尽、符合本项目采购需求且描述详细可行性强得9分； 以上分项每缺少一项内容扣3分；每一项评审内容中每出现一处缺陷扣0.5分，扣完为止；未提供不得分。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后期保障措施：供应商根据项目周期、计划、后续服务的周到性等，针对本项目有详尽的服务组织实施方案，服务机构健全，服务方案完整，不得有违法或侵犯知识产权和行为，因违反规定产生的法律和民事纠纷由供应商负责的服务承诺。综合打分0-4分。评审内容中每出现一处缺陷扣0.5分，扣完为止；未提供不得分。 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提供2022年1月至今的类似业绩证明材料，提供1份得5分，满分10分；未提供不得分。 以中标通知书或合同的复印件或扫描件加盖公章为准。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作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