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版本号：SZT2024-SN-SC-ZC-HW-122620250814001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低压等离子体化学气相沉积采购项目(二次)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SZT2024-SN-SC-ZC-HW-1226</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低压等离子体化学气相沉积采购项目(二次)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SZT2024-SN-SC-ZC-HW-1226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低压等离子体化学气相沉积采购项目(二次)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本设备主要用于氮化硅、氮氧化硅、非晶硅等薄膜材料的生长，用于制备氮化硅、氮氧化硅、非晶硅等高致密度、低传输损耗的薄膜材料。</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1、法定代表人授权书：法定代表人授权代表参加投标的，须出具法定代表人授权书及授权代表身份证（法定代表人直接参加投标的，须出具法定代表人身份证）。</w:t>
      </w:r>
    </w:p>
    <w:p>
      <w:pPr>
        <w:pStyle w:val="null3"/>
      </w:pPr>
      <w:r>
        <w:rPr>
          <w:rFonts w:ascii="仿宋_GB2312" w:hAnsi="仿宋_GB2312" w:cs="仿宋_GB2312" w:eastAsia="仿宋_GB2312"/>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西安工业大学经办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本设备主要用于氮化硅、氮氧化硅、非晶硅等薄膜材料的生长，用于制备氮化硅、氮氧化硅、非晶硅等高致密度、低传输损耗的薄膜材料。</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5,850,000.00</w:t>
      </w:r>
    </w:p>
    <w:p>
      <w:pPr>
        <w:pStyle w:val="null3"/>
      </w:pPr>
      <w:r>
        <w:rPr>
          <w:rFonts w:ascii="仿宋_GB2312" w:hAnsi="仿宋_GB2312" w:cs="仿宋_GB2312" w:eastAsia="仿宋_GB2312"/>
        </w:rPr>
        <w:t>采购包最高限价（元）: 5,850,000.00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低压等离子体化学气相沉积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标的名称：低压等离子体化学气相沉积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THK片内均匀性≤±3%（1000/5000 Å）（氮氧化硅工艺（SiON）均匀性）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THK片间均匀性≤±3%（1000/5000 Å）（氮氧化硅工艺（SiON）均匀性）</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THK炉次均匀性≤±3%（1000/5000 Å）（氮氧化硅工艺（SiON）均匀性）</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针对氮化硅工艺的膜厚均匀性：</w:t>
            </w:r>
          </w:p>
          <w:p>
            <w:pPr>
              <w:pStyle w:val="null3"/>
            </w:pPr>
            <w:r>
              <w:rPr>
                <w:rFonts w:ascii="仿宋_GB2312" w:hAnsi="仿宋_GB2312" w:cs="仿宋_GB2312" w:eastAsia="仿宋_GB2312"/>
              </w:rPr>
              <w:t>（1）片间均匀性≤±3%（1000/10000 Å）</w:t>
            </w:r>
          </w:p>
          <w:p>
            <w:pPr>
              <w:pStyle w:val="null3"/>
            </w:pPr>
            <w:r>
              <w:rPr>
                <w:rFonts w:ascii="仿宋_GB2312" w:hAnsi="仿宋_GB2312" w:cs="仿宋_GB2312" w:eastAsia="仿宋_GB2312"/>
              </w:rPr>
              <w:t>（2）炉次均匀性≤±3%（1000/10000 Å）</w:t>
            </w:r>
          </w:p>
          <w:p>
            <w:pPr>
              <w:pStyle w:val="null3"/>
            </w:pPr>
            <w:r>
              <w:rPr>
                <w:rFonts w:ascii="仿宋_GB2312" w:hAnsi="仿宋_GB2312" w:cs="仿宋_GB2312" w:eastAsia="仿宋_GB2312"/>
              </w:rPr>
              <w:t>（3）片内均匀性≤±3%（1000/10000 Å）</w:t>
            </w:r>
          </w:p>
          <w:p>
            <w:pPr>
              <w:pStyle w:val="null3"/>
            </w:pPr>
            <w:r>
              <w:rPr>
                <w:rFonts w:ascii="仿宋_GB2312" w:hAnsi="仿宋_GB2312" w:cs="仿宋_GB2312" w:eastAsia="仿宋_GB2312"/>
              </w:rPr>
              <w:t>均匀性计算采用标准差计算方法，测量9 个点。去边10mm 处测量。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温度精度≤±0.5℃（800℃）（氮化硅/氮氧化硅工艺）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温度精度≤±0.5℃（620℃）（预留升级的非晶硅/多晶硅工艺）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温度控制范围：300-1000℃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恒温区温度误差（中低温区300~850℃）≤±0.5℃</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样品尺寸：6、8英寸</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升温速率≥15℃/min</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降温速率≥3℃/min</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产能在25~50 PCS/run之间</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漏率≤5 mTorr/min</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极限真空≤5 mTorr（SiN/SiON）</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MFC稳定性≤±1%</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控压范围：150mTorr~400mTorr</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Uptime≥90%</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薄膜颗粒度≤50 ea ≥0.3μm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金属污染（Fe, Cr, Ni, Cu, Zn, Na, K, Mg, Ca, Al)≤5*10/cm2</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针对预留升级非晶硅/多晶硅工艺的膜厚均匀性：</w:t>
            </w:r>
          </w:p>
          <w:p>
            <w:pPr>
              <w:pStyle w:val="null3"/>
            </w:pPr>
            <w:r>
              <w:rPr>
                <w:rFonts w:ascii="仿宋_GB2312" w:hAnsi="仿宋_GB2312" w:cs="仿宋_GB2312" w:eastAsia="仿宋_GB2312"/>
              </w:rPr>
              <w:t>1）片间均匀性≤±3%（5000 Å/10000 Å）</w:t>
            </w:r>
          </w:p>
          <w:p>
            <w:pPr>
              <w:pStyle w:val="null3"/>
            </w:pPr>
            <w:r>
              <w:rPr>
                <w:rFonts w:ascii="仿宋_GB2312" w:hAnsi="仿宋_GB2312" w:cs="仿宋_GB2312" w:eastAsia="仿宋_GB2312"/>
              </w:rPr>
              <w:t>2）炉次均匀性≤±3%（5000 Å/10000 Å）</w:t>
            </w:r>
          </w:p>
          <w:p>
            <w:pPr>
              <w:pStyle w:val="null3"/>
            </w:pPr>
            <w:r>
              <w:rPr>
                <w:rFonts w:ascii="仿宋_GB2312" w:hAnsi="仿宋_GB2312" w:cs="仿宋_GB2312" w:eastAsia="仿宋_GB2312"/>
              </w:rPr>
              <w:t>3) 片内均匀性≤±3%（5000 Å/10000 Å）</w:t>
            </w:r>
          </w:p>
          <w:p>
            <w:pPr>
              <w:pStyle w:val="null3"/>
            </w:pPr>
            <w:r>
              <w:rPr>
                <w:rFonts w:ascii="仿宋_GB2312" w:hAnsi="仿宋_GB2312" w:cs="仿宋_GB2312" w:eastAsia="仿宋_GB2312"/>
              </w:rPr>
              <w:t>均匀性计算采用标准差计算方法，测量9 个点。去边10mm 处测量。</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培训要求：提供不少于10 个工作日的培训。</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设备尺寸（不含装载单元）:长≤2800mm，宽≤1500 mm，高≤2300 mm</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炉体设计要求： （1）三区加热控温保证恒温效果； （2）配备3支R型1级铠装热电偶用于超温保护； （3）卧式双管结构，排气管道位于炉顶。</w:t>
            </w:r>
          </w:p>
        </w:tc>
      </w:tr>
      <w:tr>
        <w:tc>
          <w:tcPr>
            <w:tcW w:type="dxa" w:w="2769"/>
          </w:tcPr>
          <w:p>
            <w:pPr>
              <w:pStyle w:val="null3"/>
            </w:pPr>
            <w:r>
              <w:rPr>
                <w:rFonts w:ascii="仿宋_GB2312" w:hAnsi="仿宋_GB2312" w:cs="仿宋_GB2312" w:eastAsia="仿宋_GB2312"/>
              </w:rPr>
              <w:t>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加工工艺腔体及气体系统的设计要求：</w:t>
            </w:r>
          </w:p>
          <w:p>
            <w:pPr>
              <w:pStyle w:val="null3"/>
            </w:pPr>
            <w:r>
              <w:rPr>
                <w:rFonts w:ascii="仿宋_GB2312" w:hAnsi="仿宋_GB2312" w:cs="仿宋_GB2312" w:eastAsia="仿宋_GB2312"/>
              </w:rPr>
              <w:t>1. 加工工艺腔体：</w:t>
            </w:r>
          </w:p>
          <w:p>
            <w:pPr>
              <w:pStyle w:val="null3"/>
            </w:pPr>
            <w:r>
              <w:rPr>
                <w:rFonts w:ascii="仿宋_GB2312" w:hAnsi="仿宋_GB2312" w:cs="仿宋_GB2312" w:eastAsia="仿宋_GB2312"/>
              </w:rPr>
              <w:t>（1）双层套管结构；</w:t>
            </w:r>
          </w:p>
          <w:p>
            <w:pPr>
              <w:pStyle w:val="null3"/>
            </w:pPr>
            <w:r>
              <w:rPr>
                <w:rFonts w:ascii="仿宋_GB2312" w:hAnsi="仿宋_GB2312" w:cs="仿宋_GB2312" w:eastAsia="仿宋_GB2312"/>
              </w:rPr>
              <w:t>（2）炉体配置水冷阱，用于收集氮化硅副产物；</w:t>
            </w:r>
          </w:p>
          <w:p>
            <w:pPr>
              <w:pStyle w:val="null3"/>
            </w:pPr>
            <w:r>
              <w:rPr>
                <w:rFonts w:ascii="仿宋_GB2312" w:hAnsi="仿宋_GB2312" w:cs="仿宋_GB2312" w:eastAsia="仿宋_GB2312"/>
              </w:rPr>
              <w:t>2. 气体系统：</w:t>
            </w:r>
          </w:p>
          <w:p>
            <w:pPr>
              <w:pStyle w:val="null3"/>
            </w:pPr>
            <w:r>
              <w:rPr>
                <w:rFonts w:ascii="仿宋_GB2312" w:hAnsi="仿宋_GB2312" w:cs="仿宋_GB2312" w:eastAsia="仿宋_GB2312"/>
              </w:rPr>
              <w:t>（1）多工艺兼容气体柜；</w:t>
            </w:r>
          </w:p>
          <w:p>
            <w:pPr>
              <w:pStyle w:val="null3"/>
            </w:pPr>
            <w:r>
              <w:rPr>
                <w:rFonts w:ascii="仿宋_GB2312" w:hAnsi="仿宋_GB2312" w:cs="仿宋_GB2312" w:eastAsia="仿宋_GB2312"/>
              </w:rPr>
              <w:t>（2）配置5路气体分配系统（含过滤器、不锈钢管道、VCR接头），支持N2、SiH4、DCS、NH3、N2O（含压力调节器与压力表）；</w:t>
            </w:r>
          </w:p>
          <w:p>
            <w:pPr>
              <w:pStyle w:val="null3"/>
            </w:pPr>
            <w:r>
              <w:rPr>
                <w:rFonts w:ascii="仿宋_GB2312" w:hAnsi="仿宋_GB2312" w:cs="仿宋_GB2312" w:eastAsia="仿宋_GB2312"/>
              </w:rPr>
              <w:t>（3）配备常规氮化硅、低应力氮化硅及氮氧化硅气体系统；</w:t>
            </w:r>
          </w:p>
          <w:p>
            <w:pPr>
              <w:pStyle w:val="null3"/>
            </w:pPr>
            <w:r>
              <w:rPr>
                <w:rFonts w:ascii="仿宋_GB2312" w:hAnsi="仿宋_GB2312" w:cs="仿宋_GB2312" w:eastAsia="仿宋_GB2312"/>
              </w:rPr>
              <w:t>（4）可通过互联网远程操控设备PLC，控制气体系统的工作。</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设备兼容LPCVD常规氮化硅、低应力氮化硅及氮氧化硅工艺。</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设备配件及备件（石英的纯度要求达到99.999%）</w:t>
            </w:r>
          </w:p>
          <w:p>
            <w:pPr>
              <w:pStyle w:val="null3"/>
            </w:pPr>
            <w:r>
              <w:rPr>
                <w:rFonts w:ascii="仿宋_GB2312" w:hAnsi="仿宋_GB2312" w:cs="仿宋_GB2312" w:eastAsia="仿宋_GB2312"/>
              </w:rPr>
              <w:t>(1)10根石英工艺管;</w:t>
            </w:r>
          </w:p>
          <w:p>
            <w:pPr>
              <w:pStyle w:val="null3"/>
            </w:pPr>
            <w:r>
              <w:rPr>
                <w:rFonts w:ascii="仿宋_GB2312" w:hAnsi="仿宋_GB2312" w:cs="仿宋_GB2312" w:eastAsia="仿宋_GB2312"/>
              </w:rPr>
              <w:t>(2)10套石英衬管(便于后期使用的维护);</w:t>
            </w:r>
          </w:p>
          <w:p>
            <w:pPr>
              <w:pStyle w:val="null3"/>
            </w:pPr>
            <w:r>
              <w:rPr>
                <w:rFonts w:ascii="仿宋_GB2312" w:hAnsi="仿宋_GB2312" w:cs="仿宋_GB2312" w:eastAsia="仿宋_GB2312"/>
              </w:rPr>
              <w:t>(3)10个石英舟(&gt;25槽/每舟，与产能配套)，6英寸及8英寸各5个，材质为半导体级别高纯石英；</w:t>
            </w:r>
          </w:p>
          <w:p>
            <w:pPr>
              <w:pStyle w:val="null3"/>
            </w:pPr>
            <w:r>
              <w:rPr>
                <w:rFonts w:ascii="仿宋_GB2312" w:hAnsi="仿宋_GB2312" w:cs="仿宋_GB2312" w:eastAsia="仿宋_GB2312"/>
              </w:rPr>
              <w:t>(4)装载与悬臂系统:配备轻量化双碳化硅悬臂杆4套;</w:t>
            </w:r>
          </w:p>
          <w:p>
            <w:pPr>
              <w:pStyle w:val="null3"/>
            </w:pPr>
            <w:r>
              <w:rPr>
                <w:rFonts w:ascii="仿宋_GB2312" w:hAnsi="仿宋_GB2312" w:cs="仿宋_GB2312" w:eastAsia="仿宋_GB2312"/>
              </w:rPr>
              <w:t>(5)所有气路的MFC备件1套（为满足替换后的使用稳定性，要求与设备原装的品牌型号参数一致）。</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电源：提供3kW UPS电源1组；</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真空泵指标参数：</w:t>
            </w:r>
          </w:p>
          <w:p>
            <w:pPr>
              <w:pStyle w:val="null3"/>
            </w:pPr>
            <w:r>
              <w:rPr>
                <w:rFonts w:ascii="仿宋_GB2312" w:hAnsi="仿宋_GB2312" w:cs="仿宋_GB2312" w:eastAsia="仿宋_GB2312"/>
              </w:rPr>
              <w:t>（1）干泵，适用于化学腐蚀性气体（满足设备主反应气体的使用需求）的排气；</w:t>
            </w:r>
          </w:p>
          <w:p>
            <w:pPr>
              <w:pStyle w:val="null3"/>
            </w:pPr>
            <w:r>
              <w:rPr>
                <w:rFonts w:ascii="仿宋_GB2312" w:hAnsi="仿宋_GB2312" w:cs="仿宋_GB2312" w:eastAsia="仿宋_GB2312"/>
              </w:rPr>
              <w:t>（2）满足设备对漏率、极限真空等相关性能的要求</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提供与设备配套使用的尾气净化系统（不含气源）：</w:t>
            </w:r>
          </w:p>
          <w:p>
            <w:pPr>
              <w:pStyle w:val="null3"/>
            </w:pPr>
            <w:r>
              <w:rPr>
                <w:rFonts w:ascii="仿宋_GB2312" w:hAnsi="仿宋_GB2312" w:cs="仿宋_GB2312" w:eastAsia="仿宋_GB2312"/>
              </w:rPr>
              <w:t>（1）设备处理能力：600slm；</w:t>
            </w:r>
          </w:p>
          <w:p>
            <w:pPr>
              <w:pStyle w:val="null3"/>
            </w:pPr>
            <w:r>
              <w:rPr>
                <w:rFonts w:ascii="仿宋_GB2312" w:hAnsi="仿宋_GB2312" w:cs="仿宋_GB2312" w:eastAsia="仿宋_GB2312"/>
              </w:rPr>
              <w:t>（2）工作模式:电热燃烧+水喷淋；</w:t>
            </w:r>
          </w:p>
          <w:p>
            <w:pPr>
              <w:pStyle w:val="null3"/>
            </w:pPr>
            <w:r>
              <w:rPr>
                <w:rFonts w:ascii="仿宋_GB2312" w:hAnsi="仿宋_GB2312" w:cs="仿宋_GB2312" w:eastAsia="仿宋_GB2312"/>
              </w:rPr>
              <w:t>（3）加热温度0~800℃。</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提供设备配套使用的洁净运行环境（不少于120平方米）：</w:t>
            </w:r>
          </w:p>
          <w:p>
            <w:pPr>
              <w:pStyle w:val="null3"/>
            </w:pPr>
            <w:r>
              <w:rPr>
                <w:rFonts w:ascii="仿宋_GB2312" w:hAnsi="仿宋_GB2312" w:cs="仿宋_GB2312" w:eastAsia="仿宋_GB2312"/>
              </w:rPr>
              <w:t>（1）温度:22±0.5℃；</w:t>
            </w:r>
          </w:p>
          <w:p>
            <w:pPr>
              <w:pStyle w:val="null3"/>
            </w:pPr>
            <w:r>
              <w:rPr>
                <w:rFonts w:ascii="仿宋_GB2312" w:hAnsi="仿宋_GB2312" w:cs="仿宋_GB2312" w:eastAsia="仿宋_GB2312"/>
              </w:rPr>
              <w:t>（2）湿度:45±3%；</w:t>
            </w:r>
          </w:p>
          <w:p>
            <w:pPr>
              <w:pStyle w:val="null3"/>
            </w:pPr>
            <w:r>
              <w:rPr>
                <w:rFonts w:ascii="仿宋_GB2312" w:hAnsi="仿宋_GB2312" w:cs="仿宋_GB2312" w:eastAsia="仿宋_GB2312"/>
              </w:rPr>
              <w:t>（3）洁净度：满足ISO 5级</w:t>
            </w:r>
          </w:p>
          <w:p>
            <w:pPr>
              <w:pStyle w:val="null3"/>
            </w:pPr>
            <w:r>
              <w:rPr>
                <w:rFonts w:ascii="仿宋_GB2312" w:hAnsi="仿宋_GB2312" w:cs="仿宋_GB2312" w:eastAsia="仿宋_GB2312"/>
              </w:rPr>
              <w:t>（4）外电引入：型号:WDZN-YJY-0.6/1KV-4*185+1*95，长度不少于320米；</w:t>
            </w:r>
          </w:p>
          <w:p>
            <w:pPr>
              <w:pStyle w:val="null3"/>
            </w:pPr>
            <w:r>
              <w:rPr>
                <w:rFonts w:ascii="仿宋_GB2312" w:hAnsi="仿宋_GB2312" w:cs="仿宋_GB2312" w:eastAsia="仿宋_GB2312"/>
              </w:rPr>
              <w:t>（5）提供DCS、SiH4、NH3全自动气柜及配套气体管路，需要出具压力测试、泄露测试、颗粒测试、水分测试、氧含量测试报告。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合同签订后一年内交货安装完毕。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设备：本项目信用证保证金由采购人监管；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 国产设备：货到西安工业大学指定地点经验收合格后，采购人15日内支付成交金额的100% 。成交后5个工作日内，成交供应商须缴纳货款全额预付款保证金；合同签订后5个工作日内采购人支付合同全额预付款。合同验收合格后15个工作日内采购人从全额预付款保证金支付合同货款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1、设备质保期（保修期）为一年，自设备终验合格之日起开始计算（供应商所交付产品必须为全新设备，不得提供翻新机、二手设备等非全新设备）。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二、投标有效期：本项目投标有效期为从开标之日起120日历天。中标供应商的投标文件有效期自动延长合同履行完毕。 三、合同签订时限要求：中标公告发出2日内，中标供应商凭中标通知书到西安工业大学签订合同。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4、供应商报价应满足正常使用的一切费用，并包含设备验收时涉及的工艺验证等费用。 五、支付条件相关要求： 1、进口设备：本项目信用证保证金由采购人监管；项目付款方式为100%信用证付款，采购人与中标商签订技术协议后，采购人将全额中标金额付至采购人与指定外贸公司开立的保证金账户，外贸公司凭甲方出具的《外贸业务委托单》及《代理进口商品协议书》实施开立即期不可撤销信用证等操作；货到采购人指定地点后，90%的信用证款项凭外贸合同约定单据及以及最终用户和外贸公司共同签字及盖章的开箱点货报告原件解付，10%的信用证款项凭最终用户和外贸公司共同签字及盖章的设备终验验收报告原件解付。 2、国产设备：货到西安工业大学指定地点经验收合格后，采购人15日内支付成交金额的100%。3、预付款保证金。进口设备成交，预付款保证金进入三方共管专用资金账户（按釆购人要求） 。国产设备成交后5个工作日内，成交供应商须缴纳货款全额预付款保证金到釆购人账户；合同签订后5个工作日内采购人支付合同全额预付款。合同验收合格后15个工作日内采购人从全额预付款保证金支付合同货款。成交供应商不能按照预付款保证金方式开展的，采购人有权根据财政资金收回需要选择顺延推荐次位供应商成交。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 4、若成交供应商未在5个工作日缴纳货款全额预付款保证金，采购人有权根据财政资金收回需要选择顺延推荐次位供应商成交。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开标记录表.docx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交货安装期是否按招标文件要求的各项节点响应</w:t>
            </w:r>
          </w:p>
        </w:tc>
        <w:tc>
          <w:tcPr>
            <w:tcW w:type="dxa" w:w="1661"/>
          </w:tcPr>
          <w:p>
            <w:pPr>
              <w:pStyle w:val="null3"/>
            </w:pPr>
            <w:r>
              <w:rPr>
                <w:rFonts w:ascii="仿宋_GB2312" w:hAnsi="仿宋_GB2312" w:cs="仿宋_GB2312" w:eastAsia="仿宋_GB2312"/>
              </w:rPr>
              <w:t>商务要求偏离表.docx 开标记录表.docx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质保期是否按照招标文件的相关要求响应</w:t>
            </w:r>
          </w:p>
        </w:tc>
        <w:tc>
          <w:tcPr>
            <w:tcW w:type="dxa" w:w="1661"/>
          </w:tcPr>
          <w:p>
            <w:pPr>
              <w:pStyle w:val="null3"/>
            </w:pPr>
            <w:r>
              <w:rPr>
                <w:rFonts w:ascii="仿宋_GB2312" w:hAnsi="仿宋_GB2312" w:cs="仿宋_GB2312" w:eastAsia="仿宋_GB2312"/>
              </w:rPr>
              <w:t>开标记录表.docx 商务要求偏离表.docx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付款方式是否响应招标文件的要求</w:t>
            </w:r>
          </w:p>
        </w:tc>
        <w:tc>
          <w:tcPr>
            <w:tcW w:type="dxa" w:w="1661"/>
          </w:tcPr>
          <w:p>
            <w:pPr>
              <w:pStyle w:val="null3"/>
            </w:pPr>
            <w:r>
              <w:rPr>
                <w:rFonts w:ascii="仿宋_GB2312" w:hAnsi="仿宋_GB2312" w:cs="仿宋_GB2312" w:eastAsia="仿宋_GB2312"/>
              </w:rPr>
              <w:t>开标记录表.docx 商务要求偏离表.docx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投标保证金是否按要求缴纳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开标记录表.docx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25.5分。结合规格、技术参数偏离表的响应证明材料，按招标文件内配置最低要求，带“▲”号指标项每出现1个负偏离扣2分，非“▲”号指标项每出现1个负偏离，扣0.5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供应商认为有必要说明的其他资料.docx</w:t>
            </w:r>
          </w:p>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根据项目实际需求，提供质量保证方案。内容包含:①产品性能②使用寿命及效果③质量保证措施。 二、评审标准 1、完整性:方案须全面，对评审内容中的各项要求描述详细；2、可实施性:切合本项目实际情况，实施步骤清晰、合理；3、针对性:方案能够紧扣项目实际情况，内容科学合理。 三、赋分依据 ①产品性能:每完全满足一个评审标准得1分，基本满足一个评审标准得0.5分，满分3分，不满足或未提供不得分;②使用寿命及效果：每完全满足一个评审标准得1分，基本满足一个评审标准得0.5分，满分3分，不满足或未提供不得分;③质量保证措施:每完全满足一个评审标准得1分，基本满足一个评审标准得0.5分，满分3分，不满足或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投标人需针对本项目提供完整的项目实施方案。内容包含:①整体进度计划；②实施计划、安装调试、验收方案；③运行环境实施方案；④人员保障方案。 二、评审标准 1、完整性:方案须全面，对评审内容中的各项要求描述详细；2、可实施性:切合本项目实际情况，实施步骤清晰、合理；3、针对性:方案能够紧扣项目实际情况，内容科学合理。 三、赋分依据 ①整体进度计划:每完全满足一个评审标准得1.5分，基本满足一个评审标准得0.5分，满分4.5分，不满足或未提供不得分；②实施计划安装调试方案:每完全满足一个评审标准得1分，基本满足-个评审标准得0.5分，满分3分，不满足或未提供不得分;③运行环境实施方案:每完全满足一个评审标准得2分，基本满足-个评审标准得1分，满分6分，不满足或未提供不得分;④人员保障方案:每完全满足一个评审标准得1分，基本满足一个评审标准得0.5分，满分3分，不满足或未提供不得分。</w:t>
            </w:r>
          </w:p>
        </w:tc>
        <w:tc>
          <w:tcPr>
            <w:tcW w:type="dxa" w:w="831"/>
          </w:tcPr>
          <w:p>
            <w:pPr>
              <w:pStyle w:val="null3"/>
              <w:jc w:val="right"/>
            </w:pPr>
            <w:r>
              <w:rPr>
                <w:rFonts w:ascii="仿宋_GB2312" w:hAnsi="仿宋_GB2312" w:cs="仿宋_GB2312" w:eastAsia="仿宋_GB2312"/>
              </w:rPr>
              <w:t>16.5000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投标人提供的人员培训时间、培训内容、预期达到的效果；②提供培训的机会和次数；③培训讲师。 二、评审标准 1.完整性:方案须全面，对评审内容中的各项要求描述详细；2、可实施性:切合本项目实际情况，实施步骤清晰、合理；3、针对性:方案能够紧扣项目实际情况，内容科学合理。 三、赋分标准 ①投标人提供的人员培训时间、培训内容、预期达到的效果:每完全满足一个评审标准得0.5分，基本满足一个评审标准得0.3分，满分1.5分，不满足或未提供不得分;②提供培训的机会和次数:每完全满足一个评审标准得0.5分，基本满足一个评审标准得0.3分，满分1.5分，不满足或未提供不得分。③培训讲师:每完全满足一个评审标准得0.5分，基本满足一个评审标准得0.3分，满分1.5分，不满足或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根据项目实际需求提供售后服务方案。内容包含:①售后服务人员配备②售后服务响应时间及方式③售后应急措施，备件供应准备及质量④质保期后的维修方案。 评审标准 1、完整性:方案须全面，对评审内容中的各项要求描述详细2、可实施性:切合本项目实际情况，实施步骤清晰、合理；3、针对性:方案能够紧扣项目实际情况，内容科学合理。 三、赋分依据 ①售后服务人员配备:每完全满足一个评审标准得1分，基本满足一个评审标准得0.5分，满分3分，不满足或未提供不得分;②售后服务响应时间及方式:每完全满足一个评审标准得1分，基本满足一个评审标准得0.5分，满分3分，不满足或未提供不得分；③售后应急措施，备件供应准备及质量:每完全满足一个评审标准得1分，基本满足一个评审标准得0.5分，满分3分，不满足或未提供不得分；④质保期后的维修方案:每完全满足一个评审标准得1分，基本满足个评审标准得0.5分，满分3分，不满足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供应商投标产品中每有一项为节能产品或环境标志产品经国家认证的得0.5分。（以经国家确定的认证机构出具的、处于有效期内的节能产品、环境标志产品认证证书为准。）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提供所投产品业绩，提供合同复印件（扫描件）加盖供应商公章，每份有效业绩计0.5分，合计最高2分。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详见附件：开标记录表.docx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详见附件：供应商认为有必要说明的其他资料.docx</w:t>
      </w:r>
    </w:p>
    <w:p>
      <w:pPr>
        <w:pStyle w:val="null3"/>
        <w:ind w:firstLine="960"/>
      </w:pPr>
      <w:r>
        <w:rPr>
          <w:rFonts w:ascii="仿宋_GB2312" w:hAnsi="仿宋_GB2312" w:cs="仿宋_GB2312" w:eastAsia="仿宋_GB2312"/>
        </w:rPr>
        <w:t>详见附件：节能环保.docx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详见附件：合同模板7.8.docx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