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版本号：SNJZ-2025-14120250814001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陕西省广播电视监测监管平台维护项目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SNJZ-2025-141</w:t>
      </w:r>
      <w:r>
        <w:br/>
      </w:r>
      <w:r>
        <w:br/>
      </w:r>
      <w:r>
        <w:br/>
      </w:r>
    </w:p>
    <w:p>
      <w:pPr>
        <w:pStyle w:val="null3"/>
        <w:jc w:val="center"/>
        <w:outlineLvl w:val="2"/>
      </w:pPr>
      <w:r>
        <w:rPr>
          <w:rFonts w:ascii="仿宋_GB2312" w:hAnsi="仿宋_GB2312" w:cs="仿宋_GB2312" w:eastAsia="仿宋_GB2312"/>
          <w:sz w:val="28"/>
          <w:b/>
        </w:rPr>
        <w:t>陕西省广播电视监测中心</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陕西省广播电视监测中心</w:t>
      </w:r>
      <w:r>
        <w:rPr>
          <w:rFonts w:ascii="仿宋_GB2312" w:hAnsi="仿宋_GB2312" w:cs="仿宋_GB2312" w:eastAsia="仿宋_GB2312"/>
        </w:rPr>
        <w:t>委托，拟对</w:t>
      </w:r>
      <w:r>
        <w:rPr>
          <w:rFonts w:ascii="仿宋_GB2312" w:hAnsi="仿宋_GB2312" w:cs="仿宋_GB2312" w:eastAsia="仿宋_GB2312"/>
        </w:rPr>
        <w:t>陕西省广播电视监测监管平台维护项目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SNJZ-2025-141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陕西省广播电视监测监管平台维护项目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陕西省广播电视监测监管平台维护服务，具体详见采购文件。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4、税收缴纳证明：提供磋商响应文件提交截止时间前一年内至少一个月已缴纳的纳税凭据或完税证明，依法免税的供应商应提供相关文件证明。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陕西省广播电视监测中心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陕西省西安市长安南路336号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029-85496198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马子啸、崔斌、王力、程钰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说明：1、本项目要求交纳履约保证金，形式为银行出具的保函。合同签订后5个工作日内，成交供应商提供给采购人履约保函。 2、成交供应商完成各项服务工作且通过验收，服务期满，采购人确认无争议后，无息返还成交供应商的履约保函。</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下浮10%，向陕西教育招标有限责任公司交纳招标代理服务费，招标代理服务费采用现金、电汇或银行转账方式交纳，不得采用磋商保证金抵扣。 服务费交纳账户： 开户行：中国光大银行陕西自贸试验区西安唐延路支行 开户名称：陕西教育招标有限责任公司 开户账号：78580188000058925 银行行号：303791000136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陕西省广播电视监测中心</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陕西省广播电视监测中心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陕西省广播电视监测中心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服务期满，项目整体内容完成，由第三方组织验收。验收依据：磋商文件、磋商响应文件、合同文本、国内相应的标准、规范。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陕西省广播电视监测监管平台维护服务，具体详见采购文件。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rPr>
              <w:t>一、项目概述</w:t>
            </w:r>
          </w:p>
          <w:p>
            <w:pPr>
              <w:pStyle w:val="null3"/>
              <w:ind w:firstLine="420"/>
              <w:jc w:val="both"/>
            </w:pPr>
            <w:r>
              <w:rPr>
                <w:rFonts w:ascii="仿宋_GB2312" w:hAnsi="仿宋_GB2312" w:cs="仿宋_GB2312" w:eastAsia="仿宋_GB2312"/>
                <w:sz w:val="21"/>
              </w:rPr>
              <w:t>本项目旨在保障陕西省广播电视监测监管平台的稳定运行以及网络信息传输的安全高效。通过提供专业的运维服务，充分发挥平台的技术支撑作用，推动陕西省广播电视事业稳健、持续发展。</w:t>
            </w:r>
          </w:p>
          <w:p>
            <w:pPr>
              <w:pStyle w:val="null3"/>
              <w:ind w:firstLine="420"/>
              <w:jc w:val="both"/>
            </w:pPr>
            <w:r>
              <w:rPr>
                <w:rFonts w:ascii="仿宋_GB2312" w:hAnsi="仿宋_GB2312" w:cs="仿宋_GB2312" w:eastAsia="仿宋_GB2312"/>
                <w:sz w:val="21"/>
              </w:rPr>
              <w:t>为实现上述目标，需租用高标准机房与网络专线，为平台构建稳定可靠的硬件基础设施。同时，开展现场运维工作，涵盖设备巡检、维护保养及故障处理等多个环节，确保平台设备稳定运行、网络信息流畅传输，始终处于最佳运行状态。</w:t>
            </w:r>
          </w:p>
          <w:p>
            <w:pPr>
              <w:pStyle w:val="null3"/>
              <w:ind w:firstLine="422"/>
              <w:jc w:val="both"/>
            </w:pPr>
            <w:r>
              <w:rPr>
                <w:rFonts w:ascii="仿宋_GB2312" w:hAnsi="仿宋_GB2312" w:cs="仿宋_GB2312" w:eastAsia="仿宋_GB2312"/>
                <w:sz w:val="21"/>
                <w:b/>
              </w:rPr>
              <w:t>二、设备安装与实施地点</w:t>
            </w:r>
          </w:p>
          <w:p>
            <w:pPr>
              <w:pStyle w:val="null3"/>
              <w:ind w:firstLine="420"/>
              <w:jc w:val="both"/>
            </w:pPr>
            <w:r>
              <w:rPr>
                <w:rFonts w:ascii="仿宋_GB2312" w:hAnsi="仿宋_GB2312" w:cs="仿宋_GB2312" w:eastAsia="仿宋_GB2312"/>
                <w:sz w:val="21"/>
              </w:rPr>
              <w:t>设备安装与实施地点位于陕西省广播电视监测中心（以下简称监测中心）指定地点，覆盖全省市、县（区）的监测前端站点，共计</w:t>
            </w:r>
            <w:r>
              <w:rPr>
                <w:rFonts w:ascii="仿宋_GB2312" w:hAnsi="仿宋_GB2312" w:cs="仿宋_GB2312" w:eastAsia="仿宋_GB2312"/>
                <w:sz w:val="21"/>
              </w:rPr>
              <w:t>103个。</w:t>
            </w:r>
          </w:p>
          <w:p>
            <w:pPr>
              <w:pStyle w:val="null3"/>
              <w:ind w:firstLine="422"/>
              <w:jc w:val="both"/>
            </w:pPr>
            <w:r>
              <w:rPr>
                <w:rFonts w:ascii="仿宋_GB2312" w:hAnsi="仿宋_GB2312" w:cs="仿宋_GB2312" w:eastAsia="仿宋_GB2312"/>
                <w:sz w:val="21"/>
                <w:b/>
              </w:rPr>
              <w:t>三、服务期限</w:t>
            </w:r>
          </w:p>
          <w:p>
            <w:pPr>
              <w:pStyle w:val="null3"/>
              <w:ind w:firstLine="420"/>
              <w:jc w:val="both"/>
            </w:pPr>
            <w:r>
              <w:rPr>
                <w:rFonts w:ascii="仿宋_GB2312" w:hAnsi="仿宋_GB2312" w:cs="仿宋_GB2312" w:eastAsia="仿宋_GB2312"/>
                <w:sz w:val="21"/>
              </w:rPr>
              <w:t>运维服务期：</w:t>
            </w:r>
            <w:r>
              <w:rPr>
                <w:rFonts w:ascii="仿宋_GB2312" w:hAnsi="仿宋_GB2312" w:cs="仿宋_GB2312" w:eastAsia="仿宋_GB2312"/>
                <w:sz w:val="21"/>
              </w:rPr>
              <w:t>1年。</w:t>
            </w:r>
          </w:p>
          <w:p>
            <w:pPr>
              <w:pStyle w:val="null3"/>
              <w:ind w:firstLine="422"/>
              <w:jc w:val="both"/>
            </w:pPr>
            <w:r>
              <w:rPr>
                <w:rFonts w:ascii="仿宋_GB2312" w:hAnsi="仿宋_GB2312" w:cs="仿宋_GB2312" w:eastAsia="仿宋_GB2312"/>
                <w:sz w:val="21"/>
                <w:b/>
              </w:rPr>
              <w:t>四、技术参数及要求</w:t>
            </w:r>
          </w:p>
          <w:p>
            <w:pPr>
              <w:pStyle w:val="null3"/>
              <w:ind w:firstLine="422"/>
              <w:jc w:val="both"/>
            </w:pPr>
            <w:r>
              <w:rPr>
                <w:rFonts w:ascii="仿宋_GB2312" w:hAnsi="仿宋_GB2312" w:cs="仿宋_GB2312" w:eastAsia="仿宋_GB2312"/>
                <w:sz w:val="21"/>
                <w:b/>
              </w:rPr>
              <w:t>4.1 总体技术要求</w:t>
            </w:r>
          </w:p>
          <w:p>
            <w:pPr>
              <w:pStyle w:val="null3"/>
              <w:ind w:firstLine="420"/>
              <w:jc w:val="both"/>
            </w:pPr>
            <w:r>
              <w:rPr>
                <w:rFonts w:ascii="仿宋_GB2312" w:hAnsi="仿宋_GB2312" w:cs="仿宋_GB2312" w:eastAsia="仿宋_GB2312"/>
                <w:sz w:val="21"/>
              </w:rPr>
              <w:t>为保障全省</w:t>
            </w:r>
            <w:r>
              <w:rPr>
                <w:rFonts w:ascii="仿宋_GB2312" w:hAnsi="仿宋_GB2312" w:cs="仿宋_GB2312" w:eastAsia="仿宋_GB2312"/>
                <w:sz w:val="21"/>
              </w:rPr>
              <w:t>103个前端监测站点的稳定运行，服务提供商需提供全面的设备安装、数据传输、日常维护及巡检等服务。确保设备7×24小时不间断运行，实现广播电视监测信号稳定传输，保障数据采集、存储、回传等业务顺畅开展。</w:t>
            </w:r>
          </w:p>
          <w:p>
            <w:pPr>
              <w:pStyle w:val="null3"/>
              <w:ind w:firstLine="422"/>
              <w:jc w:val="both"/>
            </w:pPr>
            <w:r>
              <w:rPr>
                <w:rFonts w:ascii="仿宋_GB2312" w:hAnsi="仿宋_GB2312" w:cs="仿宋_GB2312" w:eastAsia="仿宋_GB2312"/>
                <w:sz w:val="21"/>
                <w:b/>
              </w:rPr>
              <w:t>4.2 具体技术要求</w:t>
            </w:r>
          </w:p>
          <w:p>
            <w:pPr>
              <w:pStyle w:val="null3"/>
              <w:ind w:firstLine="422"/>
              <w:jc w:val="both"/>
            </w:pPr>
            <w:r>
              <w:rPr>
                <w:rFonts w:ascii="仿宋_GB2312" w:hAnsi="仿宋_GB2312" w:cs="仿宋_GB2312" w:eastAsia="仿宋_GB2312"/>
                <w:sz w:val="21"/>
                <w:b/>
              </w:rPr>
              <w:t>4.2.1 设备安装与环境要求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）安装场地提供：</w:t>
            </w:r>
            <w:r>
              <w:rPr>
                <w:rFonts w:ascii="仿宋_GB2312" w:hAnsi="仿宋_GB2312" w:cs="仿宋_GB2312" w:eastAsia="仿宋_GB2312"/>
                <w:sz w:val="21"/>
              </w:rPr>
              <w:t>确保每个监测站点均有足够的安装空间，包括天线基础及线缆连接等配套设施。</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）温湿度控制：</w:t>
            </w:r>
            <w:r>
              <w:rPr>
                <w:rFonts w:ascii="仿宋_GB2312" w:hAnsi="仿宋_GB2312" w:cs="仿宋_GB2312" w:eastAsia="仿宋_GB2312"/>
                <w:sz w:val="21"/>
              </w:rPr>
              <w:t>机房需配备恒温恒湿空调系统，确保设备运行环境稳定。定期监测并调整系统参数，以适应设备运行环境需求。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）防尘措施：</w:t>
            </w:r>
            <w:r>
              <w:rPr>
                <w:rFonts w:ascii="仿宋_GB2312" w:hAnsi="仿宋_GB2312" w:cs="仿宋_GB2312" w:eastAsia="仿宋_GB2312"/>
                <w:sz w:val="21"/>
              </w:rPr>
              <w:t>采取有效防尘措施，如定期清洁、安装防尘罩等，确保设备免受灰尘侵害。</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）供电保障：</w:t>
            </w:r>
            <w:r>
              <w:rPr>
                <w:rFonts w:ascii="仿宋_GB2312" w:hAnsi="仿宋_GB2312" w:cs="仿宋_GB2312" w:eastAsia="仿宋_GB2312"/>
                <w:sz w:val="21"/>
              </w:rPr>
              <w:t>接入可靠的</w:t>
            </w:r>
            <w:r>
              <w:rPr>
                <w:rFonts w:ascii="仿宋_GB2312" w:hAnsi="仿宋_GB2312" w:cs="仿宋_GB2312" w:eastAsia="仿宋_GB2312"/>
                <w:sz w:val="21"/>
              </w:rPr>
              <w:t>UPS</w:t>
            </w:r>
            <w:r>
              <w:rPr>
                <w:rFonts w:ascii="仿宋_GB2312" w:hAnsi="仿宋_GB2312" w:cs="仿宋_GB2312" w:eastAsia="仿宋_GB2312"/>
                <w:sz w:val="21"/>
              </w:rPr>
              <w:t>供电系统，确保市电中断时设备仍能正常运行。定期检查</w:t>
            </w:r>
            <w:r>
              <w:rPr>
                <w:rFonts w:ascii="仿宋_GB2312" w:hAnsi="仿宋_GB2312" w:cs="仿宋_GB2312" w:eastAsia="仿宋_GB2312"/>
                <w:sz w:val="21"/>
              </w:rPr>
              <w:t>UPS</w:t>
            </w:r>
            <w:r>
              <w:rPr>
                <w:rFonts w:ascii="仿宋_GB2312" w:hAnsi="仿宋_GB2312" w:cs="仿宋_GB2312" w:eastAsia="仿宋_GB2312"/>
                <w:sz w:val="21"/>
              </w:rPr>
              <w:t>设备状态，确保电源供应稳定。</w:t>
            </w:r>
          </w:p>
          <w:p>
            <w:pPr>
              <w:pStyle w:val="null3"/>
              <w:ind w:firstLine="422"/>
              <w:jc w:val="both"/>
            </w:pPr>
            <w:r>
              <w:rPr>
                <w:rFonts w:ascii="仿宋_GB2312" w:hAnsi="仿宋_GB2312" w:cs="仿宋_GB2312" w:eastAsia="仿宋_GB2312"/>
                <w:sz w:val="21"/>
                <w:b/>
              </w:rPr>
              <w:t xml:space="preserve">4.2.2 </w:t>
            </w:r>
            <w:r>
              <w:rPr>
                <w:rFonts w:ascii="仿宋_GB2312" w:hAnsi="仿宋_GB2312" w:cs="仿宋_GB2312" w:eastAsia="仿宋_GB2312"/>
                <w:sz w:val="21"/>
                <w:b/>
              </w:rPr>
              <w:t>数据传输链路</w:t>
            </w:r>
            <w:r>
              <w:rPr>
                <w:rFonts w:ascii="仿宋_GB2312" w:hAnsi="仿宋_GB2312" w:cs="仿宋_GB2312" w:eastAsia="仿宋_GB2312"/>
                <w:sz w:val="21"/>
                <w:b/>
              </w:rPr>
              <w:t>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）网络架构与带宽：</w:t>
            </w:r>
            <w:r>
              <w:rPr>
                <w:rFonts w:ascii="仿宋_GB2312" w:hAnsi="仿宋_GB2312" w:cs="仿宋_GB2312" w:eastAsia="仿宋_GB2312"/>
                <w:sz w:val="21"/>
              </w:rPr>
              <w:t>采用省</w:t>
            </w:r>
            <w:r>
              <w:rPr>
                <w:rFonts w:ascii="仿宋_GB2312" w:hAnsi="仿宋_GB2312" w:cs="仿宋_GB2312" w:eastAsia="仿宋_GB2312"/>
                <w:sz w:val="21"/>
              </w:rPr>
              <w:t>-</w:t>
            </w:r>
            <w:r>
              <w:rPr>
                <w:rFonts w:ascii="仿宋_GB2312" w:hAnsi="仿宋_GB2312" w:cs="仿宋_GB2312" w:eastAsia="仿宋_GB2312"/>
                <w:sz w:val="21"/>
              </w:rPr>
              <w:t>市</w:t>
            </w:r>
            <w:r>
              <w:rPr>
                <w:rFonts w:ascii="仿宋_GB2312" w:hAnsi="仿宋_GB2312" w:cs="仿宋_GB2312" w:eastAsia="仿宋_GB2312"/>
                <w:sz w:val="21"/>
              </w:rPr>
              <w:t>-</w:t>
            </w:r>
            <w:r>
              <w:rPr>
                <w:rFonts w:ascii="仿宋_GB2312" w:hAnsi="仿宋_GB2312" w:cs="仿宋_GB2312" w:eastAsia="仿宋_GB2312"/>
                <w:sz w:val="21"/>
              </w:rPr>
              <w:t>县三级架构，使用</w:t>
            </w:r>
            <w:r>
              <w:rPr>
                <w:rFonts w:ascii="仿宋_GB2312" w:hAnsi="仿宋_GB2312" w:cs="仿宋_GB2312" w:eastAsia="仿宋_GB2312"/>
                <w:sz w:val="21"/>
              </w:rPr>
              <w:t>MPLS-VPN</w:t>
            </w:r>
            <w:r>
              <w:rPr>
                <w:rFonts w:ascii="仿宋_GB2312" w:hAnsi="仿宋_GB2312" w:cs="仿宋_GB2312" w:eastAsia="仿宋_GB2312"/>
                <w:sz w:val="21"/>
              </w:rPr>
              <w:t>专网进行数据传输，网络带宽不低于</w:t>
            </w:r>
            <w:r>
              <w:rPr>
                <w:rFonts w:ascii="仿宋_GB2312" w:hAnsi="仿宋_GB2312" w:cs="仿宋_GB2312" w:eastAsia="仿宋_GB2312"/>
                <w:sz w:val="21"/>
              </w:rPr>
              <w:t>200Mbps</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）网络规划与资源分配：</w:t>
            </w:r>
            <w:r>
              <w:rPr>
                <w:rFonts w:ascii="仿宋_GB2312" w:hAnsi="仿宋_GB2312" w:cs="仿宋_GB2312" w:eastAsia="仿宋_GB2312"/>
                <w:sz w:val="21"/>
              </w:rPr>
              <w:t>合理规划数据传输链路资源，确保数据传输的畅通和稳定性。</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IP</w:t>
            </w:r>
            <w:r>
              <w:rPr>
                <w:rFonts w:ascii="仿宋_GB2312" w:hAnsi="仿宋_GB2312" w:cs="仿宋_GB2312" w:eastAsia="仿宋_GB2312"/>
                <w:sz w:val="21"/>
                <w:b/>
              </w:rPr>
              <w:t>地址与通信支持：</w:t>
            </w:r>
            <w:r>
              <w:rPr>
                <w:rFonts w:ascii="仿宋_GB2312" w:hAnsi="仿宋_GB2312" w:cs="仿宋_GB2312" w:eastAsia="仿宋_GB2312"/>
                <w:sz w:val="21"/>
              </w:rPr>
              <w:t>按照监测中心要求划分</w:t>
            </w:r>
            <w:r>
              <w:rPr>
                <w:rFonts w:ascii="仿宋_GB2312" w:hAnsi="仿宋_GB2312" w:cs="仿宋_GB2312" w:eastAsia="仿宋_GB2312"/>
                <w:sz w:val="21"/>
              </w:rPr>
              <w:t>IP</w:t>
            </w:r>
            <w:r>
              <w:rPr>
                <w:rFonts w:ascii="仿宋_GB2312" w:hAnsi="仿宋_GB2312" w:cs="仿宋_GB2312" w:eastAsia="仿宋_GB2312"/>
                <w:sz w:val="21"/>
              </w:rPr>
              <w:t>地址，并提供相应的网络接口和通信技术支持。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）网络安全与保密：</w:t>
            </w:r>
            <w:r>
              <w:rPr>
                <w:rFonts w:ascii="仿宋_GB2312" w:hAnsi="仿宋_GB2312" w:cs="仿宋_GB2312" w:eastAsia="仿宋_GB2312"/>
                <w:sz w:val="21"/>
              </w:rPr>
              <w:t>确保数据链路符合国家相关规定，遵守网络安全和保密要求，保障数据的安全性和可用性。</w:t>
            </w:r>
          </w:p>
          <w:p>
            <w:pPr>
              <w:pStyle w:val="null3"/>
              <w:ind w:firstLine="422"/>
              <w:jc w:val="both"/>
            </w:pPr>
            <w:r>
              <w:rPr>
                <w:rFonts w:ascii="仿宋_GB2312" w:hAnsi="仿宋_GB2312" w:cs="仿宋_GB2312" w:eastAsia="仿宋_GB2312"/>
                <w:sz w:val="21"/>
                <w:b/>
              </w:rPr>
              <w:t>4.2.3 信号接入要求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）信号源保障：</w:t>
            </w:r>
            <w:r>
              <w:rPr>
                <w:rFonts w:ascii="仿宋_GB2312" w:hAnsi="仿宋_GB2312" w:cs="仿宋_GB2312" w:eastAsia="仿宋_GB2312"/>
                <w:sz w:val="21"/>
              </w:rPr>
              <w:t>提供满足监测需求的有线数字电视信号源，确保全频段全信号覆盖。</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CA</w:t>
            </w:r>
            <w:r>
              <w:rPr>
                <w:rFonts w:ascii="仿宋_GB2312" w:hAnsi="仿宋_GB2312" w:cs="仿宋_GB2312" w:eastAsia="仿宋_GB2312"/>
                <w:sz w:val="21"/>
                <w:b/>
              </w:rPr>
              <w:t>卡授权：</w:t>
            </w:r>
            <w:r>
              <w:rPr>
                <w:rFonts w:ascii="仿宋_GB2312" w:hAnsi="仿宋_GB2312" w:cs="仿宋_GB2312" w:eastAsia="仿宋_GB2312"/>
                <w:sz w:val="21"/>
              </w:rPr>
              <w:t>确保</w:t>
            </w:r>
            <w:r>
              <w:rPr>
                <w:rFonts w:ascii="仿宋_GB2312" w:hAnsi="仿宋_GB2312" w:cs="仿宋_GB2312" w:eastAsia="仿宋_GB2312"/>
                <w:sz w:val="21"/>
              </w:rPr>
              <w:t>CA</w:t>
            </w:r>
            <w:r>
              <w:rPr>
                <w:rFonts w:ascii="仿宋_GB2312" w:hAnsi="仿宋_GB2312" w:cs="仿宋_GB2312" w:eastAsia="仿宋_GB2312"/>
                <w:sz w:val="21"/>
              </w:rPr>
              <w:t>卡授权及时有效，提供快速响应机制处理</w:t>
            </w:r>
            <w:r>
              <w:rPr>
                <w:rFonts w:ascii="仿宋_GB2312" w:hAnsi="仿宋_GB2312" w:cs="仿宋_GB2312" w:eastAsia="仿宋_GB2312"/>
                <w:sz w:val="21"/>
              </w:rPr>
              <w:t>CA</w:t>
            </w:r>
            <w:r>
              <w:rPr>
                <w:rFonts w:ascii="仿宋_GB2312" w:hAnsi="仿宋_GB2312" w:cs="仿宋_GB2312" w:eastAsia="仿宋_GB2312"/>
                <w:sz w:val="21"/>
              </w:rPr>
              <w:t>卡相关问题。</w:t>
            </w:r>
          </w:p>
          <w:p>
            <w:pPr>
              <w:pStyle w:val="null3"/>
              <w:ind w:firstLine="422"/>
              <w:jc w:val="both"/>
            </w:pPr>
            <w:r>
              <w:rPr>
                <w:rFonts w:ascii="仿宋_GB2312" w:hAnsi="仿宋_GB2312" w:cs="仿宋_GB2312" w:eastAsia="仿宋_GB2312"/>
                <w:sz w:val="21"/>
                <w:b/>
              </w:rPr>
              <w:t>4.2.4 团队人员保障</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）负责人指定：</w:t>
            </w:r>
            <w:r>
              <w:rPr>
                <w:rFonts w:ascii="仿宋_GB2312" w:hAnsi="仿宋_GB2312" w:cs="仿宋_GB2312" w:eastAsia="仿宋_GB2312"/>
                <w:sz w:val="21"/>
              </w:rPr>
              <w:t>指定全省站点维护的总负责人及各监测站点、数据传输链路、</w:t>
            </w:r>
            <w:r>
              <w:rPr>
                <w:rFonts w:ascii="仿宋_GB2312" w:hAnsi="仿宋_GB2312" w:cs="仿宋_GB2312" w:eastAsia="仿宋_GB2312"/>
                <w:sz w:val="21"/>
              </w:rPr>
              <w:t>CA</w:t>
            </w:r>
            <w:r>
              <w:rPr>
                <w:rFonts w:ascii="仿宋_GB2312" w:hAnsi="仿宋_GB2312" w:cs="仿宋_GB2312" w:eastAsia="仿宋_GB2312"/>
                <w:sz w:val="21"/>
              </w:rPr>
              <w:t>卡授权的负责人，并及时提供负责人联系信息。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）人员变动通知：</w:t>
            </w:r>
            <w:r>
              <w:rPr>
                <w:rFonts w:ascii="仿宋_GB2312" w:hAnsi="仿宋_GB2312" w:cs="仿宋_GB2312" w:eastAsia="仿宋_GB2312"/>
                <w:sz w:val="21"/>
              </w:rPr>
              <w:t>确保相关责任人变动时及时通知监测中心，确保工作的连续性和稳定性。</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）培训与支持：</w:t>
            </w:r>
            <w:r>
              <w:rPr>
                <w:rFonts w:ascii="仿宋_GB2312" w:hAnsi="仿宋_GB2312" w:cs="仿宋_GB2312" w:eastAsia="仿宋_GB2312"/>
                <w:sz w:val="21"/>
              </w:rPr>
              <w:t>定期对本单位维护人员进行技术培训，提升其对设备的熟悉程度和故障处理能力。</w:t>
            </w:r>
          </w:p>
          <w:p>
            <w:pPr>
              <w:pStyle w:val="null3"/>
              <w:ind w:firstLine="632"/>
              <w:jc w:val="both"/>
            </w:pPr>
            <w:r>
              <w:rPr>
                <w:rFonts w:ascii="仿宋_GB2312" w:hAnsi="仿宋_GB2312" w:cs="仿宋_GB2312" w:eastAsia="仿宋_GB2312"/>
                <w:sz w:val="21"/>
                <w:b/>
              </w:rPr>
              <w:t>4.2.5 设备日常维护</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）日常运维：</w:t>
            </w:r>
            <w:r>
              <w:rPr>
                <w:rFonts w:ascii="仿宋_GB2312" w:hAnsi="仿宋_GB2312" w:cs="仿宋_GB2312" w:eastAsia="仿宋_GB2312"/>
                <w:sz w:val="21"/>
              </w:rPr>
              <w:t>各监测站点负责人负责日常运维工作，确保设备、天线完好和监测网络正常运行；积极配合监测中心进行设备基本维护，包括服务器登录、设备重启、监测板卡热插拔、</w:t>
            </w:r>
            <w:r>
              <w:rPr>
                <w:rFonts w:ascii="仿宋_GB2312" w:hAnsi="仿宋_GB2312" w:cs="仿宋_GB2312" w:eastAsia="仿宋_GB2312"/>
                <w:sz w:val="21"/>
              </w:rPr>
              <w:t>CA</w:t>
            </w:r>
            <w:r>
              <w:rPr>
                <w:rFonts w:ascii="仿宋_GB2312" w:hAnsi="仿宋_GB2312" w:cs="仿宋_GB2312" w:eastAsia="仿宋_GB2312"/>
                <w:sz w:val="21"/>
              </w:rPr>
              <w:t>卡授权、设备除尘和网络故障排查等操作。</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）设备运行状态检查：</w:t>
            </w:r>
            <w:r>
              <w:rPr>
                <w:rFonts w:ascii="仿宋_GB2312" w:hAnsi="仿宋_GB2312" w:cs="仿宋_GB2312" w:eastAsia="仿宋_GB2312"/>
                <w:sz w:val="21"/>
              </w:rPr>
              <w:t>定期检查服务器、</w:t>
            </w:r>
            <w:r>
              <w:rPr>
                <w:rFonts w:ascii="仿宋_GB2312" w:hAnsi="仿宋_GB2312" w:cs="仿宋_GB2312" w:eastAsia="仿宋_GB2312"/>
                <w:sz w:val="21"/>
              </w:rPr>
              <w:t>CPCI</w:t>
            </w:r>
            <w:r>
              <w:rPr>
                <w:rFonts w:ascii="仿宋_GB2312" w:hAnsi="仿宋_GB2312" w:cs="仿宋_GB2312" w:eastAsia="仿宋_GB2312"/>
                <w:sz w:val="21"/>
              </w:rPr>
              <w:t>机箱、网络设备、存储设备等设备的运行状态，确保设备性能稳定。</w:t>
            </w:r>
          </w:p>
          <w:p>
            <w:pPr>
              <w:pStyle w:val="null3"/>
              <w:ind w:firstLine="632"/>
              <w:jc w:val="both"/>
            </w:pPr>
            <w:r>
              <w:rPr>
                <w:rFonts w:ascii="仿宋_GB2312" w:hAnsi="仿宋_GB2312" w:cs="仿宋_GB2312" w:eastAsia="仿宋_GB2312"/>
                <w:sz w:val="21"/>
                <w:b/>
              </w:rPr>
              <w:t>4.2.6 故障处理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）接到监测中心网络故障报告后，应立即启动应急响应机制，在规定时限内完成网络恢复工作（不可抗力因素除外）。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）监测中心设备出现故障时，应迅速响应，积极配合执行断电重启等必要操作，并主动提供详尽的设备故障信息，协助监测中心快速定位问题。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）设备故障需现场维护时，协调监测中心人员进出机房事宜，确保双方人员顺利配合。派遣专业人员现场配合监测中心工作，共同解决设备故障问题，确保平台尽快恢复正常运行。</w:t>
            </w:r>
          </w:p>
          <w:p>
            <w:pPr>
              <w:pStyle w:val="null3"/>
              <w:ind w:firstLine="632"/>
              <w:jc w:val="both"/>
            </w:pPr>
            <w:r>
              <w:rPr>
                <w:rFonts w:ascii="仿宋_GB2312" w:hAnsi="仿宋_GB2312" w:cs="仿宋_GB2312" w:eastAsia="仿宋_GB2312"/>
                <w:sz w:val="21"/>
                <w:b/>
              </w:rPr>
              <w:t>4.2.7 应急处理</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）应急响应：</w:t>
            </w:r>
            <w:r>
              <w:rPr>
                <w:rFonts w:ascii="仿宋_GB2312" w:hAnsi="仿宋_GB2312" w:cs="仿宋_GB2312" w:eastAsia="仿宋_GB2312"/>
                <w:sz w:val="21"/>
              </w:rPr>
              <w:t>针对停电、链路中断、信号源故障等引起的信号中断问题，应积极协调处理，迅速恢复监测信号。</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）搬迁与施工协调：</w:t>
            </w:r>
            <w:r>
              <w:rPr>
                <w:rFonts w:ascii="仿宋_GB2312" w:hAnsi="仿宋_GB2312" w:cs="仿宋_GB2312" w:eastAsia="仿宋_GB2312"/>
                <w:sz w:val="21"/>
              </w:rPr>
              <w:t>机房搬迁、施工、网络割接、线路升速等可能影响租用线路正常使用的情况，应至少提前</w:t>
            </w:r>
            <w:r>
              <w:rPr>
                <w:rFonts w:ascii="仿宋_GB2312" w:hAnsi="仿宋_GB2312" w:cs="仿宋_GB2312" w:eastAsia="仿宋_GB2312"/>
                <w:sz w:val="21"/>
              </w:rPr>
              <w:t>72</w:t>
            </w:r>
            <w:r>
              <w:rPr>
                <w:rFonts w:ascii="仿宋_GB2312" w:hAnsi="仿宋_GB2312" w:cs="仿宋_GB2312" w:eastAsia="仿宋_GB2312"/>
                <w:sz w:val="21"/>
              </w:rPr>
              <w:t>小时通知监测中心，经同意后方可实施。同时，提前制定安全、合理的技术方案，采取完善的协调保障措施。负责监测中心设备的搬迁工作，提前做好室外天线架设、线缆重新铺设、数据链路开通等工作，并积极配合监测中心设备的安装及业务恢复工作。</w:t>
            </w:r>
          </w:p>
          <w:p>
            <w:pPr>
              <w:pStyle w:val="null3"/>
              <w:ind w:firstLine="422"/>
              <w:jc w:val="both"/>
            </w:pPr>
            <w:r>
              <w:rPr>
                <w:rFonts w:ascii="仿宋_GB2312" w:hAnsi="仿宋_GB2312" w:cs="仿宋_GB2312" w:eastAsia="仿宋_GB2312"/>
                <w:sz w:val="21"/>
                <w:b/>
              </w:rPr>
              <w:t>备注：</w:t>
            </w:r>
            <w:r>
              <w:rPr>
                <w:rFonts w:ascii="仿宋_GB2312" w:hAnsi="仿宋_GB2312" w:cs="仿宋_GB2312" w:eastAsia="仿宋_GB2312"/>
                <w:sz w:val="21"/>
              </w:rPr>
              <w:t>机房搬迁过程中，应严格按照实际环境对室外接收天线的防雷电措施进行设计和实施，包括但不限于安装避雷针、接地线以及采用防雷材料等，确保天线系统在恶劣天气条件下稳定运行，避免因雷电等自然因素导致设备损坏或信号中断。</w:t>
            </w:r>
          </w:p>
          <w:p>
            <w:pPr>
              <w:pStyle w:val="null3"/>
              <w:ind w:firstLine="422"/>
              <w:jc w:val="both"/>
            </w:pPr>
            <w:r>
              <w:rPr>
                <w:rFonts w:ascii="仿宋_GB2312" w:hAnsi="仿宋_GB2312" w:cs="仿宋_GB2312" w:eastAsia="仿宋_GB2312"/>
                <w:sz w:val="21"/>
                <w:b/>
              </w:rPr>
              <w:t>4.2.8设备巡检</w:t>
            </w:r>
          </w:p>
          <w:p>
            <w:pPr>
              <w:pStyle w:val="null3"/>
              <w:ind w:firstLine="420"/>
              <w:jc w:val="both"/>
            </w:pPr>
            <w:r>
              <w:rPr>
                <w:rFonts w:ascii="仿宋_GB2312" w:hAnsi="仿宋_GB2312" w:cs="仿宋_GB2312" w:eastAsia="仿宋_GB2312"/>
                <w:sz w:val="21"/>
              </w:rPr>
              <w:t>每季度，确保对所有</w:t>
            </w:r>
            <w:r>
              <w:rPr>
                <w:rFonts w:ascii="仿宋_GB2312" w:hAnsi="仿宋_GB2312" w:cs="仿宋_GB2312" w:eastAsia="仿宋_GB2312"/>
                <w:sz w:val="21"/>
              </w:rPr>
              <w:t>103</w:t>
            </w:r>
            <w:r>
              <w:rPr>
                <w:rFonts w:ascii="仿宋_GB2312" w:hAnsi="仿宋_GB2312" w:cs="仿宋_GB2312" w:eastAsia="仿宋_GB2312"/>
                <w:sz w:val="21"/>
              </w:rPr>
              <w:t>个站点进行一次全面的设备巡检及维护保养，具体技术需求如下：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）深度分析网络运行状态，通过实时监控网络流量、带宽利用率以及延迟情况，精准识别并评估潜在风险，确保网络传输的稳定性和安全性。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）针对设备表面及内部进行专业除尘处理，确保设备运行环境无尘、无垢，延长设备使用寿命，提高运行效率。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）对设备的运行状态进行全方位检查，包括但不限于电源、散热系统、硬件连接等关键部分，准确评估故障隐患，并采取及时有效的预处理措施，防止故障扩大，保障设备的持续稳定运行。</w:t>
            </w:r>
          </w:p>
          <w:p>
            <w:pPr>
              <w:pStyle w:val="null3"/>
              <w:ind w:firstLine="422"/>
              <w:jc w:val="both"/>
            </w:pPr>
            <w:r>
              <w:rPr>
                <w:rFonts w:ascii="仿宋_GB2312" w:hAnsi="仿宋_GB2312" w:cs="仿宋_GB2312" w:eastAsia="仿宋_GB2312"/>
                <w:sz w:val="21"/>
                <w:b/>
              </w:rPr>
              <w:t>4.2.9运维报告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）季度巡检报告：</w:t>
            </w:r>
            <w:r>
              <w:rPr>
                <w:rFonts w:ascii="仿宋_GB2312" w:hAnsi="仿宋_GB2312" w:cs="仿宋_GB2312" w:eastAsia="仿宋_GB2312"/>
                <w:sz w:val="21"/>
              </w:rPr>
              <w:t>每季度末，提交详尽的季度巡检报告，报告中将准确记录巡检过程中的各项发现、设备运行状态分析、潜在风险点识别以及已实施的维护保养措施等信息，以供监测中心全面了解设备状态及运维工作进展。</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）年度运维报告：</w:t>
            </w:r>
            <w:r>
              <w:rPr>
                <w:rFonts w:ascii="仿宋_GB2312" w:hAnsi="仿宋_GB2312" w:cs="仿宋_GB2312" w:eastAsia="仿宋_GB2312"/>
                <w:sz w:val="21"/>
              </w:rPr>
              <w:t>在服务期满前，提交全面的年度运维报告。报告中将对全年的运维工作进行全面梳理，总结运维成效、分析存在的问题，并提出针对性的改进建议和优化措施。</w:t>
            </w:r>
          </w:p>
          <w:p>
            <w:pPr>
              <w:pStyle w:val="null3"/>
              <w:ind w:firstLine="422"/>
            </w:pPr>
            <w:r>
              <w:rPr>
                <w:rFonts w:ascii="仿宋_GB2312" w:hAnsi="仿宋_GB2312" w:cs="仿宋_GB2312" w:eastAsia="仿宋_GB2312"/>
                <w:sz w:val="21"/>
                <w:b/>
              </w:rPr>
              <w:t>4.3</w:t>
            </w:r>
            <w:r>
              <w:rPr>
                <w:rFonts w:ascii="仿宋_GB2312" w:hAnsi="仿宋_GB2312" w:cs="仿宋_GB2312" w:eastAsia="仿宋_GB2312"/>
                <w:sz w:val="21"/>
                <w:b/>
              </w:rPr>
              <w:t>线路技术指标要求：</w:t>
            </w:r>
          </w:p>
          <w:tbl>
            <w:tblPr>
              <w:tblBorders>
                <w:top w:val="none" w:color="000000" w:sz="4"/>
                <w:left w:val="none" w:color="000000" w:sz="4"/>
                <w:bottom w:val="none" w:color="000000" w:sz="4"/>
                <w:right w:val="none" w:color="000000" w:sz="4"/>
                <w:insideH w:val="none"/>
                <w:insideV w:val="none"/>
              </w:tblBorders>
            </w:tblPr>
            <w:tblGrid>
              <w:gridCol w:w="232"/>
              <w:gridCol w:w="535"/>
              <w:gridCol w:w="416"/>
              <w:gridCol w:w="979"/>
              <w:gridCol w:w="1022"/>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对象</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r>
                    <w:rPr>
                      <w:rFonts w:ascii="仿宋_GB2312" w:hAnsi="仿宋_GB2312" w:cs="仿宋_GB2312" w:eastAsia="仿宋_GB2312"/>
                      <w:sz w:val="21"/>
                      <w:b/>
                      <w:color w:val="000000"/>
                    </w:rPr>
                    <w:t>/类型</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指标</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说明</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带宽</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w:t>
                  </w:r>
                  <w:r>
                    <w:rPr>
                      <w:rFonts w:ascii="仿宋_GB2312" w:hAnsi="仿宋_GB2312" w:cs="仿宋_GB2312" w:eastAsia="仿宋_GB2312"/>
                      <w:sz w:val="21"/>
                      <w:color w:val="120649"/>
                    </w:rPr>
                    <w:t>bps</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确保数据传输的高效性</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丢包率</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rPr>
                    <w:t>‰</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提高数据传输的准确性与稳定性</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接口实测速率</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≥接口理论速率×95%</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提升接口性能的利用效率</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上下行速率差</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上行速率</w:t>
                  </w:r>
                  <w:r>
                    <w:rPr>
                      <w:rFonts w:ascii="仿宋_GB2312" w:hAnsi="仿宋_GB2312" w:cs="仿宋_GB2312" w:eastAsia="仿宋_GB2312"/>
                      <w:sz w:val="21"/>
                      <w:color w:val="000000"/>
                    </w:rPr>
                    <w:t>≥下行速率×99%</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确保双向数据传输的平衡性</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延时</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≤50ms</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优化数据传输的实时性</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网络可用性</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≥99.99%</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提高网络服务的稳定性与可靠性</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数据链路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断网故障率</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rPr>
                    <w:t>全年总时长的</w:t>
                  </w:r>
                  <w:r>
                    <w:rPr>
                      <w:rFonts w:ascii="仿宋_GB2312" w:hAnsi="仿宋_GB2312" w:cs="仿宋_GB2312" w:eastAsia="仿宋_GB2312"/>
                      <w:sz w:val="21"/>
                    </w:rPr>
                    <w:t>1‰</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降低因断网导致的服务中断风险</w:t>
                  </w:r>
                </w:p>
              </w:tc>
            </w:tr>
          </w:tbl>
          <w:p>
            <w:pPr>
              <w:pStyle w:val="null3"/>
              <w:ind w:firstLine="422"/>
            </w:pPr>
            <w:r>
              <w:rPr>
                <w:rFonts w:ascii="仿宋_GB2312" w:hAnsi="仿宋_GB2312" w:cs="仿宋_GB2312" w:eastAsia="仿宋_GB2312"/>
                <w:sz w:val="21"/>
                <w:b/>
              </w:rPr>
              <w:t>4.4</w:t>
            </w:r>
            <w:r>
              <w:rPr>
                <w:rFonts w:ascii="仿宋_GB2312" w:hAnsi="仿宋_GB2312" w:cs="仿宋_GB2312" w:eastAsia="仿宋_GB2312"/>
                <w:sz w:val="21"/>
                <w:b/>
              </w:rPr>
              <w:t>维保服务要求</w:t>
            </w:r>
          </w:p>
          <w:p>
            <w:pPr>
              <w:pStyle w:val="null3"/>
              <w:ind w:firstLine="420"/>
              <w:jc w:val="both"/>
            </w:pPr>
            <w:r>
              <w:rPr>
                <w:rFonts w:ascii="仿宋_GB2312" w:hAnsi="仿宋_GB2312" w:cs="仿宋_GB2312" w:eastAsia="仿宋_GB2312"/>
                <w:sz w:val="21"/>
              </w:rPr>
              <w:t>提供</w:t>
            </w:r>
            <w:r>
              <w:rPr>
                <w:rFonts w:ascii="仿宋_GB2312" w:hAnsi="仿宋_GB2312" w:cs="仿宋_GB2312" w:eastAsia="仿宋_GB2312"/>
                <w:sz w:val="21"/>
              </w:rPr>
              <w:t>VIP</w:t>
            </w:r>
            <w:r>
              <w:rPr>
                <w:rFonts w:ascii="仿宋_GB2312" w:hAnsi="仿宋_GB2312" w:cs="仿宋_GB2312" w:eastAsia="仿宋_GB2312"/>
                <w:sz w:val="21"/>
              </w:rPr>
              <w:t>级别保障服务，提供</w:t>
            </w:r>
            <w:r>
              <w:rPr>
                <w:rFonts w:ascii="仿宋_GB2312" w:hAnsi="仿宋_GB2312" w:cs="仿宋_GB2312" w:eastAsia="仿宋_GB2312"/>
                <w:sz w:val="21"/>
              </w:rPr>
              <w:t>7×24</w:t>
            </w:r>
            <w:r>
              <w:rPr>
                <w:rFonts w:ascii="仿宋_GB2312" w:hAnsi="仿宋_GB2312" w:cs="仿宋_GB2312" w:eastAsia="仿宋_GB2312"/>
                <w:sz w:val="21"/>
              </w:rPr>
              <w:t>小时的故障报修体系，承诺在报障后</w:t>
            </w:r>
            <w:r>
              <w:rPr>
                <w:rFonts w:ascii="仿宋_GB2312" w:hAnsi="仿宋_GB2312" w:cs="仿宋_GB2312" w:eastAsia="仿宋_GB2312"/>
                <w:sz w:val="21"/>
              </w:rPr>
              <w:t>8</w:t>
            </w:r>
            <w:r>
              <w:rPr>
                <w:rFonts w:ascii="仿宋_GB2312" w:hAnsi="仿宋_GB2312" w:cs="仿宋_GB2312" w:eastAsia="仿宋_GB2312"/>
                <w:sz w:val="21"/>
              </w:rPr>
              <w:t>小时内排除网络故障；提供网络运行报告，对用户全年的网络运行情况做全方位的分析，具体内容如下：</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7×24</w:t>
            </w:r>
            <w:r>
              <w:rPr>
                <w:rFonts w:ascii="仿宋_GB2312" w:hAnsi="仿宋_GB2312" w:cs="仿宋_GB2312" w:eastAsia="仿宋_GB2312"/>
                <w:sz w:val="21"/>
                <w:b/>
              </w:rPr>
              <w:t>小时热线服务：</w:t>
            </w:r>
            <w:r>
              <w:rPr>
                <w:rFonts w:ascii="仿宋_GB2312" w:hAnsi="仿宋_GB2312" w:cs="仿宋_GB2312" w:eastAsia="仿宋_GB2312"/>
                <w:sz w:val="21"/>
              </w:rPr>
              <w:t>提供全天候的热线服务，确保用户在任何时间遇到故障或问题时，都能得到及时的响应和处理。同时，建立完善的故障点受理与升级处理机制，确保每个问题都能得到妥善解决。</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）及时沟通与反馈：</w:t>
            </w:r>
            <w:r>
              <w:rPr>
                <w:rFonts w:ascii="仿宋_GB2312" w:hAnsi="仿宋_GB2312" w:cs="仿宋_GB2312" w:eastAsia="仿宋_GB2312"/>
                <w:sz w:val="21"/>
              </w:rPr>
              <w:t>在业务开通、故障处理过程中，保持与用户的紧密沟通，及时反馈处理进度和结果，确保用户对服务过程有清晰的了解。</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）定期巡检与报告：</w:t>
            </w:r>
            <w:r>
              <w:rPr>
                <w:rFonts w:ascii="仿宋_GB2312" w:hAnsi="仿宋_GB2312" w:cs="仿宋_GB2312" w:eastAsia="仿宋_GB2312"/>
                <w:sz w:val="21"/>
              </w:rPr>
              <w:t>按季度进行设备巡检，并提供详细的故障处理报告，以便用户了解设备运行状态和故障处理情况。此外，还将按年度提供网络运行分析报告，全面分析网络运行情况，为客户提供优化建议。</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）联席会议服务：</w:t>
            </w:r>
            <w:r>
              <w:rPr>
                <w:rFonts w:ascii="仿宋_GB2312" w:hAnsi="仿宋_GB2312" w:cs="仿宋_GB2312" w:eastAsia="仿宋_GB2312"/>
                <w:sz w:val="21"/>
              </w:rPr>
              <w:t>为增进双方沟通与合作，提供每年一次的联席会议服务（会议时间由用户选择）。</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w:t>
            </w:r>
            <w:r>
              <w:rPr>
                <w:rFonts w:ascii="仿宋_GB2312" w:hAnsi="仿宋_GB2312" w:cs="仿宋_GB2312" w:eastAsia="仿宋_GB2312"/>
                <w:sz w:val="21"/>
                <w:b/>
              </w:rPr>
              <w:t>）故障处理时间承诺：</w:t>
            </w:r>
            <w:r>
              <w:rPr>
                <w:rFonts w:ascii="仿宋_GB2312" w:hAnsi="仿宋_GB2312" w:cs="仿宋_GB2312" w:eastAsia="仿宋_GB2312"/>
                <w:sz w:val="21"/>
              </w:rPr>
              <w:t>在接到用户故障报修后，故障响应时间不超过</w:t>
            </w:r>
            <w:r>
              <w:rPr>
                <w:rFonts w:ascii="仿宋_GB2312" w:hAnsi="仿宋_GB2312" w:cs="仿宋_GB2312" w:eastAsia="仿宋_GB2312"/>
                <w:sz w:val="21"/>
              </w:rPr>
              <w:t>15</w:t>
            </w:r>
            <w:r>
              <w:rPr>
                <w:rFonts w:ascii="仿宋_GB2312" w:hAnsi="仿宋_GB2312" w:cs="仿宋_GB2312" w:eastAsia="仿宋_GB2312"/>
                <w:sz w:val="21"/>
              </w:rPr>
              <w:t>分钟（除去不可抗力因素），并在</w:t>
            </w:r>
            <w:r>
              <w:rPr>
                <w:rFonts w:ascii="仿宋_GB2312" w:hAnsi="仿宋_GB2312" w:cs="仿宋_GB2312" w:eastAsia="仿宋_GB2312"/>
                <w:sz w:val="21"/>
              </w:rPr>
              <w:t>8</w:t>
            </w:r>
            <w:r>
              <w:rPr>
                <w:rFonts w:ascii="仿宋_GB2312" w:hAnsi="仿宋_GB2312" w:cs="仿宋_GB2312" w:eastAsia="仿宋_GB2312"/>
                <w:sz w:val="21"/>
              </w:rPr>
              <w:t>小时内解决故障（同样除去不可抗力因素）。确保用户的网络系统稳定运行，减少故障对用户业务的影响。</w:t>
            </w:r>
          </w:p>
          <w:p>
            <w:pPr>
              <w:pStyle w:val="null3"/>
              <w:ind w:firstLine="422"/>
            </w:pPr>
            <w:r>
              <w:rPr>
                <w:rFonts w:ascii="仿宋_GB2312" w:hAnsi="仿宋_GB2312" w:cs="仿宋_GB2312" w:eastAsia="仿宋_GB2312"/>
                <w:sz w:val="21"/>
                <w:b/>
              </w:rPr>
              <w:t>4.5</w:t>
            </w:r>
            <w:r>
              <w:rPr>
                <w:rFonts w:ascii="仿宋_GB2312" w:hAnsi="仿宋_GB2312" w:cs="仿宋_GB2312" w:eastAsia="仿宋_GB2312"/>
                <w:sz w:val="21"/>
                <w:b/>
              </w:rPr>
              <w:t>附加要求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）服务提供商应具备相关资质和经验，能够提供稳定、可靠的技术支持与服务。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）在项目实施过程中，应遵守国家相关法律法规和政策要求，确保项目的合规性和安全性。</w:t>
            </w:r>
          </w:p>
          <w:p>
            <w:pPr>
              <w:pStyle w:val="null3"/>
              <w:ind w:firstLine="422"/>
            </w:pPr>
            <w:r>
              <w:rPr>
                <w:rFonts w:ascii="仿宋_GB2312" w:hAnsi="仿宋_GB2312" w:cs="仿宋_GB2312" w:eastAsia="仿宋_GB2312"/>
                <w:sz w:val="21"/>
                <w:b/>
              </w:rPr>
              <w:t>4.6</w:t>
            </w:r>
            <w:r>
              <w:rPr>
                <w:rFonts w:ascii="仿宋_GB2312" w:hAnsi="仿宋_GB2312" w:cs="仿宋_GB2312" w:eastAsia="仿宋_GB2312"/>
                <w:sz w:val="21"/>
                <w:b/>
              </w:rPr>
              <w:t>专网接入站点明细</w:t>
            </w:r>
          </w:p>
          <w:tbl>
            <w:tblPr>
              <w:tblBorders>
                <w:top w:val="none" w:color="000000" w:sz="4"/>
                <w:left w:val="none" w:color="000000" w:sz="4"/>
                <w:bottom w:val="none" w:color="000000" w:sz="4"/>
                <w:right w:val="none" w:color="000000" w:sz="4"/>
                <w:insideH w:val="none"/>
                <w:insideV w:val="none"/>
              </w:tblBorders>
            </w:tblPr>
            <w:tblGrid>
              <w:gridCol w:w="493"/>
              <w:gridCol w:w="2060"/>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区域</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站点明细</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w:t>
                  </w:r>
                  <w:r>
                    <w:rPr>
                      <w:rFonts w:ascii="仿宋_GB2312" w:hAnsi="仿宋_GB2312" w:cs="仿宋_GB2312" w:eastAsia="仿宋_GB2312"/>
                      <w:sz w:val="21"/>
                    </w:rPr>
                    <w:t>11个）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监测中心、西安建西街、西安北、西安东、西安西、临潼、</w:t>
                  </w:r>
                </w:p>
                <w:p>
                  <w:pPr>
                    <w:pStyle w:val="null3"/>
                    <w:jc w:val="center"/>
                  </w:pPr>
                  <w:r>
                    <w:rPr>
                      <w:rFonts w:ascii="仿宋_GB2312" w:hAnsi="仿宋_GB2312" w:cs="仿宋_GB2312" w:eastAsia="仿宋_GB2312"/>
                      <w:sz w:val="21"/>
                    </w:rPr>
                    <w:t>蓝田、周至、户县、高陵、长安</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宝鸡（</w:t>
                  </w:r>
                  <w:r>
                    <w:rPr>
                      <w:rFonts w:ascii="仿宋_GB2312" w:hAnsi="仿宋_GB2312" w:cs="仿宋_GB2312" w:eastAsia="仿宋_GB2312"/>
                      <w:sz w:val="21"/>
                    </w:rPr>
                    <w:t>12个）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宝鸡、岐山、眉县、陇县、凤县、凤翔、扶风、麟游、太白、</w:t>
                  </w:r>
                </w:p>
                <w:p>
                  <w:pPr>
                    <w:pStyle w:val="null3"/>
                    <w:jc w:val="center"/>
                  </w:pPr>
                  <w:r>
                    <w:rPr>
                      <w:rFonts w:ascii="仿宋_GB2312" w:hAnsi="仿宋_GB2312" w:cs="仿宋_GB2312" w:eastAsia="仿宋_GB2312"/>
                      <w:sz w:val="21"/>
                    </w:rPr>
                    <w:t>陈仓、千阳、杨凌</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咸阳（</w:t>
                  </w:r>
                  <w:r>
                    <w:rPr>
                      <w:rFonts w:ascii="仿宋_GB2312" w:hAnsi="仿宋_GB2312" w:cs="仿宋_GB2312" w:eastAsia="仿宋_GB2312"/>
                      <w:sz w:val="21"/>
                    </w:rPr>
                    <w:t>12个）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咸阳、三原、泾阳、乾县、礼泉、永寿、彬县、旬邑、淳化、</w:t>
                  </w:r>
                </w:p>
                <w:p>
                  <w:pPr>
                    <w:pStyle w:val="null3"/>
                    <w:jc w:val="center"/>
                  </w:pPr>
                  <w:r>
                    <w:rPr>
                      <w:rFonts w:ascii="仿宋_GB2312" w:hAnsi="仿宋_GB2312" w:cs="仿宋_GB2312" w:eastAsia="仿宋_GB2312"/>
                      <w:sz w:val="21"/>
                    </w:rPr>
                    <w:t>武功、兴平、长武</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渭南（</w:t>
                  </w:r>
                  <w:r>
                    <w:rPr>
                      <w:rFonts w:ascii="仿宋_GB2312" w:hAnsi="仿宋_GB2312" w:cs="仿宋_GB2312" w:eastAsia="仿宋_GB2312"/>
                      <w:sz w:val="21"/>
                    </w:rPr>
                    <w:t>11个）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渭南、华阴、华县、合阳、澄城、蒲城、白水、富平、韩城、</w:t>
                  </w:r>
                </w:p>
                <w:p>
                  <w:pPr>
                    <w:pStyle w:val="null3"/>
                    <w:jc w:val="center"/>
                  </w:pPr>
                  <w:r>
                    <w:rPr>
                      <w:rFonts w:ascii="仿宋_GB2312" w:hAnsi="仿宋_GB2312" w:cs="仿宋_GB2312" w:eastAsia="仿宋_GB2312"/>
                      <w:sz w:val="21"/>
                    </w:rPr>
                    <w:t>潼关、大荔</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w:t>
                  </w:r>
                  <w:r>
                    <w:rPr>
                      <w:rFonts w:ascii="仿宋_GB2312" w:hAnsi="仿宋_GB2312" w:cs="仿宋_GB2312" w:eastAsia="仿宋_GB2312"/>
                      <w:sz w:val="21"/>
                    </w:rPr>
                    <w:t>4个）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60"/>
                    <w:jc w:val="center"/>
                  </w:pPr>
                  <w:r>
                    <w:rPr>
                      <w:rFonts w:ascii="仿宋_GB2312" w:hAnsi="仿宋_GB2312" w:cs="仿宋_GB2312" w:eastAsia="仿宋_GB2312"/>
                      <w:sz w:val="21"/>
                    </w:rPr>
                    <w:t>铜川、王益区、耀州区、宜君</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延安（</w:t>
                  </w:r>
                  <w:r>
                    <w:rPr>
                      <w:rFonts w:ascii="仿宋_GB2312" w:hAnsi="仿宋_GB2312" w:cs="仿宋_GB2312" w:eastAsia="仿宋_GB2312"/>
                      <w:sz w:val="21"/>
                    </w:rPr>
                    <w:t>13个）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延安、延长、延川、安塞、吴起、宜川、黄龙、黄陵、志丹、</w:t>
                  </w:r>
                </w:p>
                <w:p>
                  <w:pPr>
                    <w:pStyle w:val="null3"/>
                    <w:jc w:val="center"/>
                  </w:pPr>
                  <w:r>
                    <w:rPr>
                      <w:rFonts w:ascii="仿宋_GB2312" w:hAnsi="仿宋_GB2312" w:cs="仿宋_GB2312" w:eastAsia="仿宋_GB2312"/>
                      <w:sz w:val="21"/>
                    </w:rPr>
                    <w:t>子长、甘泉、富县、洛川</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榆林（</w:t>
                  </w:r>
                  <w:r>
                    <w:rPr>
                      <w:rFonts w:ascii="仿宋_GB2312" w:hAnsi="仿宋_GB2312" w:cs="仿宋_GB2312" w:eastAsia="仿宋_GB2312"/>
                      <w:sz w:val="21"/>
                    </w:rPr>
                    <w:t>12个）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榆林、定边、靖边、米脂、佳县、吴堡、子洲、神木、府谷、</w:t>
                  </w:r>
                </w:p>
                <w:p>
                  <w:pPr>
                    <w:pStyle w:val="null3"/>
                    <w:jc w:val="center"/>
                  </w:pPr>
                  <w:r>
                    <w:rPr>
                      <w:rFonts w:ascii="仿宋_GB2312" w:hAnsi="仿宋_GB2312" w:cs="仿宋_GB2312" w:eastAsia="仿宋_GB2312"/>
                      <w:sz w:val="21"/>
                    </w:rPr>
                    <w:t>横山、绥德、清涧</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w:t>
                  </w:r>
                  <w:r>
                    <w:rPr>
                      <w:rFonts w:ascii="仿宋_GB2312" w:hAnsi="仿宋_GB2312" w:cs="仿宋_GB2312" w:eastAsia="仿宋_GB2312"/>
                      <w:sz w:val="21"/>
                    </w:rPr>
                    <w:t>11个）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汉中、南郑、城固、洋县、西乡、勉县、宁强、留坝、佛坪、</w:t>
                  </w:r>
                </w:p>
                <w:p>
                  <w:pPr>
                    <w:pStyle w:val="null3"/>
                    <w:jc w:val="center"/>
                  </w:pPr>
                  <w:r>
                    <w:rPr>
                      <w:rFonts w:ascii="仿宋_GB2312" w:hAnsi="仿宋_GB2312" w:cs="仿宋_GB2312" w:eastAsia="仿宋_GB2312"/>
                      <w:sz w:val="21"/>
                    </w:rPr>
                    <w:t>略阳、镇巴</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w:t>
                  </w:r>
                  <w:r>
                    <w:rPr>
                      <w:rFonts w:ascii="仿宋_GB2312" w:hAnsi="仿宋_GB2312" w:cs="仿宋_GB2312" w:eastAsia="仿宋_GB2312"/>
                      <w:sz w:val="21"/>
                    </w:rPr>
                    <w:t>10个）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安康、汉阴、石泉、宁陕、紫阳、岚皋、平利、镇坪、白河、</w:t>
                  </w:r>
                </w:p>
                <w:p>
                  <w:pPr>
                    <w:pStyle w:val="null3"/>
                    <w:jc w:val="center"/>
                  </w:pPr>
                  <w:r>
                    <w:rPr>
                      <w:rFonts w:ascii="仿宋_GB2312" w:hAnsi="仿宋_GB2312" w:cs="仿宋_GB2312" w:eastAsia="仿宋_GB2312"/>
                      <w:sz w:val="21"/>
                    </w:rPr>
                    <w:t>旬阳</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商洛（</w:t>
                  </w:r>
                  <w:r>
                    <w:rPr>
                      <w:rFonts w:ascii="仿宋_GB2312" w:hAnsi="仿宋_GB2312" w:cs="仿宋_GB2312" w:eastAsia="仿宋_GB2312"/>
                      <w:sz w:val="21"/>
                    </w:rPr>
                    <w:t>7个）</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商洛、丹凤、商南、山阳、镇安、柞水、洛南</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总计：</w:t>
                  </w:r>
                  <w:r>
                    <w:rPr>
                      <w:rFonts w:ascii="仿宋_GB2312" w:hAnsi="仿宋_GB2312" w:cs="仿宋_GB2312" w:eastAsia="仿宋_GB2312"/>
                      <w:sz w:val="21"/>
                    </w:rPr>
                    <w:t>103个</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设备安装与实施地点位于陕西省广播电视监测中心指定地点，覆盖全省市、县（区）的监测前端站点，共计103个。</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服务期满，项目整体内容完成，由第三方组织验收。验收依据：磋商文件、磋商响应文件、合同文本、国内相应的标准、规范。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合同签订后5个工作日内，成交供应商提供给采购人履约保函，采购人收到保函后付款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成交人未按合同要求提供服务或服务质量不能满足技术要求，且在规定时间内未使采购人满意的，采购人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成交供应商应在验收前向代理机构支付验收费用，验收费金额：1500.00元/次。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服务内容及服务邀请应答表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根据供应商对项目需求的理解程度及对项目工作重点难点认识的准确程度进行赋分。 ①对项目需求理解深刻透彻，内容详实，对项目工作重点、难点认识准确，计5分； ②对项目需求理解一般，内容较详实，对项目工作重点、难点认识基本准确，计3分； ③对项目需求理解体现较差，对项目工作重点、难点认识不准确，计1分；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设备安装</w:t>
            </w:r>
          </w:p>
        </w:tc>
        <w:tc>
          <w:tcPr>
            <w:tcW w:type="dxa" w:w="2492"/>
          </w:tcPr>
          <w:p>
            <w:pPr>
              <w:pStyle w:val="null3"/>
            </w:pPr>
            <w:r>
              <w:rPr>
                <w:rFonts w:ascii="仿宋_GB2312" w:hAnsi="仿宋_GB2312" w:cs="仿宋_GB2312" w:eastAsia="仿宋_GB2312"/>
              </w:rPr>
              <w:t>1、提供天线基础及电缆的施工措施，根据其响应程度赋分。 ①措施具体、标准明确，计3分； ②措施一般、标准基本明确，计2分； ③措施较差、标准不明确，计1分； ④未提供不计分。 2、提供针对设备环境（温度、湿度、灰层等）的保障措施以及针对不满足要求时的整改方案。 ①方案合理全面、可行性强，计3分； ②方案较全面、基本可行，计2分； ③方案不合理、可行性差，计1分； ④未提供不计分。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迁移方案</w:t>
            </w:r>
          </w:p>
        </w:tc>
        <w:tc>
          <w:tcPr>
            <w:tcW w:type="dxa" w:w="2492"/>
          </w:tcPr>
          <w:p>
            <w:pPr>
              <w:pStyle w:val="null3"/>
            </w:pPr>
            <w:r>
              <w:rPr>
                <w:rFonts w:ascii="仿宋_GB2312" w:hAnsi="仿宋_GB2312" w:cs="仿宋_GB2312" w:eastAsia="仿宋_GB2312"/>
              </w:rPr>
              <w:t>提供站点迁移方案，根据其响应程度赋分。 ①方案合理，站点迁移工作链条完整，内容详细，各环节措施具体，时效性、可行性强，计6分； ②方案较合理，站点迁移工作链条基本完整，内容较详细，各环节措施较具体，有一定可行性，计4分； ③方案简单，站点迁移工作链条不够完整，内容空洞，各环节措施不明确，可行性较差，计2分； ④未提供不计分。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传输链路保障承诺</w:t>
            </w:r>
          </w:p>
        </w:tc>
        <w:tc>
          <w:tcPr>
            <w:tcW w:type="dxa" w:w="2492"/>
          </w:tcPr>
          <w:p>
            <w:pPr>
              <w:pStyle w:val="null3"/>
            </w:pPr>
            <w:r>
              <w:rPr>
                <w:rFonts w:ascii="仿宋_GB2312" w:hAnsi="仿宋_GB2312" w:cs="仿宋_GB2312" w:eastAsia="仿宋_GB2312"/>
              </w:rPr>
              <w:t>1、线路符合省-市-县三级架构，站点数量满足采购要求，计5分。（需提供架构图，未提供不计分） 2、数据传输类型为MPLS-VPN专网、带宽大于200M，计5分。（需提供租赁方案和书面承诺，未提供不计分）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传输链路保障方案</w:t>
            </w:r>
          </w:p>
        </w:tc>
        <w:tc>
          <w:tcPr>
            <w:tcW w:type="dxa" w:w="2492"/>
          </w:tcPr>
          <w:p>
            <w:pPr>
              <w:pStyle w:val="null3"/>
            </w:pPr>
            <w:r>
              <w:rPr>
                <w:rFonts w:ascii="仿宋_GB2312" w:hAnsi="仿宋_GB2312" w:cs="仿宋_GB2312" w:eastAsia="仿宋_GB2312"/>
              </w:rPr>
              <w:t>1、根据数据链路资源的安全可靠程度进行赋分。 ①数据链路资源安全、可靠，资源使用规划合理，计3分； ②数据链路资源基本安全、可靠，资源使用规划较合理，计2分； ③数据链路资源不够安全、可靠，资源使用规划不合理，计1分； ④未提供不计分。 2、根据通信网络和通讯技术支持方案的详细程度进行赋分。 ①方案完整，内容详实，数据传输准确性保障措施具体，能够确保通信传输畅通，计3分； ②方案较完整，内容较详细，数据传输准确性保障措施较具体，计2分； ③方案内容简单，数据传输准确性保障措施不明确，针对性较差，计1分； ④未提供不计分。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信号接入保障</w:t>
            </w:r>
          </w:p>
        </w:tc>
        <w:tc>
          <w:tcPr>
            <w:tcW w:type="dxa" w:w="2492"/>
          </w:tcPr>
          <w:p>
            <w:pPr>
              <w:pStyle w:val="null3"/>
            </w:pPr>
            <w:r>
              <w:rPr>
                <w:rFonts w:ascii="仿宋_GB2312" w:hAnsi="仿宋_GB2312" w:cs="仿宋_GB2312" w:eastAsia="仿宋_GB2312"/>
              </w:rPr>
              <w:t>提供信号接入保障措施，根据其响应程度赋分。 ①措施完善，科学合理、针对性强，计5分； ②措施较合理、有一定针对性，计3分； ③措施有明显缺陷、针对性较差，计1分；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日常维护</w:t>
            </w:r>
          </w:p>
        </w:tc>
        <w:tc>
          <w:tcPr>
            <w:tcW w:type="dxa" w:w="2492"/>
          </w:tcPr>
          <w:p>
            <w:pPr>
              <w:pStyle w:val="null3"/>
            </w:pPr>
            <w:r>
              <w:rPr>
                <w:rFonts w:ascii="仿宋_GB2312" w:hAnsi="仿宋_GB2312" w:cs="仿宋_GB2312" w:eastAsia="仿宋_GB2312"/>
              </w:rPr>
              <w:t>1、提供日常维护工作制度，根据其响应程度赋分。 ①方案合理全面、工作内容明确，可行性强，计5分； ②方案较完整、基本可行，计3分； ③方案不合理、针对性较差，计1分； ④未提供不计分。 2、提供日常运维记录格式文件，根据其响应程度赋分。 ①格式文件内容完整、规范，溯源性强，计5分； ②格式文件内容较完整、规范，基本可行，计3分； ③格式文件内容照搬照抄、针对性差，计1分； 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设备巡检</w:t>
            </w:r>
          </w:p>
        </w:tc>
        <w:tc>
          <w:tcPr>
            <w:tcW w:type="dxa" w:w="2492"/>
          </w:tcPr>
          <w:p>
            <w:pPr>
              <w:pStyle w:val="null3"/>
            </w:pPr>
            <w:r>
              <w:rPr>
                <w:rFonts w:ascii="仿宋_GB2312" w:hAnsi="仿宋_GB2312" w:cs="仿宋_GB2312" w:eastAsia="仿宋_GB2312"/>
              </w:rPr>
              <w:t>提供设备巡检工作制度，根据其响应程度赋分。 ①方案合理全面、工作内容明确，责任清晰，可行性强，计6分； ②方案较合理完整、工作内容较明确，责任较清晰，有一定可行性，计4分； ③方案内容简单空洞、可行性差，计2分； ④未提供不计分。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故障应急处理</w:t>
            </w:r>
          </w:p>
        </w:tc>
        <w:tc>
          <w:tcPr>
            <w:tcW w:type="dxa" w:w="2492"/>
          </w:tcPr>
          <w:p>
            <w:pPr>
              <w:pStyle w:val="null3"/>
            </w:pPr>
            <w:r>
              <w:rPr>
                <w:rFonts w:ascii="仿宋_GB2312" w:hAnsi="仿宋_GB2312" w:cs="仿宋_GB2312" w:eastAsia="仿宋_GB2312"/>
              </w:rPr>
              <w:t>提供故障处理方案，根据其响应程度赋分。 ①预案合理，响应迅速，针对性、可行性强，计3分； ②预案较合理，具有一定的针对性及可行性，计2分； ③预案有明显缺陷，具体措施不切实际，计1分；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运维报告</w:t>
            </w:r>
          </w:p>
        </w:tc>
        <w:tc>
          <w:tcPr>
            <w:tcW w:type="dxa" w:w="2492"/>
          </w:tcPr>
          <w:p>
            <w:pPr>
              <w:pStyle w:val="null3"/>
            </w:pPr>
            <w:r>
              <w:rPr>
                <w:rFonts w:ascii="仿宋_GB2312" w:hAnsi="仿宋_GB2312" w:cs="仿宋_GB2312" w:eastAsia="仿宋_GB2312"/>
              </w:rPr>
              <w:t>提供季/年度巡检报告格式文件，根据其响应程度赋分。 ①格式文件内容完整、规范，溯源性强，计6分； ②格式文件内容较完整、规范，基本可行，计4分； ③格式文件内容照搬照抄、针对性差，计2分； ④未提供不计分。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项目总负责人具有信息化相关专业高级及以上职称，计5分，中级职称计3分。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数据传输链路负责人</w:t>
            </w:r>
          </w:p>
        </w:tc>
        <w:tc>
          <w:tcPr>
            <w:tcW w:type="dxa" w:w="2492"/>
          </w:tcPr>
          <w:p>
            <w:pPr>
              <w:pStyle w:val="null3"/>
            </w:pPr>
            <w:r>
              <w:rPr>
                <w:rFonts w:ascii="仿宋_GB2312" w:hAnsi="仿宋_GB2312" w:cs="仿宋_GB2312" w:eastAsia="仿宋_GB2312"/>
              </w:rPr>
              <w:t>数据传输链路负责人具有信息化相关专业中级及以上职称，计3分。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CA卡授权负责人</w:t>
            </w:r>
          </w:p>
        </w:tc>
        <w:tc>
          <w:tcPr>
            <w:tcW w:type="dxa" w:w="2492"/>
          </w:tcPr>
          <w:p>
            <w:pPr>
              <w:pStyle w:val="null3"/>
            </w:pPr>
            <w:r>
              <w:rPr>
                <w:rFonts w:ascii="仿宋_GB2312" w:hAnsi="仿宋_GB2312" w:cs="仿宋_GB2312" w:eastAsia="仿宋_GB2312"/>
              </w:rPr>
              <w:t>提供专职CA卡授权负责人，计2分。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各监测点负责人</w:t>
            </w:r>
          </w:p>
        </w:tc>
        <w:tc>
          <w:tcPr>
            <w:tcW w:type="dxa" w:w="2492"/>
          </w:tcPr>
          <w:p>
            <w:pPr>
              <w:pStyle w:val="null3"/>
            </w:pPr>
            <w:r>
              <w:rPr>
                <w:rFonts w:ascii="仿宋_GB2312" w:hAnsi="仿宋_GB2312" w:cs="仿宋_GB2312" w:eastAsia="仿宋_GB2312"/>
              </w:rPr>
              <w:t>1、提供各监测点配置一名负责人及在合同签订后1个月内提供人员资料的书面承诺，提供承诺计1分，未提供不计分。 2、提供各监测点负责人不出现缺岗、断档的保障措施，根据其响应程度赋分。 ①措施合理、针对性强，计2分； ②措施较合理、针对性一般，计1分； ③措施不合理、针对性较差，或未提供的，不计分。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提供保密制度，根据其响应程度赋分。 ①措施合理、针对性强，计3分； ②措施较合理、针对性一般，计2分； ③措施不合理、内容空洞，针对性较差，计1分；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每提供1项具有实用性的增值服务计1分，满分3分。 （注：①增值服务的实用性需评审专家认定为有效。②需提供明确的服务的具体内容和承诺书，缺项不计分。）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供应商提供2022年1月1日至今类似项目业绩，每份计2分，满分8分。（注：以加盖公章的合同复印件为准，时间以合同签订时间为准。未提供的不计分。）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