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613DA1">
      <w:pPr>
        <w:autoSpaceDE w:val="0"/>
        <w:autoSpaceDN w:val="0"/>
        <w:adjustRightInd w:val="0"/>
        <w:snapToGrid w:val="0"/>
        <w:spacing w:line="360" w:lineRule="auto"/>
        <w:jc w:val="center"/>
        <w:outlineLvl w:val="0"/>
        <w:rPr>
          <w:rFonts w:hint="eastAsia" w:ascii="宋体" w:hAnsi="宋体"/>
          <w:b/>
          <w:sz w:val="32"/>
          <w:szCs w:val="32"/>
        </w:rPr>
      </w:pPr>
      <w:bookmarkStart w:id="0" w:name="_Toc2231"/>
      <w:bookmarkStart w:id="1" w:name="_Toc29811"/>
      <w:r>
        <w:rPr>
          <w:rFonts w:hint="eastAsia" w:ascii="宋体" w:hAnsi="宋体"/>
          <w:b/>
          <w:color w:val="000000"/>
          <w:sz w:val="32"/>
          <w:szCs w:val="32"/>
        </w:rPr>
        <w:t>拟签订的</w:t>
      </w:r>
      <w:r>
        <w:rPr>
          <w:rFonts w:hint="eastAsia" w:ascii="宋体" w:hAnsi="宋体"/>
          <w:b/>
          <w:sz w:val="32"/>
          <w:szCs w:val="32"/>
        </w:rPr>
        <w:t>合同条款</w:t>
      </w:r>
      <w:bookmarkEnd w:id="0"/>
      <w:bookmarkEnd w:id="1"/>
    </w:p>
    <w:p w14:paraId="62B7A28A">
      <w:pPr>
        <w:pStyle w:val="2"/>
        <w:rPr>
          <w:rFonts w:hint="eastAsia" w:ascii="宋体" w:hAnsi="宋体"/>
          <w:b/>
          <w:sz w:val="32"/>
          <w:szCs w:val="32"/>
        </w:rPr>
      </w:pPr>
    </w:p>
    <w:p w14:paraId="7B812796">
      <w:pPr>
        <w:rPr>
          <w:rFonts w:hint="eastAsia" w:ascii="宋体" w:hAnsi="宋体"/>
          <w:b/>
          <w:sz w:val="32"/>
          <w:szCs w:val="32"/>
        </w:rPr>
      </w:pPr>
    </w:p>
    <w:p w14:paraId="7FF43C68">
      <w:pPr>
        <w:pStyle w:val="2"/>
        <w:rPr>
          <w:rFonts w:hint="eastAsia" w:ascii="宋体" w:hAnsi="宋体"/>
          <w:b/>
          <w:sz w:val="32"/>
          <w:szCs w:val="32"/>
        </w:rPr>
      </w:pPr>
    </w:p>
    <w:p w14:paraId="5764125B">
      <w:pPr>
        <w:rPr>
          <w:rFonts w:hint="eastAsia" w:ascii="宋体" w:hAnsi="宋体"/>
          <w:b/>
          <w:sz w:val="32"/>
          <w:szCs w:val="32"/>
        </w:rPr>
      </w:pPr>
    </w:p>
    <w:p w14:paraId="72089FD5">
      <w:pPr>
        <w:pStyle w:val="2"/>
        <w:rPr>
          <w:rFonts w:hint="eastAsia" w:ascii="宋体" w:hAnsi="宋体"/>
          <w:b/>
          <w:sz w:val="32"/>
          <w:szCs w:val="32"/>
        </w:rPr>
      </w:pPr>
    </w:p>
    <w:p w14:paraId="09F9FF26">
      <w:pPr>
        <w:rPr>
          <w:rFonts w:hint="eastAsia" w:ascii="宋体" w:hAnsi="宋体"/>
          <w:b/>
          <w:sz w:val="32"/>
          <w:szCs w:val="32"/>
        </w:rPr>
      </w:pPr>
    </w:p>
    <w:p w14:paraId="2D3E195E">
      <w:pPr>
        <w:pStyle w:val="2"/>
        <w:rPr>
          <w:rFonts w:hint="eastAsia" w:ascii="宋体" w:hAnsi="宋体"/>
          <w:b/>
          <w:sz w:val="32"/>
          <w:szCs w:val="32"/>
        </w:rPr>
      </w:pPr>
    </w:p>
    <w:p w14:paraId="53B03EA0">
      <w:pPr>
        <w:rPr>
          <w:rFonts w:hint="eastAsia" w:ascii="宋体" w:hAnsi="宋体"/>
          <w:b/>
          <w:sz w:val="32"/>
          <w:szCs w:val="32"/>
        </w:rPr>
      </w:pPr>
    </w:p>
    <w:p w14:paraId="1C7FE48B">
      <w:pPr>
        <w:pStyle w:val="2"/>
        <w:rPr>
          <w:rFonts w:hint="eastAsia" w:ascii="宋体" w:hAnsi="宋体"/>
          <w:b/>
          <w:sz w:val="32"/>
          <w:szCs w:val="32"/>
        </w:rPr>
      </w:pPr>
    </w:p>
    <w:p w14:paraId="313F8353">
      <w:pPr>
        <w:rPr>
          <w:rFonts w:hint="eastAsia" w:ascii="宋体" w:hAnsi="宋体"/>
          <w:b/>
          <w:sz w:val="32"/>
          <w:szCs w:val="32"/>
        </w:rPr>
      </w:pPr>
    </w:p>
    <w:p w14:paraId="259D8541">
      <w:pPr>
        <w:pStyle w:val="2"/>
        <w:rPr>
          <w:rFonts w:hint="eastAsia" w:ascii="宋体" w:hAnsi="宋体"/>
          <w:b/>
          <w:sz w:val="32"/>
          <w:szCs w:val="32"/>
        </w:rPr>
      </w:pPr>
    </w:p>
    <w:p w14:paraId="42C51A2D">
      <w:pPr>
        <w:rPr>
          <w:rFonts w:hint="eastAsia"/>
        </w:rPr>
      </w:pPr>
    </w:p>
    <w:p w14:paraId="6BE3DEB1">
      <w:pPr>
        <w:spacing w:line="800" w:lineRule="exact"/>
        <w:ind w:firstLine="843" w:firstLineChars="300"/>
        <w:outlineLvl w:val="0"/>
        <w:rPr>
          <w:rFonts w:hint="eastAsia" w:ascii="宋体" w:hAnsi="宋体" w:cs="宋体"/>
          <w:b/>
          <w:sz w:val="28"/>
          <w:szCs w:val="28"/>
          <w:u w:val="single"/>
        </w:rPr>
      </w:pPr>
      <w:bookmarkStart w:id="2" w:name="_Toc21524"/>
      <w:bookmarkStart w:id="3" w:name="_Toc21925"/>
      <w:r>
        <w:rPr>
          <w:rFonts w:hint="eastAsia" w:ascii="宋体" w:hAnsi="宋体" w:cs="宋体"/>
          <w:b/>
          <w:sz w:val="28"/>
          <w:szCs w:val="28"/>
        </w:rPr>
        <w:t>项目名称：</w:t>
      </w:r>
      <w:r>
        <w:rPr>
          <w:rFonts w:hint="eastAsia" w:ascii="宋体" w:hAnsi="宋体" w:cs="宋体"/>
          <w:b/>
          <w:sz w:val="28"/>
          <w:szCs w:val="28"/>
          <w:u w:val="single"/>
        </w:rPr>
        <w:t xml:space="preserve">                                         </w:t>
      </w:r>
      <w:r>
        <w:rPr>
          <w:rFonts w:hint="eastAsia" w:ascii="宋体" w:hAnsi="宋体" w:cs="宋体"/>
          <w:b/>
          <w:color w:val="FFFFFF"/>
          <w:sz w:val="28"/>
          <w:szCs w:val="28"/>
          <w:u w:val="single"/>
        </w:rPr>
        <w:t>xx</w:t>
      </w:r>
      <w:bookmarkEnd w:id="2"/>
      <w:bookmarkEnd w:id="3"/>
    </w:p>
    <w:p w14:paraId="1FE3174D">
      <w:pPr>
        <w:spacing w:line="800" w:lineRule="exact"/>
        <w:ind w:firstLine="790" w:firstLineChars="281"/>
        <w:outlineLvl w:val="0"/>
        <w:rPr>
          <w:rFonts w:hint="eastAsia" w:ascii="宋体" w:hAnsi="宋体" w:cs="宋体"/>
          <w:b/>
          <w:sz w:val="28"/>
          <w:szCs w:val="28"/>
          <w:u w:val="single"/>
        </w:rPr>
      </w:pPr>
      <w:bookmarkStart w:id="4" w:name="_Toc31550"/>
      <w:bookmarkStart w:id="5" w:name="_Toc17160"/>
      <w:bookmarkStart w:id="6" w:name="_Toc11546"/>
      <w:bookmarkStart w:id="7" w:name="_Toc6092"/>
      <w:r>
        <w:rPr>
          <w:rFonts w:hint="eastAsia" w:ascii="宋体" w:hAnsi="宋体" w:cs="宋体"/>
          <w:b/>
          <w:sz w:val="28"/>
          <w:szCs w:val="28"/>
        </w:rPr>
        <w:t>采购地点：</w:t>
      </w:r>
      <w:r>
        <w:rPr>
          <w:rFonts w:hint="eastAsia" w:ascii="宋体" w:hAnsi="宋体" w:cs="宋体"/>
          <w:b/>
          <w:sz w:val="28"/>
          <w:szCs w:val="28"/>
          <w:u w:val="single"/>
        </w:rPr>
        <w:t xml:space="preserve">                                         </w:t>
      </w:r>
      <w:r>
        <w:rPr>
          <w:rFonts w:hint="eastAsia" w:ascii="宋体" w:hAnsi="宋体" w:cs="宋体"/>
          <w:b/>
          <w:color w:val="FFFFFF"/>
          <w:sz w:val="28"/>
          <w:szCs w:val="28"/>
          <w:u w:val="single"/>
        </w:rPr>
        <w:t>xx</w:t>
      </w:r>
      <w:bookmarkEnd w:id="4"/>
      <w:bookmarkEnd w:id="5"/>
      <w:bookmarkEnd w:id="6"/>
      <w:bookmarkEnd w:id="7"/>
    </w:p>
    <w:p w14:paraId="6601A722">
      <w:pPr>
        <w:spacing w:line="800" w:lineRule="exact"/>
        <w:ind w:firstLine="790" w:firstLineChars="281"/>
        <w:outlineLvl w:val="0"/>
        <w:rPr>
          <w:rFonts w:hint="eastAsia" w:ascii="宋体" w:hAnsi="宋体" w:cs="宋体"/>
          <w:b/>
          <w:sz w:val="28"/>
          <w:szCs w:val="28"/>
          <w:u w:val="single"/>
        </w:rPr>
      </w:pPr>
      <w:bookmarkStart w:id="8" w:name="_Toc29953"/>
      <w:bookmarkStart w:id="9" w:name="_Toc21957"/>
      <w:bookmarkStart w:id="10" w:name="_Toc32754"/>
      <w:bookmarkStart w:id="11" w:name="_Toc1819"/>
      <w:r>
        <w:rPr>
          <w:rFonts w:hint="eastAsia" w:ascii="宋体" w:hAnsi="宋体" w:cs="宋体"/>
          <w:b/>
          <w:sz w:val="28"/>
          <w:szCs w:val="28"/>
        </w:rPr>
        <w:t>合同编号：</w:t>
      </w:r>
      <w:r>
        <w:rPr>
          <w:rFonts w:hint="eastAsia" w:ascii="宋体" w:hAnsi="宋体" w:cs="宋体"/>
          <w:b/>
          <w:sz w:val="28"/>
          <w:szCs w:val="28"/>
          <w:u w:val="single"/>
        </w:rPr>
        <w:t xml:space="preserve">                                         </w:t>
      </w:r>
      <w:r>
        <w:rPr>
          <w:rFonts w:hint="eastAsia" w:ascii="宋体" w:hAnsi="宋体" w:cs="宋体"/>
          <w:b/>
          <w:color w:val="FFFFFF"/>
          <w:sz w:val="28"/>
          <w:szCs w:val="28"/>
          <w:u w:val="single"/>
        </w:rPr>
        <w:t>xx</w:t>
      </w:r>
      <w:bookmarkEnd w:id="8"/>
      <w:bookmarkEnd w:id="9"/>
      <w:bookmarkEnd w:id="10"/>
      <w:bookmarkEnd w:id="11"/>
    </w:p>
    <w:p w14:paraId="6875AC19">
      <w:pPr>
        <w:spacing w:line="800" w:lineRule="exact"/>
        <w:ind w:firstLine="829" w:firstLineChars="295"/>
        <w:outlineLvl w:val="1"/>
        <w:rPr>
          <w:rFonts w:hint="eastAsia" w:ascii="宋体" w:hAnsi="宋体" w:cs="宋体"/>
          <w:b/>
          <w:color w:val="FFFFFF"/>
          <w:sz w:val="28"/>
          <w:szCs w:val="28"/>
          <w:u w:val="single"/>
        </w:rPr>
      </w:pPr>
      <w:bookmarkStart w:id="12" w:name="_Toc27556"/>
      <w:bookmarkStart w:id="13" w:name="_Toc20225"/>
      <w:bookmarkStart w:id="14" w:name="_Toc6018"/>
      <w:bookmarkStart w:id="15" w:name="_Toc4231"/>
      <w:r>
        <w:rPr>
          <w:rFonts w:hint="eastAsia" w:ascii="宋体" w:hAnsi="宋体" w:cs="宋体"/>
          <w:b/>
          <w:sz w:val="28"/>
          <w:szCs w:val="28"/>
        </w:rPr>
        <w:t>采购人（以下简称甲方）：</w:t>
      </w:r>
      <w:r>
        <w:rPr>
          <w:rFonts w:hint="eastAsia" w:ascii="宋体" w:hAnsi="宋体" w:cs="宋体"/>
          <w:b/>
          <w:sz w:val="28"/>
          <w:szCs w:val="28"/>
          <w:u w:val="single"/>
        </w:rPr>
        <w:t xml:space="preserve">                           </w:t>
      </w:r>
      <w:r>
        <w:rPr>
          <w:rFonts w:hint="eastAsia" w:ascii="宋体" w:hAnsi="宋体" w:cs="宋体"/>
          <w:b/>
          <w:color w:val="FFFFFF"/>
          <w:sz w:val="28"/>
          <w:szCs w:val="28"/>
          <w:u w:val="single"/>
        </w:rPr>
        <w:t>x</w:t>
      </w:r>
      <w:bookmarkEnd w:id="12"/>
      <w:bookmarkEnd w:id="13"/>
      <w:bookmarkEnd w:id="14"/>
      <w:bookmarkEnd w:id="15"/>
    </w:p>
    <w:p w14:paraId="055838BE">
      <w:pPr>
        <w:spacing w:line="800" w:lineRule="exact"/>
        <w:ind w:firstLine="829" w:firstLineChars="295"/>
        <w:outlineLvl w:val="0"/>
        <w:rPr>
          <w:rFonts w:hint="eastAsia" w:ascii="宋体" w:hAnsi="宋体" w:cs="宋体"/>
          <w:b/>
          <w:sz w:val="28"/>
          <w:szCs w:val="28"/>
          <w:u w:val="single"/>
        </w:rPr>
      </w:pPr>
      <w:bookmarkStart w:id="16" w:name="_Toc1156"/>
      <w:bookmarkStart w:id="17" w:name="_Toc20190"/>
      <w:bookmarkStart w:id="18" w:name="_Toc1762"/>
      <w:bookmarkStart w:id="19" w:name="_Toc4068"/>
      <w:r>
        <w:rPr>
          <w:rFonts w:hint="eastAsia" w:ascii="宋体" w:hAnsi="宋体" w:cs="宋体"/>
          <w:b/>
          <w:sz w:val="28"/>
          <w:szCs w:val="28"/>
        </w:rPr>
        <w:t>供应商（以下简称乙方）：</w:t>
      </w:r>
      <w:r>
        <w:rPr>
          <w:rFonts w:hint="eastAsia" w:ascii="宋体" w:hAnsi="宋体" w:cs="宋体"/>
          <w:b/>
          <w:sz w:val="28"/>
          <w:szCs w:val="28"/>
          <w:u w:val="single"/>
        </w:rPr>
        <w:t xml:space="preserve">                           </w:t>
      </w:r>
      <w:r>
        <w:rPr>
          <w:rFonts w:hint="eastAsia" w:ascii="宋体" w:hAnsi="宋体" w:cs="宋体"/>
          <w:b/>
          <w:color w:val="FFFFFF"/>
          <w:sz w:val="28"/>
          <w:szCs w:val="28"/>
          <w:u w:val="single"/>
        </w:rPr>
        <w:t>x</w:t>
      </w:r>
      <w:bookmarkEnd w:id="16"/>
      <w:bookmarkEnd w:id="17"/>
      <w:bookmarkEnd w:id="18"/>
      <w:bookmarkEnd w:id="19"/>
    </w:p>
    <w:p w14:paraId="24857597">
      <w:pPr>
        <w:spacing w:line="800" w:lineRule="exact"/>
        <w:ind w:firstLine="790" w:firstLineChars="281"/>
        <w:outlineLvl w:val="0"/>
        <w:rPr>
          <w:rFonts w:hint="eastAsia" w:ascii="宋体" w:hAnsi="宋体" w:cs="宋体"/>
          <w:b/>
          <w:sz w:val="28"/>
          <w:szCs w:val="28"/>
          <w:u w:val="single"/>
        </w:rPr>
      </w:pPr>
      <w:bookmarkStart w:id="20" w:name="_Toc30437"/>
      <w:bookmarkStart w:id="21" w:name="_Toc30530"/>
      <w:bookmarkStart w:id="22" w:name="_Toc22811"/>
      <w:bookmarkStart w:id="23" w:name="_Toc19676"/>
      <w:r>
        <w:rPr>
          <w:rFonts w:hint="eastAsia" w:ascii="宋体" w:hAnsi="宋体" w:cs="宋体"/>
          <w:b/>
          <w:sz w:val="28"/>
          <w:szCs w:val="28"/>
        </w:rPr>
        <w:t>签订日期：</w:t>
      </w:r>
      <w:r>
        <w:rPr>
          <w:rFonts w:hint="eastAsia" w:ascii="宋体" w:hAnsi="宋体" w:cs="宋体"/>
          <w:b/>
          <w:sz w:val="28"/>
          <w:szCs w:val="28"/>
          <w:u w:val="single"/>
        </w:rPr>
        <w:t xml:space="preserve">                                         </w:t>
      </w:r>
      <w:r>
        <w:rPr>
          <w:rFonts w:hint="eastAsia" w:ascii="宋体" w:hAnsi="宋体" w:cs="宋体"/>
          <w:b/>
          <w:color w:val="FFFFFF"/>
          <w:sz w:val="28"/>
          <w:szCs w:val="28"/>
          <w:u w:val="single"/>
        </w:rPr>
        <w:t>x</w:t>
      </w:r>
      <w:bookmarkEnd w:id="20"/>
      <w:bookmarkEnd w:id="21"/>
      <w:bookmarkEnd w:id="22"/>
      <w:bookmarkEnd w:id="23"/>
    </w:p>
    <w:p w14:paraId="71E81388">
      <w:pPr>
        <w:pStyle w:val="2"/>
        <w:rPr>
          <w:rFonts w:hint="eastAsia"/>
        </w:rPr>
      </w:pPr>
    </w:p>
    <w:p w14:paraId="0F0384FC">
      <w:pPr>
        <w:pageBreakBefore w:val="0"/>
        <w:widowControl w:val="0"/>
        <w:kinsoku w:val="0"/>
        <w:overflowPunct/>
        <w:autoSpaceDE/>
        <w:autoSpaceDN/>
        <w:bidi w:val="0"/>
        <w:spacing w:line="520" w:lineRule="exact"/>
        <w:ind w:firstLine="600" w:firstLineChars="250"/>
        <w:textAlignment w:val="auto"/>
        <w:rPr>
          <w:rFonts w:ascii="宋体" w:hAnsi="宋体"/>
          <w:sz w:val="24"/>
        </w:rPr>
      </w:pPr>
      <w:r>
        <w:rPr>
          <w:rFonts w:hint="eastAsia" w:ascii="宋体" w:hAnsi="宋体" w:eastAsia="宋体" w:cs="宋体"/>
          <w:color w:val="auto"/>
          <w:kern w:val="0"/>
          <w:sz w:val="24"/>
        </w:rPr>
        <w:t>依据《中华人民共和国</w:t>
      </w:r>
      <w:r>
        <w:rPr>
          <w:rFonts w:hint="eastAsia" w:ascii="宋体" w:hAnsi="宋体" w:eastAsia="宋体" w:cs="宋体"/>
          <w:color w:val="auto"/>
          <w:sz w:val="24"/>
        </w:rPr>
        <w:t>民法典</w:t>
      </w:r>
      <w:r>
        <w:rPr>
          <w:rFonts w:hint="eastAsia" w:ascii="宋体" w:hAnsi="宋体" w:eastAsia="宋体" w:cs="宋体"/>
          <w:color w:val="auto"/>
          <w:kern w:val="0"/>
          <w:sz w:val="24"/>
        </w:rPr>
        <w:t>》</w:t>
      </w:r>
      <w:r>
        <w:rPr>
          <w:rFonts w:hint="eastAsia" w:ascii="宋体" w:hAnsi="宋体" w:cs="宋体"/>
          <w:color w:val="auto"/>
          <w:kern w:val="0"/>
          <w:sz w:val="24"/>
          <w:lang w:eastAsia="zh-CN"/>
        </w:rPr>
        <w:t>、</w:t>
      </w:r>
      <w:r>
        <w:rPr>
          <w:rFonts w:hint="eastAsia" w:ascii="宋体" w:hAnsi="宋体" w:eastAsia="宋体" w:cs="宋体"/>
          <w:color w:val="auto"/>
          <w:kern w:val="0"/>
          <w:sz w:val="24"/>
        </w:rPr>
        <w:t>《中华人民共和国政府采购法》</w:t>
      </w:r>
      <w:r>
        <w:rPr>
          <w:rFonts w:hint="eastAsia" w:ascii="宋体" w:hAnsi="宋体" w:cs="宋体"/>
          <w:color w:val="auto"/>
          <w:kern w:val="0"/>
          <w:sz w:val="24"/>
          <w:lang w:val="en-US" w:eastAsia="zh-CN"/>
        </w:rPr>
        <w:t>和</w:t>
      </w:r>
      <w:r>
        <w:rPr>
          <w:rFonts w:ascii="宋体" w:hAnsi="宋体"/>
          <w:sz w:val="24"/>
        </w:rPr>
        <w:t>《中华人民共和国政府采购法实施条例》等法律法规，甲方通过</w:t>
      </w:r>
      <w:r>
        <w:rPr>
          <w:rFonts w:hint="eastAsia" w:ascii="宋体" w:hAnsi="宋体"/>
          <w:sz w:val="24"/>
        </w:rPr>
        <w:t>公开招标</w:t>
      </w:r>
      <w:r>
        <w:rPr>
          <w:rFonts w:hint="eastAsia" w:ascii="宋体" w:hAnsi="宋体" w:eastAsia="宋体" w:cs="宋体"/>
          <w:color w:val="auto"/>
          <w:kern w:val="0"/>
          <w:sz w:val="24"/>
        </w:rPr>
        <w:t>采购</w:t>
      </w:r>
      <w:r>
        <w:rPr>
          <w:rFonts w:hint="eastAsia" w:ascii="宋体" w:hAnsi="宋体" w:eastAsia="宋体" w:cs="宋体"/>
          <w:color w:val="auto"/>
          <w:kern w:val="0"/>
          <w:sz w:val="24"/>
          <w:u w:val="single"/>
        </w:rPr>
        <w:t>（</w:t>
      </w:r>
      <w:r>
        <w:rPr>
          <w:rFonts w:hint="eastAsia" w:ascii="宋体" w:hAnsi="宋体" w:eastAsia="宋体" w:cs="宋体"/>
          <w:color w:val="auto"/>
          <w:kern w:val="0"/>
          <w:sz w:val="24"/>
          <w:u w:val="single"/>
          <w:lang w:val="en-US" w:eastAsia="zh-CN"/>
        </w:rPr>
        <w:t>项目</w:t>
      </w:r>
      <w:r>
        <w:rPr>
          <w:rFonts w:hint="eastAsia" w:ascii="宋体" w:hAnsi="宋体" w:eastAsia="宋体" w:cs="宋体"/>
          <w:color w:val="auto"/>
          <w:kern w:val="0"/>
          <w:sz w:val="24"/>
          <w:u w:val="single"/>
        </w:rPr>
        <w:t xml:space="preserve">名称） </w:t>
      </w:r>
      <w:r>
        <w:rPr>
          <w:rFonts w:ascii="宋体" w:hAnsi="宋体"/>
          <w:sz w:val="24"/>
        </w:rPr>
        <w:t>，选定乙方</w:t>
      </w:r>
      <w:r>
        <w:rPr>
          <w:rFonts w:hint="eastAsia" w:ascii="宋体" w:hAnsi="宋体"/>
          <w:sz w:val="24"/>
          <w:u w:val="single"/>
          <w:lang w:val="en-US" w:eastAsia="zh-CN"/>
        </w:rPr>
        <w:t xml:space="preserve">             </w:t>
      </w:r>
      <w:r>
        <w:rPr>
          <w:rFonts w:ascii="宋体" w:hAnsi="宋体"/>
          <w:sz w:val="24"/>
        </w:rPr>
        <w:t>为</w:t>
      </w:r>
      <w:r>
        <w:rPr>
          <w:rFonts w:hint="eastAsia" w:ascii="宋体" w:hAnsi="宋体"/>
          <w:sz w:val="24"/>
        </w:rPr>
        <w:t>成交单位</w:t>
      </w:r>
      <w:r>
        <w:rPr>
          <w:rFonts w:ascii="宋体" w:hAnsi="宋体"/>
          <w:sz w:val="24"/>
        </w:rPr>
        <w:t>。甲、乙双方在平等基础上协商一致，达成如下合同条款</w:t>
      </w:r>
      <w:r>
        <w:rPr>
          <w:rFonts w:hint="eastAsia" w:ascii="宋体" w:hAnsi="宋体"/>
          <w:sz w:val="24"/>
        </w:rPr>
        <w:t>:</w:t>
      </w:r>
    </w:p>
    <w:p w14:paraId="3E5642FF">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本合同在此声明如下：</w:t>
      </w:r>
    </w:p>
    <w:p w14:paraId="02289724">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1、本合同中的词语和术语的含义与合同条款中定义的相同。</w:t>
      </w:r>
    </w:p>
    <w:p w14:paraId="70E3A008">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2、下述文件是本合同的一部分，并与本合同一起阅读和解释：</w:t>
      </w:r>
    </w:p>
    <w:p w14:paraId="37CBF9A2">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outlineLvl w:val="2"/>
        <w:rPr>
          <w:rFonts w:hint="eastAsia" w:ascii="宋体" w:hAnsi="宋体" w:eastAsia="宋体" w:cs="宋体"/>
          <w:color w:val="auto"/>
          <w:sz w:val="24"/>
          <w:lang w:val="en-US" w:eastAsia="zh-CN"/>
        </w:rPr>
      </w:pPr>
      <w:bookmarkStart w:id="24" w:name="_Toc25997"/>
      <w:bookmarkStart w:id="25" w:name="_Toc26773"/>
      <w:bookmarkStart w:id="26" w:name="_Toc9620"/>
      <w:bookmarkStart w:id="27" w:name="_Toc26953"/>
      <w:bookmarkStart w:id="28" w:name="_Toc16881"/>
      <w:r>
        <w:rPr>
          <w:rFonts w:hint="eastAsia" w:ascii="宋体" w:hAnsi="宋体" w:eastAsia="宋体" w:cs="宋体"/>
          <w:color w:val="auto"/>
          <w:sz w:val="24"/>
          <w:lang w:val="en-US" w:eastAsia="zh-CN"/>
        </w:rPr>
        <w:t>2.1、</w:t>
      </w:r>
      <w:r>
        <w:rPr>
          <w:rFonts w:hint="eastAsia" w:ascii="宋体" w:hAnsi="宋体" w:eastAsia="宋体" w:cs="宋体"/>
          <w:color w:val="auto"/>
          <w:sz w:val="24"/>
        </w:rPr>
        <w:t>合同</w:t>
      </w:r>
      <w:bookmarkEnd w:id="24"/>
      <w:bookmarkEnd w:id="25"/>
      <w:bookmarkEnd w:id="26"/>
      <w:bookmarkEnd w:id="27"/>
      <w:bookmarkEnd w:id="28"/>
    </w:p>
    <w:p w14:paraId="397A3DFE">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outlineLvl w:val="2"/>
        <w:rPr>
          <w:rFonts w:hint="eastAsia" w:ascii="宋体" w:hAnsi="宋体" w:eastAsia="宋体" w:cs="宋体"/>
          <w:color w:val="auto"/>
          <w:sz w:val="24"/>
        </w:rPr>
      </w:pPr>
      <w:bookmarkStart w:id="29" w:name="_Toc31072"/>
      <w:bookmarkStart w:id="30" w:name="_Toc30558"/>
      <w:bookmarkStart w:id="31" w:name="_Toc16003"/>
      <w:bookmarkStart w:id="32" w:name="_Toc23493"/>
      <w:bookmarkStart w:id="33" w:name="_Toc22493"/>
      <w:r>
        <w:rPr>
          <w:rFonts w:hint="eastAsia" w:ascii="宋体" w:hAnsi="宋体" w:eastAsia="宋体" w:cs="宋体"/>
          <w:color w:val="auto"/>
          <w:sz w:val="24"/>
          <w:lang w:val="en-US" w:eastAsia="zh-CN"/>
        </w:rPr>
        <w:t>2.2、</w:t>
      </w:r>
      <w:bookmarkEnd w:id="29"/>
      <w:bookmarkEnd w:id="30"/>
      <w:bookmarkEnd w:id="31"/>
      <w:bookmarkEnd w:id="32"/>
      <w:bookmarkEnd w:id="33"/>
      <w:r>
        <w:rPr>
          <w:rFonts w:hint="eastAsia" w:ascii="宋体" w:hAnsi="宋体" w:eastAsia="宋体" w:cs="宋体"/>
          <w:color w:val="auto"/>
          <w:sz w:val="24"/>
          <w:lang w:val="en-US" w:eastAsia="zh-CN"/>
        </w:rPr>
        <w:t>中标</w:t>
      </w:r>
      <w:r>
        <w:rPr>
          <w:rFonts w:hint="eastAsia" w:ascii="宋体" w:hAnsi="宋体" w:eastAsia="宋体" w:cs="宋体"/>
          <w:color w:val="auto"/>
          <w:sz w:val="24"/>
        </w:rPr>
        <w:t>通知书</w:t>
      </w:r>
    </w:p>
    <w:p w14:paraId="5BCAE1B0">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outlineLvl w:val="2"/>
        <w:rPr>
          <w:rFonts w:hint="eastAsia" w:ascii="宋体" w:hAnsi="宋体" w:eastAsia="宋体" w:cs="宋体"/>
          <w:color w:val="auto"/>
          <w:sz w:val="24"/>
        </w:rPr>
      </w:pPr>
      <w:bookmarkStart w:id="34" w:name="_Toc25590"/>
      <w:bookmarkStart w:id="35" w:name="_Toc1959"/>
      <w:bookmarkStart w:id="36" w:name="_Toc5117"/>
      <w:bookmarkStart w:id="37" w:name="_Toc14628"/>
      <w:bookmarkStart w:id="38" w:name="_Toc30617"/>
      <w:r>
        <w:rPr>
          <w:rFonts w:hint="eastAsia" w:ascii="宋体" w:hAnsi="宋体" w:eastAsia="宋体" w:cs="宋体"/>
          <w:color w:val="auto"/>
          <w:sz w:val="24"/>
          <w:lang w:val="en-US" w:eastAsia="zh-CN"/>
        </w:rPr>
        <w:t>2.3、</w:t>
      </w:r>
      <w:bookmarkEnd w:id="34"/>
      <w:bookmarkEnd w:id="35"/>
      <w:bookmarkEnd w:id="36"/>
      <w:bookmarkEnd w:id="37"/>
      <w:bookmarkEnd w:id="38"/>
      <w:bookmarkStart w:id="39" w:name="_Toc9775"/>
      <w:bookmarkStart w:id="40" w:name="_Toc16995"/>
      <w:bookmarkStart w:id="41" w:name="_Toc22164"/>
      <w:bookmarkStart w:id="42" w:name="_Toc24500"/>
      <w:bookmarkStart w:id="43" w:name="_Toc15460"/>
      <w:r>
        <w:rPr>
          <w:rFonts w:hint="eastAsia" w:ascii="宋体" w:hAnsi="宋体" w:eastAsia="宋体" w:cs="宋体"/>
          <w:color w:val="auto"/>
          <w:sz w:val="24"/>
          <w:lang w:eastAsia="zh-CN"/>
        </w:rPr>
        <w:t>招标</w:t>
      </w:r>
      <w:r>
        <w:rPr>
          <w:rFonts w:hint="eastAsia" w:ascii="宋体" w:hAnsi="宋体" w:eastAsia="宋体" w:cs="宋体"/>
          <w:color w:val="auto"/>
          <w:sz w:val="24"/>
        </w:rPr>
        <w:t>文件</w:t>
      </w:r>
    </w:p>
    <w:p w14:paraId="50CC1BE3">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outlineLvl w:val="2"/>
        <w:rPr>
          <w:rFonts w:hint="eastAsia" w:ascii="宋体" w:hAnsi="宋体" w:eastAsia="宋体" w:cs="宋体"/>
          <w:color w:val="auto"/>
          <w:sz w:val="24"/>
        </w:rPr>
      </w:pPr>
      <w:r>
        <w:rPr>
          <w:rFonts w:hint="eastAsia" w:ascii="宋体" w:hAnsi="宋体" w:eastAsia="宋体" w:cs="宋体"/>
          <w:color w:val="auto"/>
          <w:sz w:val="24"/>
          <w:lang w:val="en-US" w:eastAsia="zh-CN"/>
        </w:rPr>
        <w:t>2.4、</w:t>
      </w:r>
      <w:bookmarkEnd w:id="39"/>
      <w:bookmarkEnd w:id="40"/>
      <w:bookmarkEnd w:id="41"/>
      <w:bookmarkEnd w:id="42"/>
      <w:bookmarkEnd w:id="43"/>
      <w:r>
        <w:rPr>
          <w:rFonts w:hint="eastAsia" w:ascii="宋体" w:hAnsi="宋体" w:eastAsia="宋体" w:cs="宋体"/>
          <w:color w:val="auto"/>
          <w:sz w:val="24"/>
          <w:lang w:eastAsia="zh-CN"/>
        </w:rPr>
        <w:t>投标</w:t>
      </w:r>
      <w:r>
        <w:rPr>
          <w:rFonts w:hint="eastAsia" w:ascii="宋体" w:hAnsi="宋体" w:eastAsia="宋体" w:cs="宋体"/>
          <w:color w:val="auto"/>
          <w:sz w:val="24"/>
        </w:rPr>
        <w:t>文件</w:t>
      </w:r>
    </w:p>
    <w:p w14:paraId="567BDD5E">
      <w:pPr>
        <w:pStyle w:val="2"/>
        <w:pageBreakBefore w:val="0"/>
        <w:widowControl w:val="0"/>
        <w:kinsoku/>
        <w:wordWrap/>
        <w:overflowPunct/>
        <w:topLinePunct w:val="0"/>
        <w:autoSpaceDE/>
        <w:autoSpaceDN/>
        <w:bidi w:val="0"/>
        <w:adjustRightInd/>
        <w:snapToGrid/>
        <w:spacing w:line="520" w:lineRule="exact"/>
        <w:ind w:left="0" w:firstLine="480" w:firstLineChars="200"/>
        <w:textAlignment w:val="auto"/>
        <w:rPr>
          <w:rFonts w:hint="eastAsia" w:ascii="宋体" w:hAnsi="宋体" w:eastAsia="宋体" w:cs="宋体"/>
          <w:bCs w:val="0"/>
          <w:color w:val="auto"/>
          <w:kern w:val="2"/>
          <w:sz w:val="24"/>
          <w:szCs w:val="24"/>
          <w:highlight w:val="none"/>
        </w:rPr>
      </w:pPr>
      <w:r>
        <w:rPr>
          <w:rFonts w:hint="eastAsia" w:ascii="宋体" w:hAnsi="宋体" w:eastAsia="宋体" w:cs="宋体"/>
          <w:bCs w:val="0"/>
          <w:color w:val="auto"/>
          <w:kern w:val="2"/>
          <w:sz w:val="24"/>
          <w:szCs w:val="24"/>
          <w:highlight w:val="none"/>
        </w:rPr>
        <w:t>上述合同文件互相补充和解释。如果合同文件之间存在矛盾或不一致之处，以上述文件的排列顺序在先者为准。</w:t>
      </w:r>
    </w:p>
    <w:p w14:paraId="55E134DB">
      <w:pPr>
        <w:pStyle w:val="2"/>
        <w:pageBreakBefore w:val="0"/>
        <w:widowControl w:val="0"/>
        <w:tabs>
          <w:tab w:val="left" w:pos="1006"/>
          <w:tab w:val="clear" w:pos="864"/>
        </w:tabs>
        <w:kinsoku/>
        <w:wordWrap w:val="0"/>
        <w:overflowPunct/>
        <w:topLinePunct/>
        <w:autoSpaceDE/>
        <w:autoSpaceDN/>
        <w:bidi w:val="0"/>
        <w:snapToGrid/>
        <w:spacing w:line="520" w:lineRule="exact"/>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一、合同货物</w:t>
      </w:r>
    </w:p>
    <w:tbl>
      <w:tblPr>
        <w:tblStyle w:val="6"/>
        <w:tblW w:w="9494" w:type="dxa"/>
        <w:tblInd w:w="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75"/>
        <w:gridCol w:w="1419"/>
        <w:gridCol w:w="1043"/>
        <w:gridCol w:w="1050"/>
        <w:gridCol w:w="1419"/>
        <w:gridCol w:w="1408"/>
        <w:gridCol w:w="1580"/>
      </w:tblGrid>
      <w:tr w14:paraId="7EE4C4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3" w:hRule="atLeast"/>
        </w:trPr>
        <w:tc>
          <w:tcPr>
            <w:tcW w:w="1575" w:type="dxa"/>
            <w:tcBorders>
              <w:top w:val="single" w:color="auto" w:sz="4" w:space="0"/>
              <w:left w:val="single" w:color="auto" w:sz="4" w:space="0"/>
              <w:bottom w:val="single" w:color="auto" w:sz="4" w:space="0"/>
              <w:right w:val="single" w:color="auto" w:sz="4" w:space="0"/>
            </w:tcBorders>
            <w:noWrap w:val="0"/>
            <w:vAlign w:val="center"/>
          </w:tcPr>
          <w:p w14:paraId="1AC7138B">
            <w:pPr>
              <w:pStyle w:val="8"/>
              <w:pageBreakBefore w:val="0"/>
              <w:widowControl w:val="0"/>
              <w:kinsoku/>
              <w:wordWrap w:val="0"/>
              <w:overflowPunct/>
              <w:topLinePunct/>
              <w:autoSpaceDE/>
              <w:autoSpaceDN/>
              <w:bidi w:val="0"/>
              <w:snapToGrid/>
              <w:spacing w:line="520" w:lineRule="exact"/>
              <w:ind w:firstLine="240" w:firstLineChars="100"/>
              <w:textAlignment w:val="auto"/>
              <w:rPr>
                <w:rFonts w:hint="eastAsia" w:ascii="宋体" w:hAnsi="宋体" w:eastAsia="宋体" w:cs="宋体"/>
                <w:sz w:val="24"/>
              </w:rPr>
            </w:pPr>
            <w:r>
              <w:rPr>
                <w:rFonts w:hint="eastAsia" w:ascii="宋体" w:hAnsi="宋体" w:eastAsia="宋体" w:cs="宋体"/>
                <w:sz w:val="24"/>
              </w:rPr>
              <w:t>货物品名</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511DA581">
            <w:pPr>
              <w:pStyle w:val="8"/>
              <w:pageBreakBefore w:val="0"/>
              <w:widowControl w:val="0"/>
              <w:kinsoku/>
              <w:wordWrap w:val="0"/>
              <w:overflowPunct/>
              <w:topLinePunct/>
              <w:autoSpaceDE/>
              <w:autoSpaceDN/>
              <w:bidi w:val="0"/>
              <w:snapToGrid/>
              <w:spacing w:line="520" w:lineRule="exact"/>
              <w:jc w:val="center"/>
              <w:textAlignment w:val="auto"/>
              <w:rPr>
                <w:rFonts w:hint="eastAsia" w:ascii="宋体" w:hAnsi="宋体" w:eastAsia="宋体" w:cs="宋体"/>
                <w:sz w:val="24"/>
              </w:rPr>
            </w:pPr>
            <w:r>
              <w:rPr>
                <w:rFonts w:hint="eastAsia" w:ascii="宋体" w:hAnsi="宋体" w:eastAsia="宋体" w:cs="宋体"/>
                <w:sz w:val="24"/>
              </w:rPr>
              <w:t>规格型号</w:t>
            </w:r>
          </w:p>
        </w:tc>
        <w:tc>
          <w:tcPr>
            <w:tcW w:w="1043" w:type="dxa"/>
            <w:tcBorders>
              <w:top w:val="single" w:color="auto" w:sz="4" w:space="0"/>
              <w:left w:val="single" w:color="auto" w:sz="4" w:space="0"/>
              <w:bottom w:val="single" w:color="auto" w:sz="4" w:space="0"/>
              <w:right w:val="single" w:color="auto" w:sz="4" w:space="0"/>
            </w:tcBorders>
            <w:noWrap w:val="0"/>
            <w:vAlign w:val="center"/>
          </w:tcPr>
          <w:p w14:paraId="1D75E988">
            <w:pPr>
              <w:pStyle w:val="8"/>
              <w:pageBreakBefore w:val="0"/>
              <w:widowControl w:val="0"/>
              <w:kinsoku/>
              <w:wordWrap w:val="0"/>
              <w:overflowPunct/>
              <w:topLinePunct/>
              <w:autoSpaceDE/>
              <w:autoSpaceDN/>
              <w:bidi w:val="0"/>
              <w:snapToGrid/>
              <w:spacing w:line="520" w:lineRule="exact"/>
              <w:textAlignment w:val="auto"/>
              <w:rPr>
                <w:rFonts w:hint="eastAsia" w:ascii="宋体" w:hAnsi="宋体" w:eastAsia="宋体" w:cs="宋体"/>
                <w:sz w:val="24"/>
              </w:rPr>
            </w:pPr>
            <w:r>
              <w:rPr>
                <w:rFonts w:hint="eastAsia" w:ascii="宋体" w:hAnsi="宋体" w:eastAsia="宋体" w:cs="宋体"/>
                <w:sz w:val="24"/>
              </w:rPr>
              <w:t>单位</w:t>
            </w:r>
          </w:p>
        </w:tc>
        <w:tc>
          <w:tcPr>
            <w:tcW w:w="1050" w:type="dxa"/>
            <w:tcBorders>
              <w:top w:val="single" w:color="auto" w:sz="4" w:space="0"/>
              <w:left w:val="single" w:color="auto" w:sz="4" w:space="0"/>
              <w:bottom w:val="single" w:color="auto" w:sz="4" w:space="0"/>
              <w:right w:val="single" w:color="auto" w:sz="4" w:space="0"/>
            </w:tcBorders>
            <w:noWrap w:val="0"/>
            <w:vAlign w:val="center"/>
          </w:tcPr>
          <w:p w14:paraId="0B779B10">
            <w:pPr>
              <w:pStyle w:val="8"/>
              <w:pageBreakBefore w:val="0"/>
              <w:widowControl w:val="0"/>
              <w:kinsoku/>
              <w:wordWrap w:val="0"/>
              <w:overflowPunct/>
              <w:topLinePunct/>
              <w:autoSpaceDE/>
              <w:autoSpaceDN/>
              <w:bidi w:val="0"/>
              <w:snapToGrid/>
              <w:spacing w:line="520" w:lineRule="exact"/>
              <w:ind w:firstLine="120" w:firstLineChars="50"/>
              <w:textAlignment w:val="auto"/>
              <w:rPr>
                <w:rFonts w:hint="eastAsia" w:ascii="宋体" w:hAnsi="宋体" w:eastAsia="宋体" w:cs="宋体"/>
                <w:sz w:val="24"/>
              </w:rPr>
            </w:pPr>
            <w:r>
              <w:rPr>
                <w:rFonts w:hint="eastAsia" w:ascii="宋体" w:hAnsi="宋体" w:eastAsia="宋体" w:cs="宋体"/>
                <w:sz w:val="24"/>
              </w:rPr>
              <w:t>数量</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7C944DDC">
            <w:pPr>
              <w:pStyle w:val="8"/>
              <w:pageBreakBefore w:val="0"/>
              <w:widowControl w:val="0"/>
              <w:kinsoku/>
              <w:wordWrap w:val="0"/>
              <w:overflowPunct/>
              <w:topLinePunct/>
              <w:autoSpaceDE/>
              <w:autoSpaceDN/>
              <w:bidi w:val="0"/>
              <w:snapToGrid/>
              <w:spacing w:line="520" w:lineRule="exact"/>
              <w:ind w:firstLine="120" w:firstLineChars="50"/>
              <w:jc w:val="center"/>
              <w:textAlignment w:val="auto"/>
              <w:rPr>
                <w:rFonts w:hint="eastAsia" w:ascii="宋体" w:hAnsi="宋体" w:eastAsia="宋体" w:cs="宋体"/>
                <w:sz w:val="24"/>
              </w:rPr>
            </w:pPr>
            <w:r>
              <w:rPr>
                <w:rFonts w:hint="eastAsia" w:ascii="宋体" w:hAnsi="宋体" w:eastAsia="宋体" w:cs="宋体"/>
                <w:sz w:val="24"/>
              </w:rPr>
              <w:t>单价(元)</w:t>
            </w:r>
          </w:p>
        </w:tc>
        <w:tc>
          <w:tcPr>
            <w:tcW w:w="1408" w:type="dxa"/>
            <w:tcBorders>
              <w:top w:val="single" w:color="auto" w:sz="4" w:space="0"/>
              <w:left w:val="single" w:color="auto" w:sz="4" w:space="0"/>
              <w:bottom w:val="single" w:color="auto" w:sz="4" w:space="0"/>
              <w:right w:val="single" w:color="auto" w:sz="4" w:space="0"/>
            </w:tcBorders>
            <w:noWrap w:val="0"/>
            <w:vAlign w:val="center"/>
          </w:tcPr>
          <w:p w14:paraId="5A6B671E">
            <w:pPr>
              <w:pStyle w:val="8"/>
              <w:pageBreakBefore w:val="0"/>
              <w:widowControl w:val="0"/>
              <w:kinsoku/>
              <w:wordWrap w:val="0"/>
              <w:overflowPunct/>
              <w:topLinePunct/>
              <w:autoSpaceDE/>
              <w:autoSpaceDN/>
              <w:bidi w:val="0"/>
              <w:snapToGrid/>
              <w:spacing w:line="520" w:lineRule="exact"/>
              <w:jc w:val="left"/>
              <w:textAlignment w:val="auto"/>
              <w:rPr>
                <w:rFonts w:hint="eastAsia" w:ascii="宋体" w:hAnsi="宋体" w:eastAsia="宋体" w:cs="宋体"/>
                <w:sz w:val="24"/>
              </w:rPr>
            </w:pPr>
            <w:r>
              <w:rPr>
                <w:rFonts w:hint="eastAsia" w:ascii="宋体" w:hAnsi="宋体" w:eastAsia="宋体" w:cs="宋体"/>
                <w:sz w:val="24"/>
              </w:rPr>
              <w:t>总价(元)</w:t>
            </w:r>
          </w:p>
        </w:tc>
        <w:tc>
          <w:tcPr>
            <w:tcW w:w="1580" w:type="dxa"/>
            <w:tcBorders>
              <w:top w:val="single" w:color="auto" w:sz="4" w:space="0"/>
              <w:left w:val="single" w:color="auto" w:sz="4" w:space="0"/>
              <w:bottom w:val="single" w:color="auto" w:sz="4" w:space="0"/>
              <w:right w:val="single" w:color="auto" w:sz="4" w:space="0"/>
            </w:tcBorders>
            <w:noWrap w:val="0"/>
            <w:vAlign w:val="center"/>
          </w:tcPr>
          <w:p w14:paraId="6C69CFDE">
            <w:pPr>
              <w:pStyle w:val="8"/>
              <w:pageBreakBefore w:val="0"/>
              <w:widowControl w:val="0"/>
              <w:kinsoku/>
              <w:wordWrap w:val="0"/>
              <w:overflowPunct/>
              <w:topLinePunct/>
              <w:autoSpaceDE/>
              <w:autoSpaceDN/>
              <w:bidi w:val="0"/>
              <w:snapToGrid/>
              <w:spacing w:line="520" w:lineRule="exact"/>
              <w:ind w:firstLine="120" w:firstLineChars="50"/>
              <w:textAlignment w:val="auto"/>
              <w:rPr>
                <w:rFonts w:hint="eastAsia" w:ascii="宋体" w:hAnsi="宋体" w:eastAsia="宋体" w:cs="宋体"/>
                <w:sz w:val="24"/>
              </w:rPr>
            </w:pPr>
            <w:r>
              <w:rPr>
                <w:rFonts w:hint="eastAsia" w:ascii="宋体" w:hAnsi="宋体" w:eastAsia="宋体" w:cs="宋体"/>
                <w:sz w:val="24"/>
              </w:rPr>
              <w:t>交货期</w:t>
            </w:r>
          </w:p>
        </w:tc>
      </w:tr>
      <w:tr w14:paraId="3BC299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1575" w:type="dxa"/>
            <w:tcBorders>
              <w:top w:val="single" w:color="auto" w:sz="4" w:space="0"/>
              <w:left w:val="single" w:color="auto" w:sz="4" w:space="0"/>
              <w:bottom w:val="single" w:color="auto" w:sz="4" w:space="0"/>
              <w:right w:val="single" w:color="auto" w:sz="4" w:space="0"/>
            </w:tcBorders>
            <w:noWrap w:val="0"/>
            <w:vAlign w:val="center"/>
          </w:tcPr>
          <w:p w14:paraId="38D50864">
            <w:pPr>
              <w:pStyle w:val="8"/>
              <w:pageBreakBefore w:val="0"/>
              <w:widowControl w:val="0"/>
              <w:kinsoku/>
              <w:wordWrap w:val="0"/>
              <w:overflowPunct/>
              <w:topLinePunct/>
              <w:autoSpaceDE/>
              <w:autoSpaceDN/>
              <w:bidi w:val="0"/>
              <w:snapToGrid/>
              <w:spacing w:line="52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06AF9608">
            <w:pPr>
              <w:pStyle w:val="8"/>
              <w:pageBreakBefore w:val="0"/>
              <w:widowControl w:val="0"/>
              <w:kinsoku/>
              <w:wordWrap w:val="0"/>
              <w:overflowPunct/>
              <w:topLinePunct/>
              <w:autoSpaceDE/>
              <w:autoSpaceDN/>
              <w:bidi w:val="0"/>
              <w:snapToGrid/>
              <w:spacing w:line="52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043" w:type="dxa"/>
            <w:tcBorders>
              <w:top w:val="single" w:color="auto" w:sz="4" w:space="0"/>
              <w:left w:val="single" w:color="auto" w:sz="4" w:space="0"/>
              <w:bottom w:val="single" w:color="auto" w:sz="4" w:space="0"/>
              <w:right w:val="single" w:color="auto" w:sz="4" w:space="0"/>
            </w:tcBorders>
            <w:noWrap w:val="0"/>
            <w:vAlign w:val="center"/>
          </w:tcPr>
          <w:p w14:paraId="4F527593">
            <w:pPr>
              <w:pStyle w:val="8"/>
              <w:pageBreakBefore w:val="0"/>
              <w:widowControl w:val="0"/>
              <w:kinsoku/>
              <w:wordWrap w:val="0"/>
              <w:overflowPunct/>
              <w:topLinePunct/>
              <w:autoSpaceDE/>
              <w:autoSpaceDN/>
              <w:bidi w:val="0"/>
              <w:snapToGrid/>
              <w:spacing w:line="52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050" w:type="dxa"/>
            <w:tcBorders>
              <w:top w:val="single" w:color="auto" w:sz="4" w:space="0"/>
              <w:left w:val="single" w:color="auto" w:sz="4" w:space="0"/>
              <w:bottom w:val="single" w:color="auto" w:sz="4" w:space="0"/>
              <w:right w:val="single" w:color="auto" w:sz="4" w:space="0"/>
            </w:tcBorders>
            <w:noWrap w:val="0"/>
            <w:vAlign w:val="center"/>
          </w:tcPr>
          <w:p w14:paraId="114F31DE">
            <w:pPr>
              <w:pStyle w:val="8"/>
              <w:pageBreakBefore w:val="0"/>
              <w:widowControl w:val="0"/>
              <w:kinsoku/>
              <w:wordWrap w:val="0"/>
              <w:overflowPunct/>
              <w:topLinePunct/>
              <w:autoSpaceDE/>
              <w:autoSpaceDN/>
              <w:bidi w:val="0"/>
              <w:snapToGrid/>
              <w:spacing w:line="52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6C3E17F1">
            <w:pPr>
              <w:pStyle w:val="8"/>
              <w:pageBreakBefore w:val="0"/>
              <w:widowControl w:val="0"/>
              <w:kinsoku/>
              <w:wordWrap w:val="0"/>
              <w:overflowPunct/>
              <w:topLinePunct/>
              <w:autoSpaceDE/>
              <w:autoSpaceDN/>
              <w:bidi w:val="0"/>
              <w:snapToGrid/>
              <w:spacing w:line="52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408" w:type="dxa"/>
            <w:tcBorders>
              <w:top w:val="single" w:color="auto" w:sz="4" w:space="0"/>
              <w:left w:val="single" w:color="auto" w:sz="4" w:space="0"/>
              <w:bottom w:val="single" w:color="auto" w:sz="4" w:space="0"/>
              <w:right w:val="single" w:color="auto" w:sz="4" w:space="0"/>
            </w:tcBorders>
            <w:noWrap w:val="0"/>
            <w:vAlign w:val="center"/>
          </w:tcPr>
          <w:p w14:paraId="45329D03">
            <w:pPr>
              <w:pStyle w:val="8"/>
              <w:pageBreakBefore w:val="0"/>
              <w:widowControl w:val="0"/>
              <w:kinsoku/>
              <w:wordWrap w:val="0"/>
              <w:overflowPunct/>
              <w:topLinePunct/>
              <w:autoSpaceDE/>
              <w:autoSpaceDN/>
              <w:bidi w:val="0"/>
              <w:snapToGrid/>
              <w:spacing w:line="52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580" w:type="dxa"/>
            <w:tcBorders>
              <w:top w:val="single" w:color="auto" w:sz="4" w:space="0"/>
              <w:left w:val="single" w:color="auto" w:sz="4" w:space="0"/>
              <w:bottom w:val="single" w:color="auto" w:sz="4" w:space="0"/>
              <w:right w:val="single" w:color="auto" w:sz="4" w:space="0"/>
            </w:tcBorders>
            <w:noWrap w:val="0"/>
            <w:vAlign w:val="center"/>
          </w:tcPr>
          <w:p w14:paraId="2A520BD9">
            <w:pPr>
              <w:pStyle w:val="8"/>
              <w:pageBreakBefore w:val="0"/>
              <w:widowControl w:val="0"/>
              <w:kinsoku/>
              <w:wordWrap w:val="0"/>
              <w:overflowPunct/>
              <w:topLinePunct/>
              <w:autoSpaceDE/>
              <w:autoSpaceDN/>
              <w:bidi w:val="0"/>
              <w:snapToGrid/>
              <w:spacing w:line="520" w:lineRule="exact"/>
              <w:jc w:val="center"/>
              <w:textAlignment w:val="auto"/>
              <w:rPr>
                <w:rFonts w:hint="eastAsia" w:ascii="宋体" w:hAnsi="宋体" w:eastAsia="宋体" w:cs="宋体"/>
                <w:sz w:val="24"/>
              </w:rPr>
            </w:pPr>
            <w:r>
              <w:rPr>
                <w:rFonts w:hint="eastAsia" w:ascii="宋体" w:hAnsi="宋体" w:eastAsia="宋体" w:cs="宋体"/>
                <w:sz w:val="24"/>
              </w:rPr>
              <w:t> </w:t>
            </w:r>
          </w:p>
        </w:tc>
      </w:tr>
      <w:tr w14:paraId="490A45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1575" w:type="dxa"/>
            <w:tcBorders>
              <w:top w:val="single" w:color="auto" w:sz="4" w:space="0"/>
              <w:left w:val="single" w:color="auto" w:sz="4" w:space="0"/>
              <w:bottom w:val="single" w:color="auto" w:sz="4" w:space="0"/>
              <w:right w:val="single" w:color="auto" w:sz="4" w:space="0"/>
            </w:tcBorders>
            <w:noWrap w:val="0"/>
            <w:vAlign w:val="center"/>
          </w:tcPr>
          <w:p w14:paraId="0A8D5DC7">
            <w:pPr>
              <w:pStyle w:val="8"/>
              <w:pageBreakBefore w:val="0"/>
              <w:widowControl w:val="0"/>
              <w:kinsoku/>
              <w:wordWrap w:val="0"/>
              <w:overflowPunct/>
              <w:topLinePunct/>
              <w:autoSpaceDE/>
              <w:autoSpaceDN/>
              <w:bidi w:val="0"/>
              <w:snapToGrid/>
              <w:spacing w:line="52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0F47AB10">
            <w:pPr>
              <w:pStyle w:val="8"/>
              <w:pageBreakBefore w:val="0"/>
              <w:widowControl w:val="0"/>
              <w:kinsoku/>
              <w:wordWrap w:val="0"/>
              <w:overflowPunct/>
              <w:topLinePunct/>
              <w:autoSpaceDE/>
              <w:autoSpaceDN/>
              <w:bidi w:val="0"/>
              <w:snapToGrid/>
              <w:spacing w:line="52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043" w:type="dxa"/>
            <w:tcBorders>
              <w:top w:val="single" w:color="auto" w:sz="4" w:space="0"/>
              <w:left w:val="single" w:color="auto" w:sz="4" w:space="0"/>
              <w:bottom w:val="single" w:color="auto" w:sz="4" w:space="0"/>
              <w:right w:val="single" w:color="auto" w:sz="4" w:space="0"/>
            </w:tcBorders>
            <w:noWrap w:val="0"/>
            <w:vAlign w:val="center"/>
          </w:tcPr>
          <w:p w14:paraId="1449DC62">
            <w:pPr>
              <w:pStyle w:val="8"/>
              <w:pageBreakBefore w:val="0"/>
              <w:widowControl w:val="0"/>
              <w:kinsoku/>
              <w:wordWrap w:val="0"/>
              <w:overflowPunct/>
              <w:topLinePunct/>
              <w:autoSpaceDE/>
              <w:autoSpaceDN/>
              <w:bidi w:val="0"/>
              <w:snapToGrid/>
              <w:spacing w:line="52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050" w:type="dxa"/>
            <w:tcBorders>
              <w:top w:val="single" w:color="auto" w:sz="4" w:space="0"/>
              <w:left w:val="single" w:color="auto" w:sz="4" w:space="0"/>
              <w:bottom w:val="single" w:color="auto" w:sz="4" w:space="0"/>
              <w:right w:val="single" w:color="auto" w:sz="4" w:space="0"/>
            </w:tcBorders>
            <w:noWrap w:val="0"/>
            <w:vAlign w:val="center"/>
          </w:tcPr>
          <w:p w14:paraId="2FFE7B2A">
            <w:pPr>
              <w:pStyle w:val="8"/>
              <w:pageBreakBefore w:val="0"/>
              <w:widowControl w:val="0"/>
              <w:kinsoku/>
              <w:wordWrap w:val="0"/>
              <w:overflowPunct/>
              <w:topLinePunct/>
              <w:autoSpaceDE/>
              <w:autoSpaceDN/>
              <w:bidi w:val="0"/>
              <w:snapToGrid/>
              <w:spacing w:line="52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7EE96785">
            <w:pPr>
              <w:pStyle w:val="8"/>
              <w:pageBreakBefore w:val="0"/>
              <w:widowControl w:val="0"/>
              <w:kinsoku/>
              <w:wordWrap w:val="0"/>
              <w:overflowPunct/>
              <w:topLinePunct/>
              <w:autoSpaceDE/>
              <w:autoSpaceDN/>
              <w:bidi w:val="0"/>
              <w:snapToGrid/>
              <w:spacing w:line="52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408" w:type="dxa"/>
            <w:tcBorders>
              <w:top w:val="single" w:color="auto" w:sz="4" w:space="0"/>
              <w:left w:val="single" w:color="auto" w:sz="4" w:space="0"/>
              <w:bottom w:val="single" w:color="auto" w:sz="4" w:space="0"/>
              <w:right w:val="single" w:color="auto" w:sz="4" w:space="0"/>
            </w:tcBorders>
            <w:noWrap w:val="0"/>
            <w:vAlign w:val="center"/>
          </w:tcPr>
          <w:p w14:paraId="327EB2DA">
            <w:pPr>
              <w:pStyle w:val="8"/>
              <w:pageBreakBefore w:val="0"/>
              <w:widowControl w:val="0"/>
              <w:kinsoku/>
              <w:wordWrap w:val="0"/>
              <w:overflowPunct/>
              <w:topLinePunct/>
              <w:autoSpaceDE/>
              <w:autoSpaceDN/>
              <w:bidi w:val="0"/>
              <w:snapToGrid/>
              <w:spacing w:line="520" w:lineRule="exact"/>
              <w:jc w:val="center"/>
              <w:textAlignment w:val="auto"/>
              <w:rPr>
                <w:rFonts w:hint="eastAsia" w:ascii="宋体" w:hAnsi="宋体" w:eastAsia="宋体" w:cs="宋体"/>
                <w:sz w:val="24"/>
              </w:rPr>
            </w:pPr>
            <w:r>
              <w:rPr>
                <w:rFonts w:hint="eastAsia" w:ascii="宋体" w:hAnsi="宋体" w:eastAsia="宋体" w:cs="宋体"/>
                <w:sz w:val="24"/>
              </w:rPr>
              <w:t> </w:t>
            </w:r>
          </w:p>
        </w:tc>
        <w:tc>
          <w:tcPr>
            <w:tcW w:w="1580" w:type="dxa"/>
            <w:tcBorders>
              <w:top w:val="single" w:color="auto" w:sz="4" w:space="0"/>
              <w:left w:val="single" w:color="auto" w:sz="4" w:space="0"/>
              <w:bottom w:val="single" w:color="auto" w:sz="4" w:space="0"/>
              <w:right w:val="single" w:color="auto" w:sz="4" w:space="0"/>
            </w:tcBorders>
            <w:noWrap w:val="0"/>
            <w:vAlign w:val="center"/>
          </w:tcPr>
          <w:p w14:paraId="7563309A">
            <w:pPr>
              <w:pStyle w:val="8"/>
              <w:pageBreakBefore w:val="0"/>
              <w:widowControl w:val="0"/>
              <w:kinsoku/>
              <w:wordWrap w:val="0"/>
              <w:overflowPunct/>
              <w:topLinePunct/>
              <w:autoSpaceDE/>
              <w:autoSpaceDN/>
              <w:bidi w:val="0"/>
              <w:snapToGrid/>
              <w:spacing w:line="520" w:lineRule="exact"/>
              <w:jc w:val="center"/>
              <w:textAlignment w:val="auto"/>
              <w:rPr>
                <w:rFonts w:hint="eastAsia" w:ascii="宋体" w:hAnsi="宋体" w:eastAsia="宋体" w:cs="宋体"/>
                <w:sz w:val="24"/>
              </w:rPr>
            </w:pPr>
            <w:r>
              <w:rPr>
                <w:rFonts w:hint="eastAsia" w:ascii="宋体" w:hAnsi="宋体" w:eastAsia="宋体" w:cs="宋体"/>
                <w:sz w:val="24"/>
              </w:rPr>
              <w:t> </w:t>
            </w:r>
          </w:p>
        </w:tc>
      </w:tr>
      <w:tr w14:paraId="2D2C4E7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1575" w:type="dxa"/>
            <w:tcBorders>
              <w:top w:val="single" w:color="auto" w:sz="4" w:space="0"/>
              <w:left w:val="single" w:color="auto" w:sz="4" w:space="0"/>
              <w:bottom w:val="single" w:color="auto" w:sz="4" w:space="0"/>
              <w:right w:val="single" w:color="auto" w:sz="4" w:space="0"/>
            </w:tcBorders>
            <w:noWrap w:val="0"/>
            <w:vAlign w:val="center"/>
          </w:tcPr>
          <w:p w14:paraId="6464C565">
            <w:pPr>
              <w:pStyle w:val="8"/>
              <w:pageBreakBefore w:val="0"/>
              <w:widowControl w:val="0"/>
              <w:kinsoku/>
              <w:wordWrap w:val="0"/>
              <w:overflowPunct/>
              <w:topLinePunct/>
              <w:autoSpaceDE/>
              <w:autoSpaceDN/>
              <w:bidi w:val="0"/>
              <w:snapToGrid/>
              <w:spacing w:line="520" w:lineRule="exact"/>
              <w:jc w:val="center"/>
              <w:textAlignment w:val="auto"/>
              <w:rPr>
                <w:rFonts w:hint="default" w:ascii="宋体" w:hAnsi="宋体" w:eastAsia="宋体" w:cs="宋体"/>
                <w:sz w:val="24"/>
                <w:lang w:val="en-US" w:eastAsia="zh-CN"/>
              </w:rPr>
            </w:pPr>
            <w:r>
              <w:rPr>
                <w:rFonts w:hint="eastAsia" w:ascii="宋体" w:hAnsi="宋体" w:eastAsia="宋体" w:cs="宋体"/>
                <w:sz w:val="24"/>
                <w:lang w:val="en-US" w:eastAsia="zh-CN"/>
              </w:rPr>
              <w:t>...</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5F730613">
            <w:pPr>
              <w:pStyle w:val="8"/>
              <w:pageBreakBefore w:val="0"/>
              <w:widowControl w:val="0"/>
              <w:kinsoku/>
              <w:wordWrap w:val="0"/>
              <w:overflowPunct/>
              <w:topLinePunct/>
              <w:autoSpaceDE/>
              <w:autoSpaceDN/>
              <w:bidi w:val="0"/>
              <w:snapToGrid/>
              <w:spacing w:line="520" w:lineRule="exact"/>
              <w:jc w:val="center"/>
              <w:textAlignment w:val="auto"/>
              <w:rPr>
                <w:rFonts w:hint="default" w:ascii="宋体" w:hAnsi="宋体" w:eastAsia="宋体" w:cs="宋体"/>
                <w:sz w:val="24"/>
                <w:lang w:val="en-US" w:eastAsia="zh-CN"/>
              </w:rPr>
            </w:pPr>
            <w:r>
              <w:rPr>
                <w:rFonts w:hint="eastAsia" w:ascii="宋体" w:hAnsi="宋体" w:eastAsia="宋体" w:cs="宋体"/>
                <w:sz w:val="24"/>
                <w:lang w:val="en-US" w:eastAsia="zh-CN"/>
              </w:rPr>
              <w:t>..</w:t>
            </w:r>
          </w:p>
        </w:tc>
        <w:tc>
          <w:tcPr>
            <w:tcW w:w="1043" w:type="dxa"/>
            <w:tcBorders>
              <w:top w:val="single" w:color="auto" w:sz="4" w:space="0"/>
              <w:left w:val="single" w:color="auto" w:sz="4" w:space="0"/>
              <w:bottom w:val="single" w:color="auto" w:sz="4" w:space="0"/>
              <w:right w:val="single" w:color="auto" w:sz="4" w:space="0"/>
            </w:tcBorders>
            <w:noWrap w:val="0"/>
            <w:vAlign w:val="center"/>
          </w:tcPr>
          <w:p w14:paraId="379B28AD">
            <w:pPr>
              <w:pStyle w:val="8"/>
              <w:pageBreakBefore w:val="0"/>
              <w:widowControl w:val="0"/>
              <w:kinsoku/>
              <w:wordWrap w:val="0"/>
              <w:overflowPunct/>
              <w:topLinePunct/>
              <w:autoSpaceDE/>
              <w:autoSpaceDN/>
              <w:bidi w:val="0"/>
              <w:snapToGrid/>
              <w:spacing w:line="520" w:lineRule="exact"/>
              <w:jc w:val="center"/>
              <w:textAlignment w:val="auto"/>
              <w:rPr>
                <w:rFonts w:hint="default" w:ascii="宋体" w:hAnsi="宋体" w:eastAsia="宋体" w:cs="宋体"/>
                <w:sz w:val="24"/>
                <w:lang w:val="en-US" w:eastAsia="zh-CN"/>
              </w:rPr>
            </w:pPr>
            <w:r>
              <w:rPr>
                <w:rFonts w:hint="eastAsia" w:ascii="宋体" w:hAnsi="宋体" w:eastAsia="宋体" w:cs="宋体"/>
                <w:sz w:val="24"/>
                <w:lang w:val="en-US" w:eastAsia="zh-CN"/>
              </w:rPr>
              <w:t>..</w:t>
            </w:r>
          </w:p>
        </w:tc>
        <w:tc>
          <w:tcPr>
            <w:tcW w:w="1050" w:type="dxa"/>
            <w:tcBorders>
              <w:top w:val="single" w:color="auto" w:sz="4" w:space="0"/>
              <w:left w:val="single" w:color="auto" w:sz="4" w:space="0"/>
              <w:bottom w:val="single" w:color="auto" w:sz="4" w:space="0"/>
              <w:right w:val="single" w:color="auto" w:sz="4" w:space="0"/>
            </w:tcBorders>
            <w:noWrap w:val="0"/>
            <w:vAlign w:val="center"/>
          </w:tcPr>
          <w:p w14:paraId="46207F1C">
            <w:pPr>
              <w:pStyle w:val="8"/>
              <w:pageBreakBefore w:val="0"/>
              <w:widowControl w:val="0"/>
              <w:kinsoku/>
              <w:wordWrap w:val="0"/>
              <w:overflowPunct/>
              <w:topLinePunct/>
              <w:autoSpaceDE/>
              <w:autoSpaceDN/>
              <w:bidi w:val="0"/>
              <w:snapToGrid/>
              <w:spacing w:line="520" w:lineRule="exact"/>
              <w:jc w:val="center"/>
              <w:textAlignment w:val="auto"/>
              <w:rPr>
                <w:rFonts w:hint="default" w:ascii="宋体" w:hAnsi="宋体" w:eastAsia="宋体" w:cs="宋体"/>
                <w:sz w:val="24"/>
                <w:lang w:val="en-US" w:eastAsia="zh-CN"/>
              </w:rPr>
            </w:pPr>
            <w:r>
              <w:rPr>
                <w:rFonts w:hint="eastAsia" w:ascii="宋体" w:hAnsi="宋体" w:eastAsia="宋体" w:cs="宋体"/>
                <w:sz w:val="24"/>
                <w:lang w:val="en-US" w:eastAsia="zh-CN"/>
              </w:rPr>
              <w:t>..</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7C42B713">
            <w:pPr>
              <w:pStyle w:val="8"/>
              <w:pageBreakBefore w:val="0"/>
              <w:widowControl w:val="0"/>
              <w:kinsoku/>
              <w:wordWrap w:val="0"/>
              <w:overflowPunct/>
              <w:topLinePunct/>
              <w:autoSpaceDE/>
              <w:autoSpaceDN/>
              <w:bidi w:val="0"/>
              <w:snapToGrid/>
              <w:spacing w:line="520" w:lineRule="exact"/>
              <w:jc w:val="center"/>
              <w:textAlignment w:val="auto"/>
              <w:rPr>
                <w:rFonts w:hint="default" w:ascii="宋体" w:hAnsi="宋体" w:eastAsia="宋体" w:cs="宋体"/>
                <w:sz w:val="24"/>
                <w:lang w:val="en-US" w:eastAsia="zh-CN"/>
              </w:rPr>
            </w:pPr>
            <w:r>
              <w:rPr>
                <w:rFonts w:hint="eastAsia" w:ascii="宋体" w:hAnsi="宋体" w:eastAsia="宋体" w:cs="宋体"/>
                <w:sz w:val="24"/>
                <w:lang w:val="en-US" w:eastAsia="zh-CN"/>
              </w:rPr>
              <w:t>..</w:t>
            </w:r>
          </w:p>
        </w:tc>
        <w:tc>
          <w:tcPr>
            <w:tcW w:w="1408" w:type="dxa"/>
            <w:tcBorders>
              <w:top w:val="single" w:color="auto" w:sz="4" w:space="0"/>
              <w:left w:val="single" w:color="auto" w:sz="4" w:space="0"/>
              <w:bottom w:val="single" w:color="auto" w:sz="4" w:space="0"/>
              <w:right w:val="single" w:color="auto" w:sz="4" w:space="0"/>
            </w:tcBorders>
            <w:noWrap w:val="0"/>
            <w:vAlign w:val="center"/>
          </w:tcPr>
          <w:p w14:paraId="25B26BE3">
            <w:pPr>
              <w:pStyle w:val="8"/>
              <w:pageBreakBefore w:val="0"/>
              <w:widowControl w:val="0"/>
              <w:kinsoku/>
              <w:wordWrap w:val="0"/>
              <w:overflowPunct/>
              <w:topLinePunct/>
              <w:autoSpaceDE/>
              <w:autoSpaceDN/>
              <w:bidi w:val="0"/>
              <w:snapToGrid/>
              <w:spacing w:line="520" w:lineRule="exact"/>
              <w:jc w:val="center"/>
              <w:textAlignment w:val="auto"/>
              <w:rPr>
                <w:rFonts w:hint="default" w:ascii="宋体" w:hAnsi="宋体" w:eastAsia="宋体" w:cs="宋体"/>
                <w:sz w:val="24"/>
                <w:lang w:val="en-US" w:eastAsia="zh-CN"/>
              </w:rPr>
            </w:pPr>
            <w:r>
              <w:rPr>
                <w:rFonts w:hint="eastAsia" w:ascii="宋体" w:hAnsi="宋体" w:eastAsia="宋体" w:cs="宋体"/>
                <w:sz w:val="24"/>
                <w:lang w:val="en-US" w:eastAsia="zh-CN"/>
              </w:rPr>
              <w:t>..</w:t>
            </w:r>
          </w:p>
        </w:tc>
        <w:tc>
          <w:tcPr>
            <w:tcW w:w="1580" w:type="dxa"/>
            <w:tcBorders>
              <w:top w:val="single" w:color="auto" w:sz="4" w:space="0"/>
              <w:left w:val="single" w:color="auto" w:sz="4" w:space="0"/>
              <w:bottom w:val="single" w:color="auto" w:sz="4" w:space="0"/>
              <w:right w:val="single" w:color="auto" w:sz="4" w:space="0"/>
            </w:tcBorders>
            <w:noWrap w:val="0"/>
            <w:vAlign w:val="center"/>
          </w:tcPr>
          <w:p w14:paraId="5121ADF3">
            <w:pPr>
              <w:pStyle w:val="8"/>
              <w:pageBreakBefore w:val="0"/>
              <w:widowControl w:val="0"/>
              <w:kinsoku/>
              <w:wordWrap w:val="0"/>
              <w:overflowPunct/>
              <w:topLinePunct/>
              <w:autoSpaceDE/>
              <w:autoSpaceDN/>
              <w:bidi w:val="0"/>
              <w:snapToGrid/>
              <w:spacing w:line="520" w:lineRule="exact"/>
              <w:jc w:val="center"/>
              <w:textAlignment w:val="auto"/>
              <w:rPr>
                <w:rFonts w:hint="default" w:ascii="宋体" w:hAnsi="宋体" w:eastAsia="宋体" w:cs="宋体"/>
                <w:sz w:val="24"/>
                <w:lang w:val="en-US" w:eastAsia="zh-CN"/>
              </w:rPr>
            </w:pPr>
            <w:r>
              <w:rPr>
                <w:rFonts w:hint="eastAsia" w:ascii="宋体" w:hAnsi="宋体" w:eastAsia="宋体" w:cs="宋体"/>
                <w:sz w:val="24"/>
                <w:lang w:val="en-US" w:eastAsia="zh-CN"/>
              </w:rPr>
              <w:t>..</w:t>
            </w:r>
          </w:p>
        </w:tc>
      </w:tr>
    </w:tbl>
    <w:p w14:paraId="0E90FE2A">
      <w:pPr>
        <w:pStyle w:val="2"/>
        <w:pageBreakBefore w:val="0"/>
        <w:widowControl w:val="0"/>
        <w:tabs>
          <w:tab w:val="left" w:pos="1006"/>
          <w:tab w:val="clear" w:pos="864"/>
        </w:tabs>
        <w:kinsoku/>
        <w:wordWrap w:val="0"/>
        <w:overflowPunct/>
        <w:topLinePunct/>
        <w:autoSpaceDE/>
        <w:autoSpaceDN/>
        <w:bidi w:val="0"/>
        <w:snapToGrid/>
        <w:spacing w:line="520" w:lineRule="exact"/>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二、合同总价</w:t>
      </w:r>
    </w:p>
    <w:p w14:paraId="259202AB">
      <w:pPr>
        <w:pStyle w:val="9"/>
        <w:pageBreakBefore w:val="0"/>
        <w:widowControl w:val="0"/>
        <w:kinsoku/>
        <w:wordWrap w:val="0"/>
        <w:overflowPunct/>
        <w:topLinePunct/>
        <w:autoSpaceDE/>
        <w:autoSpaceDN/>
        <w:bidi w:val="0"/>
        <w:snapToGrid/>
        <w:spacing w:line="520" w:lineRule="exact"/>
        <w:ind w:firstLine="420" w:firstLineChars="175"/>
        <w:textAlignment w:val="auto"/>
        <w:rPr>
          <w:rFonts w:hint="eastAsia" w:ascii="宋体" w:hAnsi="宋体" w:eastAsia="宋体" w:cs="宋体"/>
        </w:rPr>
      </w:pPr>
      <w:r>
        <w:rPr>
          <w:rFonts w:hint="eastAsia" w:ascii="宋体" w:hAnsi="宋体" w:eastAsia="宋体" w:cs="宋体"/>
        </w:rPr>
        <w:t>合同总价为人民币大写：</w:t>
      </w:r>
      <w:r>
        <w:rPr>
          <w:rFonts w:hint="eastAsia" w:ascii="宋体" w:hAnsi="宋体" w:eastAsia="宋体" w:cs="宋体"/>
          <w:u w:val="single"/>
        </w:rPr>
        <w:t xml:space="preserve">              </w:t>
      </w:r>
      <w:r>
        <w:rPr>
          <w:rFonts w:hint="eastAsia" w:ascii="宋体" w:hAnsi="宋体" w:eastAsia="宋体" w:cs="宋体"/>
        </w:rPr>
        <w:t>元，即</w:t>
      </w:r>
      <w:r>
        <w:rPr>
          <w:rFonts w:hint="eastAsia" w:ascii="宋体" w:hAnsi="宋体" w:cs="宋体"/>
          <w:lang w:eastAsia="zh-CN"/>
        </w:rPr>
        <w:t>人民币</w:t>
      </w:r>
      <w:bookmarkStart w:id="45" w:name="_GoBack"/>
      <w:bookmarkEnd w:id="45"/>
      <w:r>
        <w:rPr>
          <w:rFonts w:hint="eastAsia" w:ascii="宋体" w:hAnsi="宋体" w:eastAsia="宋体" w:cs="宋体"/>
          <w:u w:val="single"/>
        </w:rPr>
        <w:t xml:space="preserve">              </w:t>
      </w:r>
      <w:r>
        <w:rPr>
          <w:rFonts w:hint="eastAsia" w:ascii="宋体" w:hAnsi="宋体" w:eastAsia="宋体" w:cs="宋体"/>
        </w:rPr>
        <w:t>元；该合同总价已包括货物制造、包装、运输、</w:t>
      </w:r>
      <w:r>
        <w:rPr>
          <w:rFonts w:hint="eastAsia" w:ascii="宋体" w:hAnsi="宋体" w:cs="宋体"/>
          <w:lang w:val="en-US" w:eastAsia="zh-CN"/>
        </w:rPr>
        <w:t>关税、</w:t>
      </w:r>
      <w:r>
        <w:rPr>
          <w:rFonts w:hint="eastAsia" w:ascii="宋体" w:hAnsi="宋体" w:eastAsia="宋体" w:cs="宋体"/>
        </w:rPr>
        <w:t>安装、调试、检测、验收合格交付使用之前及保修期内保修服务与备用物件等等所有其他有关各项的含税费用。本合同执行期间合同总价不变，</w:t>
      </w:r>
      <w:r>
        <w:rPr>
          <w:rFonts w:hint="eastAsia" w:ascii="宋体" w:hAnsi="宋体" w:cs="宋体"/>
          <w:lang w:eastAsia="zh-CN"/>
        </w:rPr>
        <w:t>甲方</w:t>
      </w:r>
      <w:r>
        <w:rPr>
          <w:rFonts w:hint="eastAsia" w:ascii="宋体" w:hAnsi="宋体" w:eastAsia="宋体" w:cs="宋体"/>
        </w:rPr>
        <w:t>无须另向</w:t>
      </w:r>
      <w:r>
        <w:rPr>
          <w:rFonts w:hint="eastAsia" w:ascii="宋体" w:hAnsi="宋体" w:cs="宋体"/>
          <w:lang w:eastAsia="zh-CN"/>
        </w:rPr>
        <w:t>乙方</w:t>
      </w:r>
      <w:r>
        <w:rPr>
          <w:rFonts w:hint="eastAsia" w:ascii="宋体" w:hAnsi="宋体" w:eastAsia="宋体" w:cs="宋体"/>
        </w:rPr>
        <w:t>支付本合同规定之外的其他任何费用。</w:t>
      </w:r>
    </w:p>
    <w:p w14:paraId="2C3A4EF5">
      <w:pPr>
        <w:pStyle w:val="12"/>
        <w:pageBreakBefore w:val="0"/>
        <w:widowControl w:val="0"/>
        <w:numPr>
          <w:ilvl w:val="0"/>
          <w:numId w:val="1"/>
        </w:numPr>
        <w:overflowPunct/>
        <w:autoSpaceDE/>
        <w:autoSpaceDN/>
        <w:bidi w:val="0"/>
        <w:spacing w:line="520" w:lineRule="exact"/>
        <w:ind w:left="0" w:leftChars="0" w:firstLine="0" w:firstLineChars="0"/>
        <w:textAlignment w:val="auto"/>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付款方式和条件：</w:t>
      </w:r>
    </w:p>
    <w:p w14:paraId="2CDEA32E">
      <w:pPr>
        <w:pStyle w:val="9"/>
        <w:pageBreakBefore w:val="0"/>
        <w:widowControl w:val="0"/>
        <w:kinsoku/>
        <w:wordWrap w:val="0"/>
        <w:overflowPunct/>
        <w:topLinePunct/>
        <w:autoSpaceDE/>
        <w:autoSpaceDN/>
        <w:bidi w:val="0"/>
        <w:snapToGrid/>
        <w:spacing w:line="520" w:lineRule="exact"/>
        <w:ind w:firstLine="420" w:firstLineChars="175"/>
        <w:textAlignment w:val="auto"/>
        <w:rPr>
          <w:rFonts w:hint="eastAsia" w:ascii="宋体" w:hAnsi="宋体" w:eastAsia="宋体" w:cs="宋体"/>
          <w:lang w:val="en-US" w:eastAsia="zh-CN"/>
        </w:rPr>
      </w:pPr>
      <w:r>
        <w:rPr>
          <w:rFonts w:hint="eastAsia" w:ascii="宋体" w:hAnsi="宋体" w:eastAsia="宋体" w:cs="宋体"/>
          <w:lang w:val="en-US" w:eastAsia="zh-CN"/>
        </w:rPr>
        <w:t>1、付款方式：全部设备安装调试完成试运行一个月后无任何质量问题，并开具符合要求且与支付款项相同</w:t>
      </w:r>
      <w:r>
        <w:rPr>
          <w:rFonts w:hint="eastAsia" w:ascii="宋体" w:hAnsi="宋体" w:cs="宋体"/>
          <w:lang w:val="en-US" w:eastAsia="zh-CN"/>
        </w:rPr>
        <w:t>金额的</w:t>
      </w:r>
      <w:r>
        <w:rPr>
          <w:rFonts w:hint="eastAsia" w:ascii="宋体" w:hAnsi="宋体" w:eastAsia="宋体" w:cs="宋体"/>
          <w:lang w:val="en-US" w:eastAsia="zh-CN"/>
        </w:rPr>
        <w:t>正式发票后 ，达到付款条件起15日内，支付合同总金额的40%；经我院验收小组验收合格并开具符合要求且与支付款项相同</w:t>
      </w:r>
      <w:r>
        <w:rPr>
          <w:rFonts w:hint="eastAsia" w:ascii="宋体" w:hAnsi="宋体" w:cs="宋体"/>
          <w:lang w:val="en-US" w:eastAsia="zh-CN"/>
        </w:rPr>
        <w:t>金额的</w:t>
      </w:r>
      <w:r>
        <w:rPr>
          <w:rFonts w:hint="eastAsia" w:ascii="宋体" w:hAnsi="宋体" w:eastAsia="宋体" w:cs="宋体"/>
          <w:lang w:val="en-US" w:eastAsia="zh-CN"/>
        </w:rPr>
        <w:t xml:space="preserve">正式发票后 ，达到付款条件起15日内，支付合同总金额的60%。 </w:t>
      </w:r>
    </w:p>
    <w:p w14:paraId="6091FAA3">
      <w:pPr>
        <w:pStyle w:val="9"/>
        <w:pageBreakBefore w:val="0"/>
        <w:widowControl w:val="0"/>
        <w:kinsoku/>
        <w:wordWrap w:val="0"/>
        <w:overflowPunct/>
        <w:topLinePunct/>
        <w:autoSpaceDE/>
        <w:autoSpaceDN/>
        <w:bidi w:val="0"/>
        <w:snapToGrid/>
        <w:spacing w:line="520" w:lineRule="exact"/>
        <w:ind w:firstLine="420" w:firstLineChars="175"/>
        <w:textAlignment w:val="auto"/>
        <w:rPr>
          <w:rFonts w:hint="eastAsia" w:ascii="宋体" w:hAnsi="宋体" w:eastAsia="宋体" w:cs="宋体"/>
          <w:lang w:val="en-US" w:eastAsia="zh-CN"/>
        </w:rPr>
      </w:pPr>
      <w:r>
        <w:rPr>
          <w:rFonts w:hint="eastAsia" w:ascii="宋体" w:hAnsi="宋体" w:eastAsia="宋体" w:cs="宋体"/>
          <w:lang w:val="en-US" w:eastAsia="zh-CN"/>
        </w:rPr>
        <w:t>2、支付方式：银行转账。</w:t>
      </w:r>
    </w:p>
    <w:p w14:paraId="38C95D04">
      <w:pPr>
        <w:pStyle w:val="9"/>
        <w:pageBreakBefore w:val="0"/>
        <w:widowControl w:val="0"/>
        <w:kinsoku/>
        <w:wordWrap w:val="0"/>
        <w:overflowPunct/>
        <w:topLinePunct/>
        <w:autoSpaceDE/>
        <w:autoSpaceDN/>
        <w:bidi w:val="0"/>
        <w:snapToGrid/>
        <w:spacing w:line="520" w:lineRule="exact"/>
        <w:ind w:firstLine="660" w:firstLineChars="275"/>
        <w:textAlignment w:val="auto"/>
        <w:rPr>
          <w:rFonts w:hint="eastAsia" w:ascii="宋体" w:hAnsi="宋体" w:eastAsia="宋体" w:cs="宋体"/>
          <w:lang w:val="en-US" w:eastAsia="zh-CN"/>
        </w:rPr>
      </w:pPr>
      <w:r>
        <w:rPr>
          <w:rFonts w:hint="eastAsia" w:ascii="宋体" w:hAnsi="宋体" w:eastAsia="宋体" w:cs="宋体"/>
          <w:lang w:val="en-US" w:eastAsia="zh-CN"/>
        </w:rPr>
        <w:t xml:space="preserve"> 乙方银行帐户信息如下:</w:t>
      </w:r>
    </w:p>
    <w:p w14:paraId="6A46FFF5">
      <w:pPr>
        <w:pStyle w:val="9"/>
        <w:pageBreakBefore w:val="0"/>
        <w:widowControl w:val="0"/>
        <w:kinsoku/>
        <w:wordWrap w:val="0"/>
        <w:overflowPunct/>
        <w:topLinePunct/>
        <w:autoSpaceDE/>
        <w:autoSpaceDN/>
        <w:bidi w:val="0"/>
        <w:snapToGrid/>
        <w:spacing w:line="520" w:lineRule="exact"/>
        <w:ind w:firstLine="660" w:firstLineChars="275"/>
        <w:textAlignment w:val="auto"/>
        <w:rPr>
          <w:rFonts w:hint="eastAsia" w:ascii="宋体" w:hAnsi="宋体" w:eastAsia="宋体" w:cs="宋体"/>
          <w:lang w:val="en-US" w:eastAsia="zh-CN"/>
        </w:rPr>
      </w:pPr>
      <w:r>
        <w:rPr>
          <w:rFonts w:hint="eastAsia" w:ascii="宋体" w:hAnsi="宋体" w:eastAsia="宋体" w:cs="宋体"/>
          <w:lang w:val="en-US" w:eastAsia="zh-CN"/>
        </w:rPr>
        <w:t xml:space="preserve">帐户全称: </w:t>
      </w:r>
    </w:p>
    <w:p w14:paraId="2868DC6C">
      <w:pPr>
        <w:pStyle w:val="9"/>
        <w:pageBreakBefore w:val="0"/>
        <w:widowControl w:val="0"/>
        <w:kinsoku/>
        <w:wordWrap w:val="0"/>
        <w:overflowPunct/>
        <w:topLinePunct/>
        <w:autoSpaceDE/>
        <w:autoSpaceDN/>
        <w:bidi w:val="0"/>
        <w:snapToGrid/>
        <w:spacing w:line="520" w:lineRule="exact"/>
        <w:ind w:firstLine="660" w:firstLineChars="275"/>
        <w:textAlignment w:val="auto"/>
        <w:rPr>
          <w:rFonts w:hint="eastAsia" w:ascii="宋体" w:hAnsi="宋体" w:eastAsia="宋体" w:cs="宋体"/>
          <w:lang w:val="en-US" w:eastAsia="zh-CN"/>
        </w:rPr>
      </w:pPr>
      <w:r>
        <w:rPr>
          <w:rFonts w:hint="eastAsia" w:ascii="宋体" w:hAnsi="宋体" w:eastAsia="宋体" w:cs="宋体"/>
          <w:lang w:val="en-US" w:eastAsia="zh-CN"/>
        </w:rPr>
        <w:t xml:space="preserve">帐 号: </w:t>
      </w:r>
    </w:p>
    <w:p w14:paraId="04DB38F6">
      <w:pPr>
        <w:pStyle w:val="9"/>
        <w:pageBreakBefore w:val="0"/>
        <w:widowControl w:val="0"/>
        <w:kinsoku/>
        <w:wordWrap w:val="0"/>
        <w:overflowPunct/>
        <w:topLinePunct/>
        <w:autoSpaceDE/>
        <w:autoSpaceDN/>
        <w:bidi w:val="0"/>
        <w:snapToGrid/>
        <w:spacing w:line="520" w:lineRule="exact"/>
        <w:ind w:firstLine="660" w:firstLineChars="275"/>
        <w:textAlignment w:val="auto"/>
        <w:rPr>
          <w:rFonts w:hint="eastAsia" w:ascii="宋体" w:hAnsi="宋体" w:eastAsia="宋体" w:cs="宋体"/>
          <w:lang w:val="en-US" w:eastAsia="zh-CN"/>
        </w:rPr>
      </w:pPr>
      <w:r>
        <w:rPr>
          <w:rFonts w:hint="eastAsia" w:ascii="宋体" w:hAnsi="宋体" w:eastAsia="宋体" w:cs="宋体"/>
          <w:lang w:val="en-US" w:eastAsia="zh-CN"/>
        </w:rPr>
        <w:t xml:space="preserve">开 户 行: </w:t>
      </w:r>
    </w:p>
    <w:p w14:paraId="267431E8">
      <w:pPr>
        <w:pStyle w:val="9"/>
        <w:pageBreakBefore w:val="0"/>
        <w:widowControl w:val="0"/>
        <w:kinsoku/>
        <w:wordWrap w:val="0"/>
        <w:overflowPunct/>
        <w:topLinePunct/>
        <w:autoSpaceDE/>
        <w:autoSpaceDN/>
        <w:bidi w:val="0"/>
        <w:snapToGrid/>
        <w:spacing w:line="520" w:lineRule="exact"/>
        <w:ind w:firstLine="420" w:firstLineChars="175"/>
        <w:textAlignment w:val="auto"/>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货币单位：人民币</w:t>
      </w:r>
    </w:p>
    <w:p w14:paraId="7AEEF098">
      <w:pPr>
        <w:pStyle w:val="9"/>
        <w:pageBreakBefore w:val="0"/>
        <w:widowControl w:val="0"/>
        <w:kinsoku/>
        <w:wordWrap w:val="0"/>
        <w:overflowPunct/>
        <w:topLinePunct/>
        <w:autoSpaceDE/>
        <w:autoSpaceDN/>
        <w:bidi w:val="0"/>
        <w:snapToGrid/>
        <w:spacing w:line="520" w:lineRule="exact"/>
        <w:ind w:firstLine="420" w:firstLineChars="175"/>
        <w:textAlignment w:val="auto"/>
        <w:rPr>
          <w:rFonts w:hint="eastAsia" w:ascii="宋体" w:hAnsi="宋体" w:eastAsia="宋体" w:cs="宋体"/>
          <w:lang w:val="en-US" w:eastAsia="zh-CN"/>
        </w:rPr>
      </w:pPr>
      <w:r>
        <w:rPr>
          <w:rFonts w:hint="eastAsia" w:ascii="宋体" w:hAnsi="宋体" w:eastAsia="宋体" w:cs="宋体"/>
          <w:lang w:val="en-US" w:eastAsia="zh-CN"/>
        </w:rPr>
        <w:t>4、甲方仅认可上述指定账户并向该账户付款。如账户信息变更，乙方应出具书面变更文件并加盖公司公章，否则甲方有权拒绝向指定账户之外的任何账户付款。因乙方收款账户信息变更未及时告知产生的损失，由乙方自行承担。</w:t>
      </w:r>
    </w:p>
    <w:p w14:paraId="057900E4">
      <w:pPr>
        <w:pStyle w:val="2"/>
        <w:pageBreakBefore w:val="0"/>
        <w:widowControl w:val="0"/>
        <w:tabs>
          <w:tab w:val="left" w:pos="1006"/>
          <w:tab w:val="clear" w:pos="864"/>
        </w:tabs>
        <w:kinsoku/>
        <w:wordWrap w:val="0"/>
        <w:overflowPunct/>
        <w:topLinePunct/>
        <w:autoSpaceDE/>
        <w:autoSpaceDN/>
        <w:bidi w:val="0"/>
        <w:snapToGrid/>
        <w:spacing w:line="520" w:lineRule="exact"/>
        <w:textAlignment w:val="auto"/>
        <w:rPr>
          <w:rFonts w:hint="eastAsia" w:ascii="宋体" w:hAnsi="宋体" w:eastAsia="宋体" w:cs="宋体"/>
          <w:b/>
          <w:bCs w:val="0"/>
          <w:sz w:val="24"/>
          <w:szCs w:val="24"/>
        </w:rPr>
      </w:pPr>
      <w:r>
        <w:rPr>
          <w:rFonts w:hint="eastAsia" w:ascii="宋体" w:hAnsi="宋体" w:cs="宋体"/>
          <w:b/>
          <w:bCs w:val="0"/>
          <w:sz w:val="24"/>
          <w:szCs w:val="24"/>
          <w:lang w:val="en-US" w:eastAsia="zh-CN"/>
        </w:rPr>
        <w:t>四</w:t>
      </w:r>
      <w:r>
        <w:rPr>
          <w:rFonts w:hint="eastAsia" w:ascii="宋体" w:hAnsi="宋体" w:eastAsia="宋体" w:cs="宋体"/>
          <w:b/>
          <w:bCs w:val="0"/>
          <w:sz w:val="24"/>
          <w:szCs w:val="24"/>
        </w:rPr>
        <w:t>、质量要求</w:t>
      </w:r>
    </w:p>
    <w:p w14:paraId="79FFD91E">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1、投标人所供货物须是原品牌制造厂商制造的且经过办理正常手续的全新产品。所供货物是经过国家法定检验、注册、准许市场销售的合法产品。货物性能稳定、具有较好的使用效果，质量保证措施完善，且权属清楚，不得侵害他人的知识产权。</w:t>
      </w:r>
    </w:p>
    <w:p w14:paraId="3D06D2A0">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2、投标人所供货物货物必须符合或优于国家(行业)标准，以及本项目招标文件的质量要求和技术指标与出厂标准。</w:t>
      </w:r>
    </w:p>
    <w:p w14:paraId="76B73E2F">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3、货物制造质量出现问题，乙方应负责三包(包修、包换、包退)，费用由乙方负担。</w:t>
      </w:r>
    </w:p>
    <w:p w14:paraId="10602BC1">
      <w:pPr>
        <w:pStyle w:val="2"/>
        <w:pageBreakBefore w:val="0"/>
        <w:widowControl w:val="0"/>
        <w:tabs>
          <w:tab w:val="left" w:pos="1006"/>
          <w:tab w:val="clear" w:pos="864"/>
        </w:tabs>
        <w:kinsoku/>
        <w:wordWrap w:val="0"/>
        <w:overflowPunct/>
        <w:topLinePunct/>
        <w:autoSpaceDE/>
        <w:autoSpaceDN/>
        <w:bidi w:val="0"/>
        <w:snapToGrid/>
        <w:spacing w:line="520" w:lineRule="exact"/>
        <w:textAlignment w:val="auto"/>
        <w:rPr>
          <w:rFonts w:hint="default" w:ascii="宋体" w:hAnsi="宋体" w:eastAsia="宋体" w:cs="宋体"/>
          <w:b/>
          <w:bCs w:val="0"/>
          <w:sz w:val="24"/>
          <w:szCs w:val="24"/>
          <w:lang w:val="en-US" w:eastAsia="zh-CN"/>
        </w:rPr>
      </w:pPr>
      <w:r>
        <w:rPr>
          <w:rFonts w:hint="eastAsia" w:ascii="宋体" w:hAnsi="宋体" w:cs="宋体"/>
          <w:b/>
          <w:bCs w:val="0"/>
          <w:sz w:val="24"/>
          <w:szCs w:val="24"/>
          <w:lang w:val="en-US" w:eastAsia="zh-CN"/>
        </w:rPr>
        <w:t>五</w:t>
      </w:r>
      <w:r>
        <w:rPr>
          <w:rFonts w:hint="eastAsia" w:ascii="宋体" w:hAnsi="宋体" w:eastAsia="宋体" w:cs="宋体"/>
          <w:b/>
          <w:bCs w:val="0"/>
          <w:sz w:val="24"/>
          <w:szCs w:val="24"/>
          <w:lang w:val="en-US" w:eastAsia="zh-CN"/>
        </w:rPr>
        <w:t>、</w:t>
      </w:r>
      <w:r>
        <w:rPr>
          <w:rFonts w:hint="eastAsia" w:ascii="宋体" w:hAnsi="宋体" w:eastAsia="宋体" w:cs="宋体"/>
          <w:b/>
          <w:bCs w:val="0"/>
          <w:sz w:val="24"/>
          <w:szCs w:val="24"/>
        </w:rPr>
        <w:t>货物包装</w:t>
      </w:r>
      <w:r>
        <w:rPr>
          <w:rFonts w:hint="eastAsia" w:ascii="宋体" w:hAnsi="宋体" w:eastAsia="宋体" w:cs="宋体"/>
          <w:b/>
          <w:bCs w:val="0"/>
          <w:sz w:val="24"/>
          <w:szCs w:val="24"/>
          <w:lang w:val="en-US" w:eastAsia="zh-CN"/>
        </w:rPr>
        <w:t>及运输</w:t>
      </w:r>
    </w:p>
    <w:p w14:paraId="2EA2ECC8">
      <w:pPr>
        <w:pStyle w:val="10"/>
        <w:pageBreakBefore w:val="0"/>
        <w:widowControl w:val="0"/>
        <w:kinsoku/>
        <w:wordWrap w:val="0"/>
        <w:overflowPunct/>
        <w:topLinePunct/>
        <w:autoSpaceDE/>
        <w:autoSpaceDN/>
        <w:bidi w:val="0"/>
        <w:snapToGrid/>
        <w:spacing w:line="520" w:lineRule="exact"/>
        <w:ind w:firstLine="480"/>
        <w:textAlignment w:val="auto"/>
        <w:rPr>
          <w:rFonts w:hint="default" w:ascii="宋体" w:hAnsi="宋体" w:eastAsia="宋体" w:cs="宋体"/>
          <w:b/>
          <w:bCs/>
          <w:kern w:val="0"/>
          <w:sz w:val="24"/>
          <w:szCs w:val="20"/>
          <w:lang w:val="en-US" w:eastAsia="zh-CN" w:bidi="ar"/>
        </w:rPr>
      </w:pPr>
      <w:r>
        <w:rPr>
          <w:rFonts w:hint="eastAsia" w:ascii="宋体" w:hAnsi="宋体" w:eastAsia="宋体" w:cs="宋体"/>
          <w:b/>
          <w:bCs/>
          <w:kern w:val="0"/>
          <w:sz w:val="24"/>
          <w:szCs w:val="20"/>
          <w:lang w:val="en-US" w:eastAsia="zh-CN" w:bidi="ar"/>
        </w:rPr>
        <w:t>1、包装</w:t>
      </w:r>
    </w:p>
    <w:p w14:paraId="21BC6EAD">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1.1、投标人提供的全部货物均应按标准保护措施进行包装，这类包装应适应于远距离运输、防潮、防震、防锈和防野蛮装卸，以确保货物安全无损运抵指定现场。</w:t>
      </w:r>
    </w:p>
    <w:p w14:paraId="444D0BB2">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1.2、投标人应承担由于其包装或防护措施不当而引起的货物损坏和丢失的任何损失责任和费用。每一个包装箱内应附一份详细装箱单和质量证书。</w:t>
      </w:r>
    </w:p>
    <w:p w14:paraId="402FC894">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1.3、除合同专用条款另有约定外，投标人交付的全部货物，均应采用本行业通用的方式进行包装，没有通用方式的，应当采取足以保护货物的包装方式，且该包装应符合国家有关包装的法律、法规的规定。</w:t>
      </w:r>
    </w:p>
    <w:p w14:paraId="59B9A7C0">
      <w:pPr>
        <w:pStyle w:val="10"/>
        <w:keepNext w:val="0"/>
        <w:keepLines w:val="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b/>
          <w:bCs/>
          <w:kern w:val="0"/>
          <w:sz w:val="24"/>
          <w:szCs w:val="20"/>
          <w:lang w:val="en-US" w:eastAsia="zh-CN" w:bidi="ar"/>
        </w:rPr>
        <w:t>2、运输：</w:t>
      </w:r>
      <w:r>
        <w:rPr>
          <w:rFonts w:hint="eastAsia" w:ascii="宋体" w:hAnsi="宋体" w:eastAsia="宋体" w:cs="宋体"/>
          <w:kern w:val="0"/>
          <w:sz w:val="24"/>
          <w:szCs w:val="20"/>
          <w:lang w:val="en-US" w:eastAsia="zh-CN" w:bidi="ar"/>
        </w:rPr>
        <w:t>运输方式由中标供应商自行选择，但必须保证按期交货。运杂费一次包死在总价内，包括从货物供应地点运送至交货地点所含的运输费、装卸费、保险费等。</w:t>
      </w:r>
    </w:p>
    <w:p w14:paraId="7EB418EB">
      <w:pPr>
        <w:pStyle w:val="2"/>
        <w:pageBreakBefore w:val="0"/>
        <w:widowControl w:val="0"/>
        <w:tabs>
          <w:tab w:val="left" w:pos="1006"/>
          <w:tab w:val="clear" w:pos="864"/>
        </w:tabs>
        <w:kinsoku/>
        <w:wordWrap w:val="0"/>
        <w:overflowPunct/>
        <w:topLinePunct/>
        <w:autoSpaceDE/>
        <w:autoSpaceDN/>
        <w:bidi w:val="0"/>
        <w:snapToGrid/>
        <w:spacing w:line="520" w:lineRule="exact"/>
        <w:textAlignment w:val="auto"/>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六、交货、安装、调试及技术服务</w:t>
      </w:r>
    </w:p>
    <w:p w14:paraId="2C4945EB">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1、交货：乙方交货期限为合同签订生效后的</w:t>
      </w:r>
      <w:r>
        <w:rPr>
          <w:rFonts w:hint="eastAsia" w:ascii="宋体" w:hAnsi="宋体" w:eastAsia="宋体" w:cs="宋体"/>
          <w:kern w:val="0"/>
          <w:sz w:val="24"/>
          <w:szCs w:val="20"/>
          <w:u w:val="single"/>
          <w:lang w:val="en-US" w:eastAsia="zh-CN" w:bidi="ar"/>
        </w:rPr>
        <w:t xml:space="preserve">    </w:t>
      </w:r>
      <w:r>
        <w:rPr>
          <w:rFonts w:hint="eastAsia" w:ascii="宋体" w:hAnsi="宋体" w:eastAsia="宋体" w:cs="宋体"/>
          <w:kern w:val="0"/>
          <w:sz w:val="24"/>
          <w:szCs w:val="20"/>
          <w:lang w:val="en-US" w:eastAsia="zh-CN" w:bidi="ar"/>
        </w:rPr>
        <w:t>日历天内，在合同签订生效之日起天内交货到甲方指定地点为</w:t>
      </w:r>
      <w:r>
        <w:rPr>
          <w:rFonts w:hint="eastAsia" w:ascii="宋体" w:hAnsi="宋体" w:eastAsia="宋体" w:cs="宋体"/>
          <w:kern w:val="0"/>
          <w:sz w:val="24"/>
          <w:szCs w:val="20"/>
          <w:u w:val="single"/>
          <w:lang w:val="en-US" w:eastAsia="zh-CN" w:bidi="ar"/>
        </w:rPr>
        <w:t xml:space="preserve">      </w:t>
      </w:r>
      <w:r>
        <w:rPr>
          <w:rFonts w:hint="eastAsia" w:ascii="宋体" w:hAnsi="宋体" w:eastAsia="宋体" w:cs="宋体"/>
          <w:kern w:val="0"/>
          <w:sz w:val="24"/>
          <w:szCs w:val="20"/>
          <w:lang w:val="en-US" w:eastAsia="zh-CN" w:bidi="ar"/>
        </w:rPr>
        <w:t>，随即在</w:t>
      </w:r>
      <w:r>
        <w:rPr>
          <w:rFonts w:hint="eastAsia" w:ascii="宋体" w:hAnsi="宋体" w:eastAsia="宋体" w:cs="宋体"/>
          <w:kern w:val="0"/>
          <w:sz w:val="24"/>
          <w:szCs w:val="20"/>
          <w:u w:val="single"/>
          <w:lang w:val="en-US" w:eastAsia="zh-CN" w:bidi="ar"/>
        </w:rPr>
        <w:t xml:space="preserve">    </w:t>
      </w:r>
      <w:r>
        <w:rPr>
          <w:rFonts w:hint="eastAsia" w:ascii="宋体" w:hAnsi="宋体" w:eastAsia="宋体" w:cs="宋体"/>
          <w:kern w:val="0"/>
          <w:sz w:val="24"/>
          <w:szCs w:val="20"/>
          <w:lang w:val="en-US" w:eastAsia="zh-CN" w:bidi="ar"/>
        </w:rPr>
        <w:t>日内全部完成安装调试验收合格交付使用，并且最迟应在</w:t>
      </w:r>
      <w:r>
        <w:rPr>
          <w:rFonts w:hint="eastAsia" w:ascii="宋体" w:hAnsi="宋体" w:eastAsia="宋体" w:cs="宋体"/>
          <w:kern w:val="0"/>
          <w:sz w:val="24"/>
          <w:szCs w:val="20"/>
          <w:u w:val="single"/>
          <w:lang w:val="en-US" w:eastAsia="zh-CN" w:bidi="ar"/>
        </w:rPr>
        <w:t xml:space="preserve">       </w:t>
      </w:r>
      <w:r>
        <w:rPr>
          <w:rFonts w:hint="eastAsia" w:ascii="宋体" w:hAnsi="宋体" w:eastAsia="宋体" w:cs="宋体"/>
          <w:kern w:val="0"/>
          <w:sz w:val="24"/>
          <w:szCs w:val="20"/>
          <w:lang w:val="en-US" w:eastAsia="zh-CN" w:bidi="ar"/>
        </w:rPr>
        <w:t>日前全部完成安装调试验收合格交付使用(如由于采购人的原因造成合同延迟签订或验收的，时间顺延)。</w:t>
      </w:r>
    </w:p>
    <w:p w14:paraId="10C40A31">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安装、调试：中标人负责所有设备的安装、调试工作，所有费用一次包死在总价内。设备安装调试完毕后，中标人必须安排技术人员对使用单位的设备管理人员进行操作应用及维护保养方面的技能培训，使其掌握基本技能。</w:t>
      </w:r>
    </w:p>
    <w:p w14:paraId="210D57D9">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3、技术资料包括：乙方必须在交货时向甲方提供进口产品详细的中文技术资料1套/台、中文技术操作手册、中文维修手册、中文保养手册、设备总图、电子线路图、机械结构图、产品合格证、中文产品使用说明书等相关材料；国产设备须具备出厂检测报告、产品使用说明书、合格证等其它相关资料。</w:t>
      </w:r>
    </w:p>
    <w:p w14:paraId="2053A976">
      <w:pPr>
        <w:pageBreakBefore w:val="0"/>
        <w:widowControl w:val="0"/>
        <w:overflowPunct/>
        <w:autoSpaceDE/>
        <w:autoSpaceDN/>
        <w:bidi w:val="0"/>
        <w:spacing w:line="520" w:lineRule="exact"/>
        <w:ind w:firstLine="480" w:firstLineChars="200"/>
        <w:textAlignment w:val="auto"/>
        <w:rPr>
          <w:rFonts w:ascii="宋体" w:hAnsi="宋体"/>
          <w:sz w:val="24"/>
        </w:rPr>
      </w:pPr>
      <w:r>
        <w:rPr>
          <w:rFonts w:hint="eastAsia" w:ascii="宋体" w:hAnsi="宋体"/>
          <w:sz w:val="24"/>
          <w:lang w:val="en-US" w:eastAsia="zh-CN"/>
        </w:rPr>
        <w:t>4</w:t>
      </w:r>
      <w:r>
        <w:rPr>
          <w:rFonts w:ascii="宋体" w:hAnsi="宋体"/>
          <w:sz w:val="24"/>
        </w:rPr>
        <w:t>、技术培训</w:t>
      </w:r>
    </w:p>
    <w:p w14:paraId="6E2F6413">
      <w:pPr>
        <w:pageBreakBefore w:val="0"/>
        <w:widowControl w:val="0"/>
        <w:overflowPunct/>
        <w:autoSpaceDE/>
        <w:autoSpaceDN/>
        <w:bidi w:val="0"/>
        <w:spacing w:line="520" w:lineRule="exact"/>
        <w:ind w:firstLine="600" w:firstLineChars="250"/>
        <w:textAlignment w:val="auto"/>
        <w:rPr>
          <w:rFonts w:ascii="宋体" w:hAnsi="宋体"/>
          <w:sz w:val="24"/>
        </w:rPr>
      </w:pPr>
      <w:r>
        <w:rPr>
          <w:rFonts w:ascii="宋体" w:hAnsi="宋体"/>
          <w:sz w:val="24"/>
        </w:rPr>
        <w:t>1）内容：包括产品原理、使用操作、保养维修技术等，使受训人员达到独立使用、熟练操作的程度。</w:t>
      </w:r>
    </w:p>
    <w:p w14:paraId="7A5D29B7">
      <w:pPr>
        <w:pageBreakBefore w:val="0"/>
        <w:widowControl w:val="0"/>
        <w:overflowPunct/>
        <w:autoSpaceDE/>
        <w:autoSpaceDN/>
        <w:bidi w:val="0"/>
        <w:spacing w:line="520" w:lineRule="exact"/>
        <w:ind w:firstLine="600" w:firstLineChars="250"/>
        <w:textAlignment w:val="auto"/>
        <w:rPr>
          <w:rFonts w:ascii="宋体" w:hAnsi="宋体"/>
          <w:sz w:val="24"/>
        </w:rPr>
      </w:pPr>
      <w:r>
        <w:rPr>
          <w:rFonts w:ascii="宋体" w:hAnsi="宋体"/>
          <w:sz w:val="24"/>
        </w:rPr>
        <w:t>2）培训准备：每台仪器培训主要操作人员2-3人。</w:t>
      </w:r>
    </w:p>
    <w:p w14:paraId="527D1717">
      <w:pPr>
        <w:pageBreakBefore w:val="0"/>
        <w:widowControl w:val="0"/>
        <w:overflowPunct/>
        <w:autoSpaceDE/>
        <w:autoSpaceDN/>
        <w:bidi w:val="0"/>
        <w:spacing w:line="520" w:lineRule="exact"/>
        <w:ind w:firstLine="600" w:firstLineChars="250"/>
        <w:textAlignment w:val="auto"/>
        <w:rPr>
          <w:rFonts w:ascii="宋体" w:hAnsi="宋体"/>
          <w:sz w:val="24"/>
        </w:rPr>
      </w:pPr>
      <w:r>
        <w:rPr>
          <w:rFonts w:ascii="宋体" w:hAnsi="宋体"/>
          <w:sz w:val="24"/>
        </w:rPr>
        <w:t>3）地点：仪器安装地点</w:t>
      </w:r>
    </w:p>
    <w:p w14:paraId="31BF83EB">
      <w:pPr>
        <w:pageBreakBefore w:val="0"/>
        <w:widowControl w:val="0"/>
        <w:overflowPunct/>
        <w:autoSpaceDE/>
        <w:autoSpaceDN/>
        <w:bidi w:val="0"/>
        <w:spacing w:line="520" w:lineRule="exact"/>
        <w:ind w:firstLine="600" w:firstLineChars="250"/>
        <w:textAlignment w:val="auto"/>
        <w:rPr>
          <w:rFonts w:ascii="宋体" w:hAnsi="宋体"/>
          <w:sz w:val="24"/>
        </w:rPr>
      </w:pPr>
      <w:r>
        <w:rPr>
          <w:rFonts w:ascii="宋体" w:hAnsi="宋体"/>
          <w:sz w:val="24"/>
        </w:rPr>
        <w:t>4）时间：在收到</w:t>
      </w:r>
      <w:r>
        <w:rPr>
          <w:rFonts w:hint="eastAsia" w:ascii="宋体" w:hAnsi="宋体"/>
          <w:sz w:val="24"/>
        </w:rPr>
        <w:t>甲方</w:t>
      </w:r>
      <w:r>
        <w:rPr>
          <w:rFonts w:ascii="宋体" w:hAnsi="宋体"/>
          <w:sz w:val="24"/>
        </w:rPr>
        <w:t>通知后一周内安排。</w:t>
      </w:r>
    </w:p>
    <w:p w14:paraId="0149043C">
      <w:pPr>
        <w:pageBreakBefore w:val="0"/>
        <w:widowControl w:val="0"/>
        <w:overflowPunct/>
        <w:autoSpaceDE/>
        <w:autoSpaceDN/>
        <w:bidi w:val="0"/>
        <w:adjustRightInd w:val="0"/>
        <w:snapToGrid w:val="0"/>
        <w:spacing w:line="520" w:lineRule="exact"/>
        <w:ind w:firstLine="480" w:firstLineChars="200"/>
        <w:textAlignment w:val="auto"/>
        <w:rPr>
          <w:rFonts w:ascii="宋体" w:hAnsi="宋体"/>
          <w:sz w:val="24"/>
        </w:rPr>
      </w:pPr>
      <w:r>
        <w:rPr>
          <w:rFonts w:ascii="宋体" w:hAnsi="宋体"/>
          <w:sz w:val="24"/>
        </w:rPr>
        <w:t>5、服务承诺：</w:t>
      </w:r>
      <w:r>
        <w:rPr>
          <w:rFonts w:hint="eastAsia" w:ascii="宋体" w:hAnsi="宋体"/>
          <w:sz w:val="24"/>
        </w:rPr>
        <w:t>按投标文件中的服</w:t>
      </w:r>
      <w:r>
        <w:rPr>
          <w:rFonts w:ascii="宋体" w:hAnsi="宋体"/>
          <w:sz w:val="24"/>
        </w:rPr>
        <w:t>务承诺执行。</w:t>
      </w:r>
    </w:p>
    <w:p w14:paraId="5F90C985">
      <w:pPr>
        <w:pageBreakBefore w:val="0"/>
        <w:widowControl w:val="0"/>
        <w:overflowPunct/>
        <w:autoSpaceDE/>
        <w:autoSpaceDN/>
        <w:bidi w:val="0"/>
        <w:adjustRightInd w:val="0"/>
        <w:snapToGrid w:val="0"/>
        <w:spacing w:line="520" w:lineRule="exact"/>
        <w:ind w:firstLine="480" w:firstLineChars="200"/>
        <w:textAlignment w:val="auto"/>
        <w:rPr>
          <w:rFonts w:ascii="宋体" w:hAnsi="宋体"/>
          <w:sz w:val="24"/>
        </w:rPr>
      </w:pPr>
      <w:r>
        <w:rPr>
          <w:rFonts w:ascii="宋体" w:hAnsi="宋体"/>
          <w:sz w:val="24"/>
        </w:rPr>
        <w:t>6、安装调试过程中出现的安全责任问题由乙方全权负责。</w:t>
      </w:r>
    </w:p>
    <w:p w14:paraId="5E06AE62">
      <w:pPr>
        <w:pStyle w:val="2"/>
        <w:pageBreakBefore w:val="0"/>
        <w:widowControl w:val="0"/>
        <w:tabs>
          <w:tab w:val="left" w:pos="1006"/>
          <w:tab w:val="clear" w:pos="864"/>
        </w:tabs>
        <w:kinsoku/>
        <w:wordWrap w:val="0"/>
        <w:overflowPunct/>
        <w:topLinePunct/>
        <w:autoSpaceDE/>
        <w:autoSpaceDN/>
        <w:bidi w:val="0"/>
        <w:snapToGrid/>
        <w:spacing w:line="520" w:lineRule="exact"/>
        <w:textAlignment w:val="auto"/>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七、验收</w:t>
      </w:r>
    </w:p>
    <w:p w14:paraId="48CFEE92">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b/>
          <w:bCs/>
          <w:kern w:val="0"/>
          <w:sz w:val="24"/>
          <w:szCs w:val="20"/>
          <w:lang w:val="en-US" w:eastAsia="zh-CN" w:bidi="ar"/>
        </w:rPr>
      </w:pPr>
      <w:bookmarkStart w:id="44" w:name="_Toc22658"/>
      <w:r>
        <w:rPr>
          <w:rFonts w:hint="eastAsia" w:ascii="宋体" w:hAnsi="宋体" w:eastAsia="宋体" w:cs="宋体"/>
          <w:b/>
          <w:bCs/>
          <w:kern w:val="0"/>
          <w:sz w:val="24"/>
          <w:szCs w:val="20"/>
          <w:lang w:val="en-US" w:eastAsia="zh-CN" w:bidi="ar"/>
        </w:rPr>
        <w:t>1、验收依据</w:t>
      </w:r>
    </w:p>
    <w:p w14:paraId="5EE6B1FF">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1.1、招标文件、投标文件、澄清表（函）；</w:t>
      </w:r>
    </w:p>
    <w:p w14:paraId="2466AE79">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1.2、国家相应的标准、规范。</w:t>
      </w:r>
    </w:p>
    <w:bookmarkEnd w:id="44"/>
    <w:p w14:paraId="16288A11">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1.3、技术资料要求：</w:t>
      </w:r>
    </w:p>
    <w:p w14:paraId="0A5AA7C8">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1）产品验收标准；2）技术说明书；3）使用说明书；4）设备安装、调试、维修线路原理图；5）零部件目录；6）备品备件、易损件清单；7）合同中要求的其他文件资料。</w:t>
      </w:r>
    </w:p>
    <w:p w14:paraId="1851B689">
      <w:pPr>
        <w:pStyle w:val="10"/>
        <w:pageBreakBefore w:val="0"/>
        <w:widowControl w:val="0"/>
        <w:kinsoku/>
        <w:wordWrap w:val="0"/>
        <w:overflowPunct/>
        <w:topLinePunct/>
        <w:autoSpaceDE/>
        <w:autoSpaceDN/>
        <w:bidi w:val="0"/>
        <w:snapToGrid/>
        <w:spacing w:line="520" w:lineRule="exact"/>
        <w:ind w:firstLine="480"/>
        <w:textAlignment w:val="auto"/>
        <w:rPr>
          <w:rFonts w:hint="default" w:ascii="宋体" w:hAnsi="宋体" w:eastAsia="宋体" w:cs="宋体"/>
          <w:b/>
          <w:bCs/>
          <w:kern w:val="0"/>
          <w:sz w:val="24"/>
          <w:szCs w:val="20"/>
          <w:lang w:val="en-US" w:eastAsia="zh-CN" w:bidi="ar"/>
        </w:rPr>
      </w:pPr>
      <w:r>
        <w:rPr>
          <w:rFonts w:hint="eastAsia" w:ascii="宋体" w:hAnsi="宋体" w:eastAsia="宋体" w:cs="宋体"/>
          <w:b/>
          <w:bCs/>
          <w:kern w:val="0"/>
          <w:sz w:val="24"/>
          <w:szCs w:val="20"/>
          <w:lang w:val="en-US" w:eastAsia="zh-CN" w:bidi="ar"/>
        </w:rPr>
        <w:t>2、验收方法及标准</w:t>
      </w:r>
    </w:p>
    <w:p w14:paraId="52832771">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2.1、中标人货物经过双方检验认可后，签署验收报告，产品质保期自验收合格之日起算，由中标人提供产品保修文件。</w:t>
      </w:r>
    </w:p>
    <w:p w14:paraId="4331B85D">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2.2、乙方应将所提供货物的装箱清单、配件、随机工具、用户使用手册、原厂保修卡等资料交付给甲方；乙方不能完整交付货物及本款规定的单证和工具的，必须负责补齐，否则视为未按合同约定交货。</w:t>
      </w:r>
    </w:p>
    <w:p w14:paraId="24C7EAFC">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b/>
          <w:bCs/>
          <w:kern w:val="0"/>
          <w:sz w:val="24"/>
          <w:szCs w:val="20"/>
          <w:lang w:val="en-US" w:eastAsia="zh-CN" w:bidi="ar"/>
        </w:rPr>
      </w:pPr>
      <w:r>
        <w:rPr>
          <w:rFonts w:hint="eastAsia" w:ascii="宋体" w:hAnsi="宋体" w:eastAsia="宋体" w:cs="宋体"/>
          <w:b/>
          <w:bCs/>
          <w:kern w:val="0"/>
          <w:sz w:val="24"/>
          <w:szCs w:val="20"/>
          <w:lang w:val="en-US" w:eastAsia="zh-CN" w:bidi="ar"/>
        </w:rPr>
        <w:t>2.3、当满足以下条件时，采购人才向中标人签发货物验收报告：</w:t>
      </w:r>
    </w:p>
    <w:p w14:paraId="7EFB5AAE">
      <w:pPr>
        <w:pStyle w:val="10"/>
        <w:pageBreakBefore w:val="0"/>
        <w:widowControl w:val="0"/>
        <w:kinsoku/>
        <w:wordWrap w:val="0"/>
        <w:overflowPunct/>
        <w:topLinePunct/>
        <w:autoSpaceDE/>
        <w:autoSpaceDN/>
        <w:bidi w:val="0"/>
        <w:snapToGrid/>
        <w:spacing w:line="520" w:lineRule="exact"/>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2.3.1、设备到货后，依采购文件要求对全部设备、产品、型号、规格、数量、外型、外观、包装及资料、文件进行验收。</w:t>
      </w:r>
    </w:p>
    <w:p w14:paraId="3EE5404A">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2.3.2、拆箱后，应对其全部产品、零件、配件、用户许可证书、资料、介质造册登记，并与装箱单对比，如有出入应立即书面记录，由中标人联络厂家解决，如影响安装则按合同有关条款处理。</w:t>
      </w:r>
    </w:p>
    <w:p w14:paraId="26FC111A">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2.3.3、完成全部设备及配件的安装与连接后，应严格按照测试计划进行设备通电测试，并做好各项测试的原始记录。</w:t>
      </w:r>
    </w:p>
    <w:p w14:paraId="5D9E8CC1">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2.3.4、系统测试中如发现设备性能指标或功能上不符合采购文件和合同时，将被视为性能不合格，采购人有权拒收并要求赔偿。</w:t>
      </w:r>
    </w:p>
    <w:p w14:paraId="6F8ECA37">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2.3.5、中标人已按照合同规定提供了全部产品及完整的技术资料；</w:t>
      </w:r>
    </w:p>
    <w:p w14:paraId="54EC8842">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2.3.6、货物符合招标文件和投标文件技术规格要求，性能满足要求；</w:t>
      </w:r>
    </w:p>
    <w:p w14:paraId="3377C991">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2.3.7、货物具备产品合格证。</w:t>
      </w:r>
    </w:p>
    <w:p w14:paraId="117A202E">
      <w:pPr>
        <w:pStyle w:val="2"/>
        <w:pageBreakBefore w:val="0"/>
        <w:widowControl w:val="0"/>
        <w:tabs>
          <w:tab w:val="left" w:pos="1006"/>
          <w:tab w:val="clear" w:pos="864"/>
        </w:tabs>
        <w:kinsoku/>
        <w:wordWrap w:val="0"/>
        <w:overflowPunct/>
        <w:topLinePunct/>
        <w:autoSpaceDE/>
        <w:autoSpaceDN/>
        <w:bidi w:val="0"/>
        <w:snapToGrid/>
        <w:spacing w:line="520" w:lineRule="exact"/>
        <w:textAlignment w:val="auto"/>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八、售后服务：</w:t>
      </w:r>
    </w:p>
    <w:p w14:paraId="07D4F687">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rPr>
      </w:pPr>
      <w:r>
        <w:rPr>
          <w:rFonts w:hint="eastAsia" w:ascii="宋体" w:hAnsi="宋体" w:eastAsia="宋体" w:cs="宋体"/>
        </w:rPr>
        <w:t>1、质保期为验收合格后</w:t>
      </w:r>
      <w:r>
        <w:rPr>
          <w:rFonts w:hint="eastAsia" w:ascii="宋体" w:hAnsi="宋体" w:eastAsia="宋体" w:cs="宋体"/>
          <w:u w:val="single"/>
        </w:rPr>
        <w:t xml:space="preserve">       </w:t>
      </w:r>
      <w:r>
        <w:rPr>
          <w:rFonts w:hint="eastAsia" w:ascii="宋体" w:hAnsi="宋体" w:eastAsia="宋体" w:cs="宋体"/>
        </w:rPr>
        <w:t>年，质保期内出现质量问题，</w:t>
      </w:r>
      <w:r>
        <w:rPr>
          <w:rFonts w:hint="eastAsia" w:hAnsi="宋体" w:eastAsia="宋体" w:cs="宋体"/>
          <w:lang w:eastAsia="zh-CN"/>
        </w:rPr>
        <w:t>卖方</w:t>
      </w:r>
      <w:r>
        <w:rPr>
          <w:rFonts w:hint="eastAsia" w:ascii="宋体" w:hAnsi="宋体" w:eastAsia="宋体" w:cs="宋体"/>
        </w:rPr>
        <w:t>在接到通知后</w:t>
      </w:r>
      <w:r>
        <w:rPr>
          <w:rFonts w:hint="eastAsia" w:ascii="宋体" w:hAnsi="宋体" w:eastAsia="宋体" w:cs="宋体"/>
          <w:u w:val="single"/>
        </w:rPr>
        <w:t xml:space="preserve">       </w:t>
      </w:r>
      <w:r>
        <w:rPr>
          <w:rFonts w:hint="eastAsia" w:ascii="宋体" w:hAnsi="宋体" w:eastAsia="宋体" w:cs="宋体"/>
        </w:rPr>
        <w:t>小时内响应到场，</w:t>
      </w:r>
      <w:r>
        <w:rPr>
          <w:rFonts w:hint="eastAsia" w:ascii="宋体" w:hAnsi="宋体" w:eastAsia="宋体" w:cs="宋体"/>
          <w:u w:val="single"/>
        </w:rPr>
        <w:t xml:space="preserve">       </w:t>
      </w:r>
      <w:r>
        <w:rPr>
          <w:rFonts w:hint="eastAsia" w:ascii="宋体" w:hAnsi="宋体" w:eastAsia="宋体" w:cs="宋体"/>
        </w:rPr>
        <w:t>小时内完成维修或更换，并承担修理调换的费用；如货物经</w:t>
      </w:r>
      <w:r>
        <w:rPr>
          <w:rFonts w:hint="eastAsia" w:hAnsi="宋体" w:eastAsia="宋体" w:cs="宋体"/>
          <w:lang w:eastAsia="zh-CN"/>
        </w:rPr>
        <w:t>卖方</w:t>
      </w:r>
      <w:r>
        <w:rPr>
          <w:rFonts w:hint="eastAsia" w:ascii="宋体" w:hAnsi="宋体" w:eastAsia="宋体" w:cs="宋体"/>
        </w:rPr>
        <w:t>次维修仍不能达到本合同约定的质量标准，视作</w:t>
      </w:r>
      <w:r>
        <w:rPr>
          <w:rFonts w:hint="eastAsia" w:hAnsi="宋体" w:eastAsia="宋体" w:cs="宋体"/>
          <w:lang w:eastAsia="zh-CN"/>
        </w:rPr>
        <w:t>卖方</w:t>
      </w:r>
      <w:r>
        <w:rPr>
          <w:rFonts w:hint="eastAsia" w:ascii="宋体" w:hAnsi="宋体" w:eastAsia="宋体" w:cs="宋体"/>
        </w:rPr>
        <w:t>未能按时交货，</w:t>
      </w:r>
      <w:r>
        <w:rPr>
          <w:rFonts w:hint="eastAsia" w:hAnsi="宋体" w:eastAsia="宋体" w:cs="宋体"/>
          <w:lang w:eastAsia="zh-CN"/>
        </w:rPr>
        <w:t>买方</w:t>
      </w:r>
      <w:r>
        <w:rPr>
          <w:rFonts w:hint="eastAsia" w:ascii="宋体" w:hAnsi="宋体" w:eastAsia="宋体" w:cs="宋体"/>
        </w:rPr>
        <w:t>有权退货并追究</w:t>
      </w:r>
      <w:r>
        <w:rPr>
          <w:rFonts w:hint="eastAsia" w:hAnsi="宋体" w:eastAsia="宋体" w:cs="宋体"/>
          <w:lang w:eastAsia="zh-CN"/>
        </w:rPr>
        <w:t>卖方</w:t>
      </w:r>
      <w:r>
        <w:rPr>
          <w:rFonts w:hint="eastAsia" w:ascii="宋体" w:hAnsi="宋体" w:eastAsia="宋体" w:cs="宋体"/>
        </w:rPr>
        <w:t>的违约责任。</w:t>
      </w:r>
    </w:p>
    <w:p w14:paraId="1DC09B48">
      <w:pPr>
        <w:pStyle w:val="10"/>
        <w:pageBreakBefore w:val="0"/>
        <w:widowControl w:val="0"/>
        <w:kinsoku/>
        <w:wordWrap w:val="0"/>
        <w:overflowPunct/>
        <w:topLinePunct/>
        <w:autoSpaceDE/>
        <w:autoSpaceDN/>
        <w:bidi w:val="0"/>
        <w:snapToGrid/>
        <w:spacing w:line="520" w:lineRule="exact"/>
        <w:ind w:firstLine="480"/>
        <w:textAlignment w:val="auto"/>
        <w:rPr>
          <w:rFonts w:hint="eastAsia" w:ascii="宋体" w:hAnsi="宋体" w:eastAsia="宋体" w:cs="宋体"/>
        </w:rPr>
      </w:pPr>
      <w:r>
        <w:rPr>
          <w:rFonts w:hint="eastAsia" w:ascii="宋体" w:hAnsi="宋体" w:eastAsia="宋体" w:cs="宋体"/>
          <w:kern w:val="0"/>
          <w:sz w:val="24"/>
          <w:szCs w:val="20"/>
          <w:lang w:val="en-US" w:eastAsia="zh-CN" w:bidi="ar"/>
        </w:rPr>
        <w:t>2、卖方须指派专人负责与买方联系售后服务事宜。投标人应提供指定或代理售后服务单位名称、地点、法人代表、固定电话和移动电话、联系人等材料以及售后服务承诺，以方便采购人联系，不得采用虚假信息或指定区域外售后服务的联系单位和电话。</w:t>
      </w:r>
    </w:p>
    <w:p w14:paraId="5F56C951">
      <w:pPr>
        <w:pStyle w:val="3"/>
        <w:keepNext w:val="0"/>
        <w:keepLines w:val="0"/>
        <w:pageBreakBefore w:val="0"/>
        <w:widowControl w:val="0"/>
        <w:overflowPunct/>
        <w:autoSpaceDE/>
        <w:autoSpaceDN/>
        <w:bidi w:val="0"/>
        <w:spacing w:line="520" w:lineRule="exact"/>
        <w:textAlignment w:val="auto"/>
        <w:rPr>
          <w:rFonts w:ascii="华文仿宋" w:hAnsi="华文仿宋" w:cs="华文仿宋"/>
          <w:sz w:val="28"/>
          <w:szCs w:val="28"/>
        </w:rPr>
      </w:pPr>
      <w:r>
        <w:rPr>
          <w:rFonts w:hint="eastAsia" w:ascii="宋体" w:hAnsi="宋体" w:eastAsia="宋体" w:cs="宋体"/>
          <w:b/>
          <w:bCs w:val="0"/>
          <w:kern w:val="0"/>
          <w:sz w:val="24"/>
          <w:szCs w:val="24"/>
          <w:lang w:val="en-US" w:eastAsia="zh-CN" w:bidi="ar-SA"/>
        </w:rPr>
        <w:t>九、甲乙双方权利与义务</w:t>
      </w:r>
    </w:p>
    <w:p w14:paraId="44521B1A">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（一）甲方的权利与义务</w:t>
      </w:r>
    </w:p>
    <w:p w14:paraId="2903D102">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1、甲方有权要求乙方按照合同约定的时间、地点、数量和质量提供货物。</w:t>
      </w:r>
    </w:p>
    <w:p w14:paraId="51C4AD1C">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2、甲方有权对乙方提供的货物进行检验，如发现货物不符合合同约定的质量、规格、性能等要求，有权拒收并要求乙方更换或修复。</w:t>
      </w:r>
    </w:p>
    <w:p w14:paraId="61190222">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3、甲方应按照合同约定的付款方式和时间支付货款。</w:t>
      </w:r>
    </w:p>
    <w:p w14:paraId="66851C55">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4、甲方应配合乙方完成货物的交付工作，如提供必要的装卸设备、人员等。</w:t>
      </w:r>
    </w:p>
    <w:p w14:paraId="08AB0B6B">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5、甲方在收到货物后，应及时进行验货，并在约定的时间内提出质量异议。</w:t>
      </w:r>
    </w:p>
    <w:p w14:paraId="44305792">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（二）乙方的权利与义务</w:t>
      </w:r>
    </w:p>
    <w:p w14:paraId="47597AFB">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1、乙方有权按照合同约定收取货款。</w:t>
      </w:r>
    </w:p>
    <w:p w14:paraId="3D041EDA">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2、乙方有权要求甲方按照约定的时间、地点接收货物。</w:t>
      </w:r>
    </w:p>
    <w:p w14:paraId="04EFD7F8">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3、乙方应按照合同约定的时间、地点、数量和质量提供货物。</w:t>
      </w:r>
    </w:p>
    <w:p w14:paraId="57EC19D3">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4、乙方应对所提供的货物进行质量保证，如出现质量问题，应负责更换或修复。</w:t>
      </w:r>
    </w:p>
    <w:p w14:paraId="25543BE4">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5、乙方应配合甲方完成货物的验收工作，如提供必要的技术资料、操作说明等。</w:t>
      </w:r>
    </w:p>
    <w:p w14:paraId="6286879C">
      <w:pPr>
        <w:pageBreakBefore w:val="0"/>
        <w:widowControl w:val="0"/>
        <w:tabs>
          <w:tab w:val="left" w:pos="5355"/>
        </w:tabs>
        <w:overflowPunct/>
        <w:autoSpaceDE/>
        <w:autoSpaceDN/>
        <w:bidi w:val="0"/>
        <w:spacing w:line="520" w:lineRule="exact"/>
        <w:ind w:firstLine="480" w:firstLineChars="200"/>
        <w:textAlignment w:val="auto"/>
        <w:rPr>
          <w:rFonts w:ascii="宋体" w:hAnsi="宋体" w:eastAsia="宋体" w:cs="Times New Roman"/>
          <w:sz w:val="24"/>
        </w:rPr>
      </w:pPr>
      <w:r>
        <w:rPr>
          <w:rFonts w:hint="eastAsia" w:ascii="宋体" w:hAnsi="宋体" w:eastAsia="宋体" w:cs="Times New Roman"/>
          <w:sz w:val="24"/>
        </w:rPr>
        <w:t>6、乙方在收到甲方的质量异议后，应在约定的时间内进行处理。</w:t>
      </w:r>
    </w:p>
    <w:p w14:paraId="679E2566">
      <w:pPr>
        <w:pStyle w:val="2"/>
        <w:pageBreakBefore w:val="0"/>
        <w:widowControl w:val="0"/>
        <w:tabs>
          <w:tab w:val="left" w:pos="1006"/>
          <w:tab w:val="clear" w:pos="864"/>
        </w:tabs>
        <w:kinsoku/>
        <w:wordWrap w:val="0"/>
        <w:overflowPunct/>
        <w:topLinePunct/>
        <w:autoSpaceDE/>
        <w:autoSpaceDN/>
        <w:bidi w:val="0"/>
        <w:snapToGrid/>
        <w:spacing w:line="520" w:lineRule="exact"/>
        <w:textAlignment w:val="auto"/>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十、违约责任</w:t>
      </w:r>
    </w:p>
    <w:p w14:paraId="43571E53">
      <w:pPr>
        <w:pStyle w:val="10"/>
        <w:pageBreakBefore w:val="0"/>
        <w:widowControl w:val="0"/>
        <w:kinsoku/>
        <w:wordWrap w:val="0"/>
        <w:overflowPunct/>
        <w:topLinePunct/>
        <w:autoSpaceDE/>
        <w:autoSpaceDN/>
        <w:bidi w:val="0"/>
        <w:snapToGrid/>
        <w:spacing w:line="520" w:lineRule="exact"/>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1、按《中华人民共和国民法典》中的相关条款执行。</w:t>
      </w:r>
    </w:p>
    <w:p w14:paraId="7C252C43">
      <w:pPr>
        <w:pStyle w:val="10"/>
        <w:pageBreakBefore w:val="0"/>
        <w:widowControl w:val="0"/>
        <w:kinsoku/>
        <w:wordWrap w:val="0"/>
        <w:overflowPunct/>
        <w:topLinePunct/>
        <w:autoSpaceDE/>
        <w:autoSpaceDN/>
        <w:bidi w:val="0"/>
        <w:snapToGrid/>
        <w:spacing w:line="520" w:lineRule="exact"/>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2、未按合同要求提供货物、服务或货物、服务质量不能满足合同要求，采购人有权依据《中华人民共和国民法典》有关条款及合同约定终止合同，并要求投标人承担违约责任。</w:t>
      </w:r>
    </w:p>
    <w:p w14:paraId="2486410D">
      <w:pPr>
        <w:pStyle w:val="10"/>
        <w:pageBreakBefore w:val="0"/>
        <w:widowControl w:val="0"/>
        <w:kinsoku/>
        <w:wordWrap w:val="0"/>
        <w:overflowPunct/>
        <w:topLinePunct/>
        <w:autoSpaceDE/>
        <w:autoSpaceDN/>
        <w:bidi w:val="0"/>
        <w:snapToGrid/>
        <w:spacing w:line="520" w:lineRule="exact"/>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3、中标人未按合同约定的交货日期交货的，每逾期一日，向采购人支付逾期交付货物价款的0.5%的违约金，但不超过合同总金额的10%。中标人支付逾期交货违约金并不免除其交货的责任。</w:t>
      </w:r>
    </w:p>
    <w:p w14:paraId="327D57F0">
      <w:pPr>
        <w:pStyle w:val="10"/>
        <w:pageBreakBefore w:val="0"/>
        <w:widowControl w:val="0"/>
        <w:kinsoku/>
        <w:wordWrap w:val="0"/>
        <w:overflowPunct/>
        <w:topLinePunct/>
        <w:autoSpaceDE/>
        <w:autoSpaceDN/>
        <w:bidi w:val="0"/>
        <w:snapToGrid/>
        <w:spacing w:line="520" w:lineRule="exact"/>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4、如中标人在政府采购合同规定的交货日期后10天内仍未能交货，则视为中标人不能交货，采购人有权解除政府采购合同，中标人除退还已收取的货款外，还应向采购人偿付政府采购合同总金额10%的违约金。</w:t>
      </w:r>
    </w:p>
    <w:p w14:paraId="6F3EAC89">
      <w:pPr>
        <w:pStyle w:val="10"/>
        <w:pageBreakBefore w:val="0"/>
        <w:widowControl w:val="0"/>
        <w:kinsoku/>
        <w:wordWrap w:val="0"/>
        <w:overflowPunct/>
        <w:topLinePunct/>
        <w:autoSpaceDE/>
        <w:autoSpaceDN/>
        <w:bidi w:val="0"/>
        <w:snapToGrid/>
        <w:spacing w:line="520" w:lineRule="exact"/>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5、如因该产品本身的质量原因而在使用过程中造成的任何事故纠纷，由中标人全额负责赔偿。</w:t>
      </w:r>
    </w:p>
    <w:p w14:paraId="45814B8D">
      <w:pPr>
        <w:pStyle w:val="2"/>
        <w:pageBreakBefore w:val="0"/>
        <w:widowControl w:val="0"/>
        <w:tabs>
          <w:tab w:val="left" w:pos="1006"/>
          <w:tab w:val="clear" w:pos="864"/>
        </w:tabs>
        <w:kinsoku/>
        <w:wordWrap w:val="0"/>
        <w:overflowPunct/>
        <w:topLinePunct/>
        <w:autoSpaceDE/>
        <w:autoSpaceDN/>
        <w:bidi w:val="0"/>
        <w:snapToGrid/>
        <w:spacing w:line="520" w:lineRule="exact"/>
        <w:textAlignment w:val="auto"/>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十一：不可抗力：</w:t>
      </w:r>
    </w:p>
    <w:p w14:paraId="77FC1801">
      <w:pPr>
        <w:pStyle w:val="10"/>
        <w:pageBreakBefore w:val="0"/>
        <w:widowControl w:val="0"/>
        <w:kinsoku/>
        <w:wordWrap w:val="0"/>
        <w:overflowPunct/>
        <w:topLinePunct/>
        <w:autoSpaceDE/>
        <w:autoSpaceDN/>
        <w:bidi w:val="0"/>
        <w:snapToGrid/>
        <w:spacing w:line="520" w:lineRule="exact"/>
        <w:textAlignment w:val="auto"/>
        <w:rPr>
          <w:rFonts w:hint="eastAsia" w:ascii="宋体" w:hAnsi="宋体" w:eastAsia="宋体" w:cs="宋体"/>
          <w:kern w:val="0"/>
          <w:sz w:val="24"/>
          <w:szCs w:val="20"/>
          <w:lang w:val="en-US" w:eastAsia="zh-CN" w:bidi="ar"/>
        </w:rPr>
      </w:pPr>
      <w:r>
        <w:rPr>
          <w:rFonts w:hint="eastAsia" w:ascii="宋体" w:hAnsi="宋体" w:eastAsia="宋体" w:cs="宋体"/>
          <w:kern w:val="0"/>
          <w:sz w:val="24"/>
          <w:szCs w:val="20"/>
          <w:lang w:val="en-US" w:eastAsia="zh-CN" w:bidi="ar"/>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六十个工作日内提供附有有关该事件的权威机关证明的书面材料，包括陈述迟延履行、部分履行或无法履行本合同义务的理由的说明书，方可免责。</w:t>
      </w:r>
    </w:p>
    <w:p w14:paraId="37359CB6">
      <w:pPr>
        <w:pStyle w:val="2"/>
        <w:pageBreakBefore w:val="0"/>
        <w:widowControl w:val="0"/>
        <w:tabs>
          <w:tab w:val="left" w:pos="1006"/>
          <w:tab w:val="clear" w:pos="864"/>
        </w:tabs>
        <w:kinsoku/>
        <w:wordWrap w:val="0"/>
        <w:overflowPunct/>
        <w:topLinePunct/>
        <w:autoSpaceDE/>
        <w:autoSpaceDN/>
        <w:bidi w:val="0"/>
        <w:snapToGrid/>
        <w:spacing w:line="520" w:lineRule="exact"/>
        <w:textAlignment w:val="auto"/>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十二、合同争议的解决：</w:t>
      </w:r>
    </w:p>
    <w:p w14:paraId="7CEF340B">
      <w:pPr>
        <w:pageBreakBefore w:val="0"/>
        <w:widowControl w:val="0"/>
        <w:tabs>
          <w:tab w:val="left" w:pos="5355"/>
        </w:tabs>
        <w:overflowPunct/>
        <w:autoSpaceDE/>
        <w:autoSpaceDN/>
        <w:bidi w:val="0"/>
        <w:spacing w:line="520" w:lineRule="exact"/>
        <w:ind w:firstLine="480" w:firstLineChars="200"/>
        <w:textAlignment w:val="auto"/>
        <w:rPr>
          <w:rFonts w:ascii="宋体" w:hAnsi="宋体"/>
          <w:b/>
          <w:sz w:val="24"/>
        </w:rPr>
      </w:pPr>
      <w:r>
        <w:rPr>
          <w:rFonts w:ascii="宋体" w:hAnsi="宋体"/>
          <w:sz w:val="24"/>
        </w:rPr>
        <w:t>合同一经签订，不得随意变更、中止或终止。对确需变更、调整或者中止、终止合同的，应按规定履行相应的手续。</w:t>
      </w:r>
    </w:p>
    <w:p w14:paraId="55463208">
      <w:pPr>
        <w:pageBreakBefore w:val="0"/>
        <w:widowControl w:val="0"/>
        <w:tabs>
          <w:tab w:val="left" w:pos="5355"/>
        </w:tabs>
        <w:overflowPunct/>
        <w:autoSpaceDE/>
        <w:autoSpaceDN/>
        <w:bidi w:val="0"/>
        <w:spacing w:line="520" w:lineRule="exact"/>
        <w:ind w:firstLine="480" w:firstLineChars="200"/>
        <w:textAlignment w:val="auto"/>
        <w:rPr>
          <w:rFonts w:ascii="宋体" w:hAnsi="宋体"/>
          <w:sz w:val="24"/>
        </w:rPr>
      </w:pPr>
      <w:r>
        <w:rPr>
          <w:rFonts w:ascii="宋体" w:hAnsi="宋体"/>
          <w:sz w:val="24"/>
        </w:rPr>
        <w:t>合同执行中发生争议的，甲、乙双方应协商解决，协商达不成一致时，可向</w:t>
      </w:r>
      <w:r>
        <w:rPr>
          <w:rFonts w:hint="eastAsia" w:ascii="宋体" w:hAnsi="宋体"/>
          <w:sz w:val="24"/>
        </w:rPr>
        <w:t>甲方所在</w:t>
      </w:r>
      <w:r>
        <w:rPr>
          <w:rFonts w:ascii="宋体" w:hAnsi="宋体"/>
          <w:sz w:val="24"/>
        </w:rPr>
        <w:t>地人民法院提请诉讼。</w:t>
      </w:r>
    </w:p>
    <w:p w14:paraId="2843C595">
      <w:pPr>
        <w:pStyle w:val="2"/>
        <w:pageBreakBefore w:val="0"/>
        <w:widowControl w:val="0"/>
        <w:tabs>
          <w:tab w:val="left" w:pos="1006"/>
          <w:tab w:val="clear" w:pos="864"/>
        </w:tabs>
        <w:kinsoku/>
        <w:wordWrap w:val="0"/>
        <w:overflowPunct/>
        <w:topLinePunct/>
        <w:autoSpaceDE/>
        <w:autoSpaceDN/>
        <w:bidi w:val="0"/>
        <w:snapToGrid/>
        <w:spacing w:line="520" w:lineRule="exact"/>
        <w:textAlignment w:val="auto"/>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十三、合同生效</w:t>
      </w:r>
    </w:p>
    <w:p w14:paraId="4AFFBFCB">
      <w:pPr>
        <w:keepNext w:val="0"/>
        <w:keepLines w:val="0"/>
        <w:pageBreakBefore w:val="0"/>
        <w:widowControl w:val="0"/>
        <w:kinsoku/>
        <w:wordWrap/>
        <w:overflowPunct/>
        <w:autoSpaceDE/>
        <w:autoSpaceDN/>
        <w:bidi w:val="0"/>
        <w:adjustRightInd/>
        <w:snapToGrid/>
        <w:spacing w:line="520" w:lineRule="exact"/>
        <w:ind w:firstLine="480" w:firstLineChars="200"/>
        <w:textAlignment w:val="auto"/>
        <w:rPr>
          <w:rFonts w:hint="eastAsia" w:ascii="宋体" w:hAnsi="宋体" w:cs="宋体"/>
          <w:sz w:val="24"/>
        </w:rPr>
      </w:pPr>
      <w:r>
        <w:rPr>
          <w:rFonts w:hint="eastAsia" w:ascii="宋体" w:hAnsi="宋体" w:cs="宋体"/>
          <w:sz w:val="24"/>
        </w:rPr>
        <w:t>1、合同未尽事宜、由甲、乙双方协商，作为合同补充，与原合同具有同等法律效力。</w:t>
      </w:r>
    </w:p>
    <w:p w14:paraId="506DA058">
      <w:pPr>
        <w:keepNext w:val="0"/>
        <w:keepLines w:val="0"/>
        <w:pageBreakBefore w:val="0"/>
        <w:widowControl w:val="0"/>
        <w:kinsoku/>
        <w:wordWrap/>
        <w:overflowPunct/>
        <w:autoSpaceDE/>
        <w:autoSpaceDN/>
        <w:bidi w:val="0"/>
        <w:adjustRightInd/>
        <w:snapToGrid/>
        <w:spacing w:line="520" w:lineRule="exact"/>
        <w:ind w:firstLine="480" w:firstLineChars="200"/>
        <w:textAlignment w:val="auto"/>
        <w:rPr>
          <w:rFonts w:hint="eastAsia" w:ascii="宋体" w:hAnsi="宋体" w:cs="宋体"/>
          <w:sz w:val="24"/>
        </w:rPr>
      </w:pPr>
      <w:r>
        <w:rPr>
          <w:rFonts w:hint="eastAsia" w:ascii="宋体" w:hAnsi="宋体" w:cs="宋体"/>
          <w:sz w:val="24"/>
        </w:rPr>
        <w:t>2、 本合同正本一式</w:t>
      </w:r>
      <w:r>
        <w:rPr>
          <w:rFonts w:hint="eastAsia" w:ascii="宋体" w:hAnsi="宋体" w:cs="宋体"/>
          <w:sz w:val="24"/>
          <w:u w:val="single"/>
        </w:rPr>
        <w:t xml:space="preserve"> 4</w:t>
      </w:r>
      <w:r>
        <w:rPr>
          <w:rFonts w:hint="eastAsia" w:ascii="宋体" w:hAnsi="宋体" w:cs="宋体"/>
          <w:sz w:val="24"/>
        </w:rPr>
        <w:t>份，甲方、乙方双方分别执</w:t>
      </w:r>
      <w:r>
        <w:rPr>
          <w:rFonts w:hint="eastAsia" w:ascii="宋体" w:hAnsi="宋体" w:cs="宋体"/>
          <w:sz w:val="24"/>
          <w:u w:val="single"/>
        </w:rPr>
        <w:t xml:space="preserve"> 2 </w:t>
      </w:r>
      <w:r>
        <w:rPr>
          <w:rFonts w:hint="eastAsia" w:ascii="宋体" w:hAnsi="宋体" w:cs="宋体"/>
          <w:sz w:val="24"/>
        </w:rPr>
        <w:t>份。</w:t>
      </w:r>
    </w:p>
    <w:p w14:paraId="18AD2265">
      <w:pPr>
        <w:keepNext w:val="0"/>
        <w:keepLines w:val="0"/>
        <w:pageBreakBefore w:val="0"/>
        <w:widowControl w:val="0"/>
        <w:kinsoku/>
        <w:wordWrap/>
        <w:overflowPunct/>
        <w:autoSpaceDE/>
        <w:autoSpaceDN/>
        <w:bidi w:val="0"/>
        <w:adjustRightInd/>
        <w:snapToGrid/>
        <w:spacing w:line="520" w:lineRule="exact"/>
        <w:ind w:firstLine="480" w:firstLineChars="200"/>
        <w:textAlignment w:val="auto"/>
        <w:rPr>
          <w:rFonts w:hint="eastAsia" w:ascii="宋体" w:hAnsi="宋体" w:cs="宋体"/>
          <w:sz w:val="24"/>
        </w:rPr>
      </w:pPr>
      <w:r>
        <w:rPr>
          <w:rFonts w:hint="eastAsia" w:ascii="宋体" w:hAnsi="宋体" w:cs="宋体"/>
          <w:sz w:val="24"/>
        </w:rPr>
        <w:t>3、本合同由甲乙双方签字盖章，自签字盖章之日起生效。</w:t>
      </w:r>
    </w:p>
    <w:p w14:paraId="450D28AD">
      <w:pPr>
        <w:keepNext w:val="0"/>
        <w:keepLines w:val="0"/>
        <w:pageBreakBefore w:val="0"/>
        <w:widowControl w:val="0"/>
        <w:kinsoku/>
        <w:wordWrap/>
        <w:overflowPunct/>
        <w:autoSpaceDE/>
        <w:autoSpaceDN/>
        <w:bidi w:val="0"/>
        <w:adjustRightInd/>
        <w:snapToGrid/>
        <w:spacing w:line="520" w:lineRule="exact"/>
        <w:ind w:firstLine="480" w:firstLineChars="200"/>
        <w:textAlignment w:val="auto"/>
      </w:pPr>
      <w:r>
        <w:rPr>
          <w:rFonts w:hint="eastAsia" w:ascii="宋体" w:hAnsi="宋体" w:cs="宋体"/>
          <w:sz w:val="24"/>
        </w:rPr>
        <w:t>4、合同履行完后自动终止。</w:t>
      </w:r>
    </w:p>
    <w:tbl>
      <w:tblPr>
        <w:tblStyle w:val="6"/>
        <w:tblpPr w:leftFromText="180" w:rightFromText="180" w:vertAnchor="text" w:horzAnchor="page" w:tblpX="1485" w:tblpY="314"/>
        <w:tblOverlap w:val="never"/>
        <w:tblW w:w="914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17"/>
        <w:gridCol w:w="4723"/>
      </w:tblGrid>
      <w:tr w14:paraId="6AB270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5" w:hRule="atLeast"/>
        </w:trPr>
        <w:tc>
          <w:tcPr>
            <w:tcW w:w="4417" w:type="dxa"/>
          </w:tcPr>
          <w:p w14:paraId="24DE403A">
            <w:pPr>
              <w:pStyle w:val="14"/>
              <w:spacing w:before="160"/>
              <w:rPr>
                <w:rFonts w:hint="eastAsia" w:ascii="宋体" w:hAnsi="宋体" w:cs="宋体"/>
                <w:sz w:val="24"/>
              </w:rPr>
            </w:pPr>
            <w:r>
              <w:rPr>
                <w:rFonts w:hint="eastAsia" w:ascii="宋体" w:hAnsi="宋体" w:cs="宋体"/>
                <w:sz w:val="24"/>
                <w:lang w:val="en-US" w:eastAsia="zh-CN"/>
              </w:rPr>
              <w:t>甲方</w:t>
            </w:r>
            <w:r>
              <w:rPr>
                <w:rFonts w:hint="eastAsia" w:ascii="宋体" w:hAnsi="宋体" w:cs="宋体"/>
                <w:sz w:val="24"/>
              </w:rPr>
              <w:t>（公章）</w:t>
            </w:r>
          </w:p>
        </w:tc>
        <w:tc>
          <w:tcPr>
            <w:tcW w:w="4723" w:type="dxa"/>
          </w:tcPr>
          <w:p w14:paraId="7D52C091">
            <w:pPr>
              <w:pStyle w:val="14"/>
              <w:spacing w:before="160"/>
              <w:rPr>
                <w:rFonts w:hint="eastAsia" w:ascii="宋体" w:hAnsi="宋体" w:cs="宋体"/>
                <w:sz w:val="24"/>
              </w:rPr>
            </w:pPr>
            <w:r>
              <w:rPr>
                <w:rFonts w:hint="eastAsia" w:ascii="宋体" w:hAnsi="宋体" w:cs="宋体"/>
                <w:sz w:val="24"/>
                <w:lang w:val="en-US" w:eastAsia="zh-CN"/>
              </w:rPr>
              <w:t>乙方</w:t>
            </w:r>
            <w:r>
              <w:rPr>
                <w:rFonts w:hint="eastAsia" w:ascii="宋体" w:hAnsi="宋体" w:cs="宋体"/>
                <w:sz w:val="24"/>
              </w:rPr>
              <w:t>（公章）</w:t>
            </w:r>
          </w:p>
        </w:tc>
      </w:tr>
      <w:tr w14:paraId="577B9C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4417" w:type="dxa"/>
          </w:tcPr>
          <w:p w14:paraId="5A85CDE7">
            <w:pPr>
              <w:pStyle w:val="14"/>
              <w:spacing w:before="80"/>
              <w:ind w:left="106"/>
              <w:rPr>
                <w:rFonts w:hint="eastAsia" w:ascii="宋体" w:hAnsi="宋体" w:cs="宋体"/>
                <w:sz w:val="24"/>
              </w:rPr>
            </w:pPr>
            <w:r>
              <w:rPr>
                <w:rFonts w:hint="eastAsia" w:ascii="宋体" w:hAnsi="宋体" w:cs="宋体"/>
                <w:sz w:val="24"/>
              </w:rPr>
              <w:t>地址：</w:t>
            </w:r>
          </w:p>
        </w:tc>
        <w:tc>
          <w:tcPr>
            <w:tcW w:w="4723" w:type="dxa"/>
          </w:tcPr>
          <w:p w14:paraId="5A38FE2B">
            <w:pPr>
              <w:pStyle w:val="14"/>
              <w:spacing w:before="80"/>
              <w:ind w:left="107"/>
              <w:rPr>
                <w:rFonts w:hint="eastAsia" w:ascii="宋体" w:hAnsi="宋体" w:cs="宋体"/>
                <w:sz w:val="24"/>
              </w:rPr>
            </w:pPr>
            <w:r>
              <w:rPr>
                <w:rFonts w:hint="eastAsia" w:ascii="宋体" w:hAnsi="宋体" w:cs="宋体"/>
                <w:sz w:val="24"/>
              </w:rPr>
              <w:t>地址：</w:t>
            </w:r>
          </w:p>
        </w:tc>
      </w:tr>
      <w:tr w14:paraId="7D6582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417" w:type="dxa"/>
          </w:tcPr>
          <w:p w14:paraId="3C42D9A0">
            <w:pPr>
              <w:pStyle w:val="14"/>
              <w:spacing w:before="80"/>
              <w:ind w:left="106"/>
              <w:rPr>
                <w:rFonts w:hint="eastAsia" w:ascii="宋体" w:hAnsi="宋体" w:cs="宋体"/>
                <w:sz w:val="24"/>
              </w:rPr>
            </w:pPr>
            <w:r>
              <w:rPr>
                <w:rFonts w:hint="eastAsia" w:ascii="宋体" w:hAnsi="宋体" w:cs="宋体"/>
                <w:sz w:val="24"/>
              </w:rPr>
              <w:t>邮编：</w:t>
            </w:r>
          </w:p>
        </w:tc>
        <w:tc>
          <w:tcPr>
            <w:tcW w:w="4723" w:type="dxa"/>
          </w:tcPr>
          <w:p w14:paraId="6BA393AF">
            <w:pPr>
              <w:pStyle w:val="14"/>
              <w:spacing w:before="80"/>
              <w:ind w:left="107"/>
              <w:rPr>
                <w:rFonts w:hint="eastAsia" w:ascii="宋体" w:hAnsi="宋体" w:cs="宋体"/>
                <w:sz w:val="24"/>
              </w:rPr>
            </w:pPr>
            <w:r>
              <w:rPr>
                <w:rFonts w:hint="eastAsia" w:ascii="宋体" w:hAnsi="宋体" w:cs="宋体"/>
                <w:sz w:val="24"/>
              </w:rPr>
              <w:t>邮编：</w:t>
            </w:r>
          </w:p>
        </w:tc>
      </w:tr>
      <w:tr w14:paraId="1E6D68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417" w:type="dxa"/>
          </w:tcPr>
          <w:p w14:paraId="3A3E1902">
            <w:pPr>
              <w:pStyle w:val="14"/>
              <w:spacing w:before="82"/>
              <w:ind w:left="106"/>
              <w:rPr>
                <w:rFonts w:hint="eastAsia" w:ascii="宋体" w:hAnsi="宋体" w:cs="宋体"/>
                <w:sz w:val="24"/>
              </w:rPr>
            </w:pPr>
            <w:r>
              <w:rPr>
                <w:rFonts w:hint="eastAsia" w:ascii="宋体" w:hAnsi="宋体" w:cs="宋体"/>
                <w:sz w:val="24"/>
              </w:rPr>
              <w:t>法定代表人：</w:t>
            </w:r>
          </w:p>
        </w:tc>
        <w:tc>
          <w:tcPr>
            <w:tcW w:w="4723" w:type="dxa"/>
          </w:tcPr>
          <w:p w14:paraId="7B5246A7">
            <w:pPr>
              <w:pStyle w:val="14"/>
              <w:spacing w:before="82"/>
              <w:ind w:left="107"/>
              <w:rPr>
                <w:rFonts w:hint="eastAsia" w:ascii="宋体" w:hAnsi="宋体" w:cs="宋体"/>
                <w:sz w:val="24"/>
              </w:rPr>
            </w:pPr>
            <w:r>
              <w:rPr>
                <w:rFonts w:hint="eastAsia" w:ascii="宋体" w:hAnsi="宋体" w:cs="宋体"/>
                <w:sz w:val="24"/>
              </w:rPr>
              <w:t>法定代表人：</w:t>
            </w:r>
          </w:p>
        </w:tc>
      </w:tr>
      <w:tr w14:paraId="68979D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417" w:type="dxa"/>
          </w:tcPr>
          <w:p w14:paraId="664396B0">
            <w:pPr>
              <w:pStyle w:val="14"/>
              <w:spacing w:before="81"/>
              <w:ind w:left="106"/>
              <w:rPr>
                <w:rFonts w:hint="eastAsia" w:ascii="宋体" w:hAnsi="宋体" w:cs="宋体"/>
                <w:sz w:val="24"/>
              </w:rPr>
            </w:pPr>
            <w:r>
              <w:rPr>
                <w:rFonts w:hint="eastAsia" w:ascii="宋体" w:hAnsi="宋体" w:cs="宋体"/>
                <w:sz w:val="24"/>
              </w:rPr>
              <w:t>负责人：（签字）</w:t>
            </w:r>
          </w:p>
        </w:tc>
        <w:tc>
          <w:tcPr>
            <w:tcW w:w="4723" w:type="dxa"/>
          </w:tcPr>
          <w:p w14:paraId="49F8CB2F">
            <w:pPr>
              <w:pStyle w:val="14"/>
              <w:spacing w:before="81"/>
              <w:ind w:left="107"/>
              <w:rPr>
                <w:rFonts w:hint="eastAsia" w:ascii="宋体" w:hAnsi="宋体" w:cs="宋体"/>
                <w:sz w:val="24"/>
              </w:rPr>
            </w:pPr>
            <w:r>
              <w:rPr>
                <w:rFonts w:hint="eastAsia" w:ascii="宋体" w:hAnsi="宋体" w:cs="宋体"/>
                <w:sz w:val="24"/>
              </w:rPr>
              <w:t>负责人：（签字）</w:t>
            </w:r>
          </w:p>
        </w:tc>
      </w:tr>
      <w:tr w14:paraId="4F6D4D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417" w:type="dxa"/>
          </w:tcPr>
          <w:p w14:paraId="1B80E4CE">
            <w:pPr>
              <w:pStyle w:val="14"/>
              <w:spacing w:before="81"/>
              <w:ind w:left="106"/>
              <w:rPr>
                <w:rFonts w:hint="eastAsia" w:ascii="宋体" w:hAnsi="宋体" w:cs="宋体"/>
                <w:sz w:val="24"/>
              </w:rPr>
            </w:pPr>
            <w:r>
              <w:rPr>
                <w:rFonts w:hint="eastAsia" w:ascii="宋体" w:hAnsi="宋体" w:cs="宋体"/>
                <w:sz w:val="24"/>
              </w:rPr>
              <w:t>电话：</w:t>
            </w:r>
          </w:p>
        </w:tc>
        <w:tc>
          <w:tcPr>
            <w:tcW w:w="4723" w:type="dxa"/>
          </w:tcPr>
          <w:p w14:paraId="3AD66F01">
            <w:pPr>
              <w:pStyle w:val="14"/>
              <w:spacing w:before="81"/>
              <w:ind w:left="107"/>
              <w:rPr>
                <w:rFonts w:hint="eastAsia" w:ascii="宋体" w:hAnsi="宋体" w:cs="宋体"/>
                <w:sz w:val="24"/>
              </w:rPr>
            </w:pPr>
            <w:r>
              <w:rPr>
                <w:rFonts w:hint="eastAsia" w:ascii="宋体" w:hAnsi="宋体" w:cs="宋体"/>
                <w:sz w:val="24"/>
              </w:rPr>
              <w:t>电话：</w:t>
            </w:r>
          </w:p>
        </w:tc>
      </w:tr>
      <w:tr w14:paraId="5F699C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4417" w:type="dxa"/>
          </w:tcPr>
          <w:p w14:paraId="2F4BED01">
            <w:pPr>
              <w:pStyle w:val="14"/>
              <w:spacing w:before="81"/>
              <w:ind w:left="106"/>
              <w:rPr>
                <w:rFonts w:hint="eastAsia" w:ascii="宋体" w:hAnsi="宋体" w:cs="宋体"/>
                <w:sz w:val="24"/>
              </w:rPr>
            </w:pPr>
            <w:r>
              <w:rPr>
                <w:rFonts w:hint="eastAsia" w:ascii="宋体" w:hAnsi="宋体" w:cs="宋体"/>
                <w:sz w:val="24"/>
              </w:rPr>
              <w:t>传真：</w:t>
            </w:r>
          </w:p>
        </w:tc>
        <w:tc>
          <w:tcPr>
            <w:tcW w:w="4723" w:type="dxa"/>
          </w:tcPr>
          <w:p w14:paraId="0ED012B0">
            <w:pPr>
              <w:pStyle w:val="14"/>
              <w:spacing w:before="81"/>
              <w:ind w:left="107"/>
              <w:rPr>
                <w:rFonts w:hint="eastAsia" w:ascii="宋体" w:hAnsi="宋体" w:cs="宋体"/>
                <w:sz w:val="24"/>
              </w:rPr>
            </w:pPr>
            <w:r>
              <w:rPr>
                <w:rFonts w:hint="eastAsia" w:ascii="宋体" w:hAnsi="宋体" w:cs="宋体"/>
                <w:sz w:val="24"/>
              </w:rPr>
              <w:t>传真：</w:t>
            </w:r>
          </w:p>
        </w:tc>
      </w:tr>
      <w:tr w14:paraId="52339D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4417" w:type="dxa"/>
          </w:tcPr>
          <w:p w14:paraId="71B1BE36">
            <w:pPr>
              <w:pStyle w:val="14"/>
              <w:spacing w:before="80"/>
              <w:ind w:left="107"/>
              <w:rPr>
                <w:rFonts w:hint="eastAsia" w:ascii="宋体" w:hAnsi="宋体" w:cs="宋体"/>
              </w:rPr>
            </w:pPr>
            <w:r>
              <w:rPr>
                <w:rFonts w:hint="eastAsia" w:ascii="宋体" w:hAnsi="宋体" w:eastAsia="宋体" w:cs="宋体"/>
                <w:sz w:val="24"/>
              </w:rPr>
              <w:t>开户银行：</w:t>
            </w:r>
          </w:p>
        </w:tc>
        <w:tc>
          <w:tcPr>
            <w:tcW w:w="4723" w:type="dxa"/>
          </w:tcPr>
          <w:p w14:paraId="4ADB17FA">
            <w:pPr>
              <w:pStyle w:val="14"/>
              <w:spacing w:before="80"/>
              <w:ind w:left="107"/>
              <w:rPr>
                <w:rFonts w:hint="eastAsia" w:ascii="宋体" w:hAnsi="宋体" w:cs="宋体"/>
                <w:sz w:val="24"/>
              </w:rPr>
            </w:pPr>
            <w:r>
              <w:rPr>
                <w:rFonts w:hint="eastAsia" w:ascii="宋体" w:hAnsi="宋体" w:cs="宋体"/>
                <w:sz w:val="24"/>
              </w:rPr>
              <w:t>开户银行：</w:t>
            </w:r>
          </w:p>
        </w:tc>
      </w:tr>
      <w:tr w14:paraId="37C1D6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7" w:hRule="atLeast"/>
        </w:trPr>
        <w:tc>
          <w:tcPr>
            <w:tcW w:w="4417" w:type="dxa"/>
            <w:vAlign w:val="top"/>
          </w:tcPr>
          <w:p w14:paraId="211F9D28">
            <w:pPr>
              <w:pStyle w:val="14"/>
              <w:spacing w:before="80"/>
              <w:ind w:left="107" w:leftChars="0"/>
              <w:rPr>
                <w:rFonts w:hint="eastAsia" w:ascii="宋体" w:hAnsi="宋体" w:cs="宋体"/>
              </w:rPr>
            </w:pPr>
            <w:r>
              <w:rPr>
                <w:rFonts w:hint="eastAsia" w:ascii="宋体" w:hAnsi="宋体" w:cs="宋体"/>
                <w:sz w:val="24"/>
              </w:rPr>
              <w:t>账号：</w:t>
            </w:r>
          </w:p>
        </w:tc>
        <w:tc>
          <w:tcPr>
            <w:tcW w:w="4723" w:type="dxa"/>
          </w:tcPr>
          <w:p w14:paraId="54DCDAC7">
            <w:pPr>
              <w:pStyle w:val="14"/>
              <w:spacing w:before="80"/>
              <w:ind w:left="107"/>
              <w:rPr>
                <w:rFonts w:hint="eastAsia" w:ascii="宋体" w:hAnsi="宋体" w:cs="宋体"/>
                <w:sz w:val="24"/>
              </w:rPr>
            </w:pPr>
            <w:r>
              <w:rPr>
                <w:rFonts w:hint="eastAsia" w:ascii="宋体" w:hAnsi="宋体" w:cs="宋体"/>
                <w:sz w:val="24"/>
              </w:rPr>
              <w:t>账号：</w:t>
            </w:r>
          </w:p>
        </w:tc>
      </w:tr>
      <w:tr w14:paraId="436B7D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4417" w:type="dxa"/>
            <w:vAlign w:val="top"/>
          </w:tcPr>
          <w:p w14:paraId="22513D16">
            <w:pPr>
              <w:pStyle w:val="14"/>
              <w:spacing w:before="80"/>
              <w:ind w:left="107" w:leftChars="0"/>
              <w:rPr>
                <w:rFonts w:hint="eastAsia" w:ascii="宋体" w:hAnsi="宋体" w:cs="宋体"/>
              </w:rPr>
            </w:pPr>
            <w:r>
              <w:rPr>
                <w:rFonts w:hint="eastAsia" w:ascii="宋体" w:hAnsi="宋体" w:cs="宋体"/>
                <w:sz w:val="24"/>
              </w:rPr>
              <w:t>电子邮箱：</w:t>
            </w:r>
          </w:p>
        </w:tc>
        <w:tc>
          <w:tcPr>
            <w:tcW w:w="4723" w:type="dxa"/>
          </w:tcPr>
          <w:p w14:paraId="21A1489D">
            <w:pPr>
              <w:pStyle w:val="14"/>
              <w:spacing w:before="80"/>
              <w:ind w:left="107"/>
              <w:rPr>
                <w:rFonts w:hint="eastAsia" w:ascii="宋体" w:hAnsi="宋体" w:cs="宋体"/>
                <w:sz w:val="24"/>
              </w:rPr>
            </w:pPr>
            <w:r>
              <w:rPr>
                <w:rFonts w:hint="eastAsia" w:ascii="宋体" w:hAnsi="宋体" w:cs="宋体"/>
                <w:sz w:val="24"/>
              </w:rPr>
              <w:t>电子邮箱：</w:t>
            </w:r>
          </w:p>
        </w:tc>
      </w:tr>
      <w:tr w14:paraId="12B789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417" w:type="dxa"/>
          </w:tcPr>
          <w:p w14:paraId="0DC55E31">
            <w:pPr>
              <w:pStyle w:val="14"/>
              <w:tabs>
                <w:tab w:val="left" w:pos="1186"/>
                <w:tab w:val="left" w:pos="1666"/>
                <w:tab w:val="left" w:pos="2146"/>
              </w:tabs>
              <w:spacing w:before="82"/>
              <w:ind w:left="106"/>
              <w:rPr>
                <w:rFonts w:hint="eastAsia" w:ascii="宋体" w:hAnsi="宋体" w:cs="宋体"/>
                <w:sz w:val="24"/>
              </w:rPr>
            </w:pPr>
            <w:r>
              <w:rPr>
                <w:rFonts w:hint="eastAsia" w:ascii="宋体" w:hAnsi="宋体" w:cs="宋体"/>
                <w:sz w:val="24"/>
              </w:rPr>
              <w:t>日期：</w:t>
            </w:r>
            <w:r>
              <w:rPr>
                <w:rFonts w:hint="eastAsia" w:ascii="宋体" w:hAnsi="宋体" w:cs="宋体"/>
                <w:sz w:val="24"/>
              </w:rPr>
              <w:tab/>
            </w:r>
            <w:r>
              <w:rPr>
                <w:rFonts w:hint="eastAsia" w:ascii="宋体" w:hAnsi="宋体" w:cs="宋体"/>
                <w:sz w:val="24"/>
              </w:rPr>
              <w:t>年</w:t>
            </w:r>
            <w:r>
              <w:rPr>
                <w:rFonts w:hint="eastAsia" w:ascii="宋体" w:hAnsi="宋体" w:cs="宋体"/>
                <w:sz w:val="24"/>
              </w:rPr>
              <w:tab/>
            </w:r>
            <w:r>
              <w:rPr>
                <w:rFonts w:hint="eastAsia" w:ascii="宋体" w:hAnsi="宋体" w:cs="宋体"/>
                <w:sz w:val="24"/>
              </w:rPr>
              <w:t>月</w:t>
            </w:r>
            <w:r>
              <w:rPr>
                <w:rFonts w:hint="eastAsia" w:ascii="宋体" w:hAnsi="宋体" w:cs="宋体"/>
                <w:sz w:val="24"/>
              </w:rPr>
              <w:tab/>
            </w:r>
            <w:r>
              <w:rPr>
                <w:rFonts w:hint="eastAsia" w:ascii="宋体" w:hAnsi="宋体" w:cs="宋体"/>
                <w:sz w:val="24"/>
              </w:rPr>
              <w:t>日</w:t>
            </w:r>
          </w:p>
        </w:tc>
        <w:tc>
          <w:tcPr>
            <w:tcW w:w="4723" w:type="dxa"/>
          </w:tcPr>
          <w:p w14:paraId="67BB2CEE">
            <w:pPr>
              <w:pStyle w:val="14"/>
              <w:tabs>
                <w:tab w:val="left" w:pos="1187"/>
                <w:tab w:val="left" w:pos="1667"/>
                <w:tab w:val="left" w:pos="2147"/>
              </w:tabs>
              <w:spacing w:before="82"/>
              <w:ind w:left="107"/>
              <w:rPr>
                <w:rFonts w:hint="eastAsia" w:ascii="宋体" w:hAnsi="宋体" w:cs="宋体"/>
                <w:sz w:val="24"/>
              </w:rPr>
            </w:pPr>
            <w:r>
              <w:rPr>
                <w:rFonts w:hint="eastAsia" w:ascii="宋体" w:hAnsi="宋体" w:cs="宋体"/>
                <w:sz w:val="24"/>
              </w:rPr>
              <w:t>日期：</w:t>
            </w:r>
            <w:r>
              <w:rPr>
                <w:rFonts w:hint="eastAsia" w:ascii="宋体" w:hAnsi="宋体" w:cs="宋体"/>
                <w:sz w:val="24"/>
              </w:rPr>
              <w:tab/>
            </w:r>
            <w:r>
              <w:rPr>
                <w:rFonts w:hint="eastAsia" w:ascii="宋体" w:hAnsi="宋体" w:cs="宋体"/>
                <w:sz w:val="24"/>
              </w:rPr>
              <w:t>年</w:t>
            </w:r>
            <w:r>
              <w:rPr>
                <w:rFonts w:hint="eastAsia" w:ascii="宋体" w:hAnsi="宋体" w:cs="宋体"/>
                <w:sz w:val="24"/>
              </w:rPr>
              <w:tab/>
            </w:r>
            <w:r>
              <w:rPr>
                <w:rFonts w:hint="eastAsia" w:ascii="宋体" w:hAnsi="宋体" w:cs="宋体"/>
                <w:sz w:val="24"/>
              </w:rPr>
              <w:t>月</w:t>
            </w:r>
            <w:r>
              <w:rPr>
                <w:rFonts w:hint="eastAsia" w:ascii="宋体" w:hAnsi="宋体" w:cs="宋体"/>
                <w:sz w:val="24"/>
              </w:rPr>
              <w:tab/>
            </w:r>
            <w:r>
              <w:rPr>
                <w:rFonts w:hint="eastAsia" w:ascii="宋体" w:hAnsi="宋体" w:cs="宋体"/>
                <w:sz w:val="24"/>
              </w:rPr>
              <w:t>日</w:t>
            </w:r>
          </w:p>
        </w:tc>
      </w:tr>
    </w:tbl>
    <w:p w14:paraId="7E5FC1B5">
      <w:pPr>
        <w:spacing w:line="460" w:lineRule="exact"/>
        <w:ind w:firstLine="2280" w:firstLineChars="950"/>
        <w:rPr>
          <w:rFonts w:hint="eastAsia" w:ascii="宋体" w:hAnsi="宋体" w:cs="宋体"/>
          <w:sz w:val="24"/>
        </w:rPr>
      </w:pPr>
    </w:p>
    <w:p w14:paraId="4D8F7E3A">
      <w:pPr>
        <w:spacing w:line="460" w:lineRule="exact"/>
        <w:ind w:firstLine="2280" w:firstLineChars="950"/>
        <w:rPr>
          <w:rFonts w:hint="eastAsia" w:ascii="宋体" w:hAnsi="宋体" w:cs="宋体"/>
          <w:sz w:val="24"/>
        </w:rPr>
      </w:pPr>
    </w:p>
    <w:p w14:paraId="14EA4F44"/>
    <w:p w14:paraId="7BEF8F29">
      <w:pPr>
        <w:pStyle w:val="15"/>
        <w:spacing w:before="48"/>
      </w:pPr>
    </w:p>
    <w:p w14:paraId="62E35DF0">
      <w:pPr>
        <w:tabs>
          <w:tab w:val="left" w:pos="5355"/>
        </w:tabs>
        <w:spacing w:line="360" w:lineRule="auto"/>
        <w:rPr>
          <w:rFonts w:hint="eastAsia" w:ascii="宋体" w:hAnsi="宋体"/>
          <w:sz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A77E89"/>
    <w:multiLevelType w:val="singleLevel"/>
    <w:tmpl w:val="05A77E8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31FA7"/>
    <w:rsid w:val="18982CBB"/>
    <w:rsid w:val="22951DC3"/>
    <w:rsid w:val="4049346E"/>
    <w:rsid w:val="503E61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99"/>
    <w:pPr>
      <w:keepNext/>
      <w:keepLines/>
      <w:spacing w:line="240" w:lineRule="auto"/>
      <w:outlineLvl w:val="1"/>
    </w:pPr>
    <w:rPr>
      <w:rFonts w:ascii="Calibri" w:hAnsi="Calibri" w:cs="Calibri"/>
      <w:b/>
      <w:bCs/>
      <w:sz w:val="32"/>
      <w:szCs w:val="32"/>
    </w:rPr>
  </w:style>
  <w:style w:type="paragraph" w:styleId="2">
    <w:name w:val="heading 4"/>
    <w:basedOn w:val="1"/>
    <w:next w:val="1"/>
    <w:qFormat/>
    <w:uiPriority w:val="0"/>
    <w:pPr>
      <w:keepNext/>
      <w:keepLines/>
      <w:tabs>
        <w:tab w:val="left" w:pos="864"/>
      </w:tabs>
      <w:spacing w:before="120" w:line="360" w:lineRule="auto"/>
      <w:ind w:left="864" w:hanging="864"/>
      <w:outlineLvl w:val="3"/>
    </w:pPr>
    <w:rPr>
      <w:rFonts w:ascii="Wingdings" w:hAnsi="Wingdings" w:cs="Times New Roman"/>
      <w:bCs/>
      <w:kern w:val="0"/>
      <w:sz w:val="20"/>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 w:type="paragraph" w:styleId="5">
    <w:name w:val="Body Text Indent 3"/>
    <w:basedOn w:val="1"/>
    <w:qFormat/>
    <w:uiPriority w:val="0"/>
    <w:pPr>
      <w:spacing w:after="120"/>
      <w:ind w:left="420" w:leftChars="200"/>
    </w:pPr>
    <w:rPr>
      <w:sz w:val="16"/>
      <w:szCs w:val="16"/>
    </w:rPr>
  </w:style>
  <w:style w:type="paragraph" w:customStyle="1" w:styleId="8">
    <w:name w:val="正文_1"/>
    <w:basedOn w:val="1"/>
    <w:qFormat/>
    <w:uiPriority w:val="0"/>
    <w:pPr>
      <w:keepNext w:val="0"/>
      <w:keepLines w:val="0"/>
      <w:widowControl w:val="0"/>
      <w:suppressLineNumbers w:val="0"/>
      <w:spacing w:before="0" w:beforeAutospacing="0" w:after="0" w:afterAutospacing="0"/>
      <w:ind w:left="0" w:right="0"/>
      <w:jc w:val="both"/>
    </w:pPr>
    <w:rPr>
      <w:rFonts w:hint="default" w:ascii="Calibri" w:hAnsi="Calibri" w:eastAsia="宋体" w:cs="Times New Roman"/>
      <w:kern w:val="2"/>
      <w:sz w:val="21"/>
      <w:szCs w:val="22"/>
      <w:lang w:val="en-US" w:eastAsia="zh-CN" w:bidi="ar"/>
    </w:rPr>
  </w:style>
  <w:style w:type="paragraph" w:customStyle="1" w:styleId="9">
    <w:name w:val="正文缩进_0"/>
    <w:basedOn w:val="8"/>
    <w:unhideWhenUsed/>
    <w:qFormat/>
    <w:uiPriority w:val="0"/>
    <w:pPr>
      <w:adjustRightInd w:val="0"/>
      <w:spacing w:line="360" w:lineRule="atLeast"/>
      <w:ind w:firstLine="482"/>
    </w:pPr>
    <w:rPr>
      <w:rFonts w:ascii="Calibri" w:hAnsi="Calibri"/>
      <w:kern w:val="0"/>
      <w:sz w:val="24"/>
      <w:szCs w:val="20"/>
    </w:rPr>
  </w:style>
  <w:style w:type="paragraph" w:customStyle="1" w:styleId="10">
    <w:name w:val="样式 首行缩进:  2 字符_0"/>
    <w:basedOn w:val="8"/>
    <w:qFormat/>
    <w:uiPriority w:val="0"/>
    <w:pPr>
      <w:spacing w:line="400" w:lineRule="exact"/>
      <w:ind w:firstLine="200" w:firstLineChars="200"/>
    </w:pPr>
    <w:rPr>
      <w:rFonts w:ascii="宋体" w:cs="宋体"/>
      <w:kern w:val="0"/>
      <w:sz w:val="24"/>
      <w:szCs w:val="20"/>
    </w:rPr>
  </w:style>
  <w:style w:type="paragraph" w:customStyle="1" w:styleId="11">
    <w:name w:val="样式4"/>
    <w:basedOn w:val="1"/>
    <w:autoRedefine/>
    <w:qFormat/>
    <w:uiPriority w:val="0"/>
    <w:pPr>
      <w:widowControl w:val="0"/>
      <w:autoSpaceDE w:val="0"/>
      <w:autoSpaceDN w:val="0"/>
      <w:spacing w:line="360" w:lineRule="auto"/>
      <w:ind w:firstLine="480" w:firstLineChars="200"/>
    </w:pPr>
    <w:rPr>
      <w:rFonts w:hint="eastAsia" w:ascii="宋体" w:hAnsi="宋体" w:eastAsia="等线" w:cs="Times New Roman"/>
      <w:color w:val="000000"/>
      <w:kern w:val="0"/>
      <w:sz w:val="24"/>
      <w:szCs w:val="24"/>
    </w:rPr>
  </w:style>
  <w:style w:type="paragraph" w:customStyle="1" w:styleId="12">
    <w:name w:val="正文（缩进 2 字符）"/>
    <w:basedOn w:val="1"/>
    <w:autoRedefine/>
    <w:qFormat/>
    <w:uiPriority w:val="99"/>
    <w:pPr>
      <w:ind w:firstLine="200" w:firstLineChars="200"/>
    </w:pPr>
  </w:style>
  <w:style w:type="paragraph" w:customStyle="1" w:styleId="13">
    <w:name w:val="正文（缩进 4 字符）"/>
    <w:basedOn w:val="1"/>
    <w:autoRedefine/>
    <w:qFormat/>
    <w:uiPriority w:val="99"/>
    <w:pPr>
      <w:ind w:firstLine="1134" w:firstLineChars="400"/>
    </w:pPr>
  </w:style>
  <w:style w:type="paragraph" w:customStyle="1" w:styleId="14">
    <w:name w:val="Table Paragraph"/>
    <w:basedOn w:val="1"/>
    <w:qFormat/>
    <w:uiPriority w:val="0"/>
    <w:pPr>
      <w:jc w:val="left"/>
    </w:pPr>
    <w:rPr>
      <w:rFonts w:ascii="Calibri" w:hAnsi="Calibri"/>
      <w:kern w:val="0"/>
      <w:sz w:val="22"/>
      <w:szCs w:val="22"/>
    </w:rPr>
  </w:style>
  <w:style w:type="paragraph" w:customStyle="1" w:styleId="15">
    <w:name w:val="论文正文_0"/>
    <w:basedOn w:val="1"/>
    <w:qFormat/>
    <w:uiPriority w:val="0"/>
    <w:pPr>
      <w:adjustRightInd w:val="0"/>
      <w:spacing w:before="62" w:beforeLines="20"/>
      <w:ind w:left="48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3907</Words>
  <Characters>3990</Characters>
  <Lines>0</Lines>
  <Paragraphs>0</Paragraphs>
  <TotalTime>1</TotalTime>
  <ScaleCrop>false</ScaleCrop>
  <LinksUpToDate>false</LinksUpToDate>
  <CharactersWithSpaces>4326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2025-07-16T03:06:00Z</dcterms:created>
  <dc:creator>杨光</dc:creator>
  <cp:lastModifiedBy>快乐猫</cp:lastModifiedBy>
  <dcterms:modified xsi:type="dcterms:W3CDTF">2025-08-21T07:39:38Z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eyJoZGlkIjoiOGYzOGJlZTQxYzY3ZWY4ODg1YmNmNTNiZDdlZGNlMDciLCJ1c2VySWQiOiIxNTE3ODQyNzU3In0=</vt:lpwstr>
  </property>
  <property fmtid="{D5CDD505-2E9C-101B-9397-08002B2CF9AE}" pid="4" name="ICV">
    <vt:lpwstr>B060D7EAC164441FA7639A0A04CB27A2_13</vt:lpwstr>
  </property>
</Properties>
</file>