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CCC6D4">
      <w:pPr>
        <w:pStyle w:val="4"/>
        <w:spacing w:line="276" w:lineRule="auto"/>
        <w:jc w:val="center"/>
        <w:rPr>
          <w:rFonts w:hint="eastAsia" w:ascii="宋体" w:hAnsi="宋体" w:eastAsia="宋体" w:cs="宋体"/>
          <w:kern w:val="0"/>
        </w:rPr>
      </w:pPr>
      <w:r>
        <w:rPr>
          <w:rFonts w:hint="eastAsia" w:ascii="宋体" w:hAnsi="宋体" w:eastAsia="宋体" w:cs="宋体"/>
          <w:b w:val="0"/>
          <w:kern w:val="0"/>
        </w:rPr>
        <w:t>西安石油大学</w:t>
      </w:r>
    </w:p>
    <w:p w14:paraId="4732165A">
      <w:pPr>
        <w:pStyle w:val="4"/>
        <w:spacing w:line="276" w:lineRule="auto"/>
        <w:jc w:val="center"/>
        <w:rPr>
          <w:rFonts w:hint="eastAsia" w:ascii="宋体" w:hAnsi="宋体" w:eastAsia="宋体" w:cs="宋体"/>
          <w:b w:val="0"/>
          <w:kern w:val="0"/>
        </w:rPr>
      </w:pPr>
      <w:r>
        <w:rPr>
          <w:rFonts w:hint="eastAsia" w:ascii="宋体" w:hAnsi="宋体" w:eastAsia="宋体" w:cs="宋体"/>
          <w:b w:val="0"/>
          <w:kern w:val="0"/>
          <w:u w:val="single"/>
        </w:rPr>
        <w:t xml:space="preserve">                   </w:t>
      </w:r>
      <w:r>
        <w:rPr>
          <w:rFonts w:hint="eastAsia" w:ascii="宋体" w:hAnsi="宋体" w:eastAsia="宋体" w:cs="宋体"/>
          <w:b w:val="0"/>
          <w:kern w:val="0"/>
        </w:rPr>
        <w:t>项目采购合同</w:t>
      </w:r>
    </w:p>
    <w:p w14:paraId="35245D8C">
      <w:pPr>
        <w:adjustRightInd w:val="0"/>
        <w:snapToGrid w:val="0"/>
        <w:spacing w:line="276" w:lineRule="auto"/>
        <w:jc w:val="center"/>
        <w:rPr>
          <w:rFonts w:hint="eastAsia" w:ascii="宋体" w:hAnsi="宋体" w:eastAsia="宋体" w:cs="宋体"/>
          <w:b/>
          <w:bCs/>
          <w:sz w:val="28"/>
          <w:szCs w:val="28"/>
        </w:rPr>
      </w:pPr>
    </w:p>
    <w:p w14:paraId="723ACD8F">
      <w:pPr>
        <w:adjustRightInd w:val="0"/>
        <w:snapToGrid w:val="0"/>
        <w:spacing w:line="276" w:lineRule="auto"/>
        <w:jc w:val="center"/>
        <w:rPr>
          <w:rFonts w:hint="eastAsia" w:ascii="宋体" w:hAnsi="宋体" w:eastAsia="宋体" w:cs="宋体"/>
          <w:bCs/>
          <w:sz w:val="28"/>
          <w:szCs w:val="28"/>
        </w:rPr>
      </w:pPr>
      <w:r>
        <w:rPr>
          <w:rFonts w:hint="eastAsia" w:ascii="宋体" w:hAnsi="宋体" w:eastAsia="宋体" w:cs="宋体"/>
          <w:b/>
          <w:bCs/>
          <w:sz w:val="28"/>
          <w:szCs w:val="28"/>
        </w:rPr>
        <w:t xml:space="preserve">                          </w:t>
      </w:r>
      <w:r>
        <w:rPr>
          <w:rFonts w:hint="eastAsia" w:ascii="宋体" w:hAnsi="宋体" w:eastAsia="宋体" w:cs="宋体"/>
          <w:bCs/>
          <w:sz w:val="28"/>
          <w:szCs w:val="28"/>
        </w:rPr>
        <w:t>合同编号：</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 xml:space="preserve"> </w:t>
      </w:r>
    </w:p>
    <w:p w14:paraId="4B21D319">
      <w:pPr>
        <w:adjustRightInd w:val="0"/>
        <w:snapToGrid w:val="0"/>
        <w:spacing w:line="276" w:lineRule="auto"/>
        <w:jc w:val="center"/>
        <w:rPr>
          <w:rFonts w:hint="eastAsia" w:ascii="宋体" w:hAnsi="宋体" w:eastAsia="宋体" w:cs="宋体"/>
          <w:sz w:val="28"/>
          <w:szCs w:val="28"/>
        </w:rPr>
      </w:pPr>
      <w:r>
        <w:rPr>
          <w:rFonts w:hint="eastAsia" w:ascii="宋体" w:hAnsi="宋体" w:eastAsia="宋体" w:cs="宋体"/>
          <w:bCs/>
          <w:sz w:val="28"/>
          <w:szCs w:val="28"/>
        </w:rPr>
        <w:t xml:space="preserve">                                    签订地点：中国 西安</w:t>
      </w:r>
    </w:p>
    <w:p w14:paraId="627B738D">
      <w:pPr>
        <w:adjustRightInd w:val="0"/>
        <w:snapToGrid w:val="0"/>
        <w:spacing w:line="276" w:lineRule="auto"/>
        <w:rPr>
          <w:rFonts w:hint="eastAsia" w:ascii="宋体" w:hAnsi="宋体" w:eastAsia="宋体" w:cs="宋体"/>
          <w:b/>
          <w:sz w:val="28"/>
          <w:szCs w:val="28"/>
        </w:rPr>
      </w:pPr>
      <w:r>
        <w:rPr>
          <w:rFonts w:hint="eastAsia" w:ascii="宋体" w:hAnsi="宋体" w:eastAsia="宋体" w:cs="宋体"/>
          <w:sz w:val="28"/>
          <w:szCs w:val="28"/>
        </w:rPr>
        <w:t>甲方（买方）：</w:t>
      </w:r>
      <w:r>
        <w:rPr>
          <w:rFonts w:hint="eastAsia" w:ascii="宋体" w:hAnsi="宋体" w:eastAsia="宋体" w:cs="宋体"/>
          <w:b/>
          <w:bCs/>
          <w:sz w:val="28"/>
          <w:szCs w:val="28"/>
        </w:rPr>
        <w:t>西安石油大学</w:t>
      </w:r>
    </w:p>
    <w:p w14:paraId="18B5C258">
      <w:pPr>
        <w:adjustRightInd w:val="0"/>
        <w:snapToGrid w:val="0"/>
        <w:spacing w:line="276" w:lineRule="auto"/>
        <w:rPr>
          <w:rFonts w:hint="eastAsia" w:ascii="宋体" w:hAnsi="宋体" w:eastAsia="宋体" w:cs="宋体"/>
          <w:b/>
          <w:sz w:val="28"/>
          <w:szCs w:val="28"/>
        </w:rPr>
      </w:pPr>
      <w:r>
        <w:rPr>
          <w:rFonts w:hint="eastAsia" w:ascii="宋体" w:hAnsi="宋体" w:eastAsia="宋体" w:cs="宋体"/>
          <w:b/>
          <w:sz w:val="28"/>
          <w:szCs w:val="28"/>
        </w:rPr>
        <w:t xml:space="preserve">乙方（卖方）： </w:t>
      </w:r>
    </w:p>
    <w:p w14:paraId="541E49E4">
      <w:pPr>
        <w:adjustRightInd w:val="0"/>
        <w:snapToGrid w:val="0"/>
        <w:spacing w:line="276" w:lineRule="auto"/>
        <w:ind w:firstLine="560" w:firstLineChars="200"/>
        <w:rPr>
          <w:rFonts w:hint="eastAsia" w:ascii="宋体" w:hAnsi="宋体" w:eastAsia="宋体" w:cs="宋体"/>
          <w:sz w:val="28"/>
          <w:szCs w:val="28"/>
        </w:rPr>
      </w:pPr>
    </w:p>
    <w:p w14:paraId="7AB4F35E">
      <w:pPr>
        <w:adjustRightInd w:val="0"/>
        <w:snapToGrid w:val="0"/>
        <w:spacing w:line="27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为了明确双方的权利义务, 根据本采购项目之招投标文件，依据中华人民共和国《民法典》《政府采购法》《招标投标法》及相关的法律法规，甲乙双方在平等自愿、协商一致的基础上，签订本合同。</w:t>
      </w:r>
    </w:p>
    <w:p w14:paraId="7A501E44">
      <w:pPr>
        <w:adjustRightInd w:val="0"/>
        <w:snapToGrid w:val="0"/>
        <w:spacing w:before="156" w:beforeLines="50" w:line="276" w:lineRule="auto"/>
        <w:ind w:firstLine="551" w:firstLineChars="196"/>
        <w:rPr>
          <w:rFonts w:hint="eastAsia" w:ascii="宋体" w:hAnsi="宋体" w:eastAsia="宋体" w:cs="宋体"/>
          <w:b/>
          <w:sz w:val="28"/>
          <w:szCs w:val="28"/>
        </w:rPr>
      </w:pPr>
      <w:r>
        <w:rPr>
          <w:rFonts w:hint="eastAsia" w:ascii="宋体" w:hAnsi="宋体" w:eastAsia="宋体" w:cs="宋体"/>
          <w:b/>
          <w:sz w:val="28"/>
          <w:szCs w:val="28"/>
        </w:rPr>
        <w:t>第一条　乙方声明条款</w:t>
      </w:r>
    </w:p>
    <w:p w14:paraId="57695C43">
      <w:pPr>
        <w:adjustRightInd w:val="0"/>
        <w:snapToGrid w:val="0"/>
        <w:spacing w:line="27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1、对于本合同有关的《招标文件》以</w:t>
      </w:r>
      <w:r>
        <w:rPr>
          <w:rFonts w:hint="eastAsia" w:ascii="宋体" w:hAnsi="宋体" w:eastAsia="宋体" w:cs="宋体"/>
          <w:bCs/>
          <w:sz w:val="28"/>
          <w:szCs w:val="28"/>
        </w:rPr>
        <w:t>及本合同条款，</w:t>
      </w:r>
      <w:r>
        <w:rPr>
          <w:rFonts w:hint="eastAsia" w:ascii="宋体" w:hAnsi="宋体" w:eastAsia="宋体" w:cs="宋体"/>
          <w:sz w:val="28"/>
          <w:szCs w:val="28"/>
        </w:rPr>
        <w:t>乙方</w:t>
      </w:r>
      <w:r>
        <w:rPr>
          <w:rFonts w:hint="eastAsia" w:ascii="宋体" w:hAnsi="宋体" w:eastAsia="宋体" w:cs="宋体"/>
          <w:bCs/>
          <w:sz w:val="28"/>
          <w:szCs w:val="28"/>
        </w:rPr>
        <w:t>已认真阅读和分析；对合同内容不存在误解；如有不利后果，自愿放弃抗辩。</w:t>
      </w:r>
    </w:p>
    <w:p w14:paraId="6B21A696">
      <w:pPr>
        <w:adjustRightInd w:val="0"/>
        <w:snapToGrid w:val="0"/>
        <w:spacing w:line="27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2、合同总价，与乙方的投标报价相同，且均为含税价； 因漏报、少报项目价款或费用，均视为已全部包含于本合同总价内。如有争议，按不利于乙方进行解释并据此执行。</w:t>
      </w:r>
    </w:p>
    <w:p w14:paraId="3B403592">
      <w:pPr>
        <w:adjustRightInd w:val="0"/>
        <w:snapToGrid w:val="0"/>
        <w:spacing w:line="27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乙方在《投标文件》中作出的优于《招标文件》中的“用户要求”或“商务要求”所设定的质量或技术之标准、指标、参数、标值、性能、环保与节能标准、附件或赠与、技术或信息服务与支持、售后服务以及其他任何优厚条件之表示，即使在本合同中没有相应的文字体现或表述，或即使未经甲方签字，亦应视为本合同的有效组成部分。</w:t>
      </w:r>
    </w:p>
    <w:p w14:paraId="22A0A27D">
      <w:pPr>
        <w:tabs>
          <w:tab w:val="left" w:pos="6300"/>
        </w:tabs>
        <w:adjustRightInd w:val="0"/>
        <w:snapToGrid w:val="0"/>
        <w:spacing w:before="156" w:beforeLines="50" w:line="276" w:lineRule="auto"/>
        <w:ind w:firstLine="562" w:firstLineChars="200"/>
        <w:rPr>
          <w:rFonts w:hint="eastAsia" w:ascii="宋体" w:hAnsi="宋体" w:eastAsia="宋体" w:cs="宋体"/>
          <w:b/>
          <w:bCs/>
          <w:sz w:val="28"/>
          <w:szCs w:val="28"/>
        </w:rPr>
      </w:pPr>
      <w:r>
        <w:rPr>
          <w:rFonts w:hint="eastAsia" w:ascii="宋体" w:hAnsi="宋体" w:eastAsia="宋体" w:cs="宋体"/>
          <w:b/>
          <w:sz w:val="28"/>
          <w:szCs w:val="28"/>
        </w:rPr>
        <w:t>第二</w:t>
      </w:r>
      <w:r>
        <w:rPr>
          <w:rFonts w:hint="eastAsia" w:ascii="宋体" w:hAnsi="宋体" w:eastAsia="宋体" w:cs="宋体"/>
          <w:b/>
          <w:bCs/>
          <w:sz w:val="28"/>
          <w:szCs w:val="28"/>
        </w:rPr>
        <w:t>条　合同标的（货物）与合同价格构成</w:t>
      </w:r>
      <w:r>
        <w:rPr>
          <w:rFonts w:hint="eastAsia" w:ascii="宋体" w:hAnsi="宋体" w:eastAsia="宋体" w:cs="宋体"/>
          <w:b/>
          <w:bCs/>
          <w:sz w:val="28"/>
          <w:szCs w:val="28"/>
        </w:rPr>
        <w:tab/>
      </w:r>
    </w:p>
    <w:p w14:paraId="442C5E89">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1、货物基本情况（列表不能全面载明的，另见附件：《</w:t>
      </w:r>
      <w:r>
        <w:rPr>
          <w:rFonts w:hint="eastAsia" w:ascii="宋体" w:hAnsi="宋体" w:eastAsia="宋体" w:cs="宋体"/>
          <w:b/>
          <w:sz w:val="28"/>
          <w:szCs w:val="28"/>
        </w:rPr>
        <w:t>货物配置清单及技术指标</w:t>
      </w:r>
      <w:r>
        <w:rPr>
          <w:rFonts w:hint="eastAsia" w:ascii="宋体" w:hAnsi="宋体" w:eastAsia="宋体" w:cs="宋体"/>
          <w:sz w:val="28"/>
          <w:szCs w:val="28"/>
        </w:rPr>
        <w:t>》）。</w:t>
      </w:r>
    </w:p>
    <w:tbl>
      <w:tblPr>
        <w:tblStyle w:val="11"/>
        <w:tblW w:w="0" w:type="auto"/>
        <w:jc w:val="center"/>
        <w:tblCellSpacing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30" w:type="dxa"/>
          <w:left w:w="30" w:type="dxa"/>
          <w:bottom w:w="30" w:type="dxa"/>
          <w:right w:w="30" w:type="dxa"/>
        </w:tblCellMar>
      </w:tblPr>
      <w:tblGrid>
        <w:gridCol w:w="540"/>
        <w:gridCol w:w="1260"/>
        <w:gridCol w:w="555"/>
        <w:gridCol w:w="992"/>
        <w:gridCol w:w="1276"/>
        <w:gridCol w:w="1134"/>
        <w:gridCol w:w="709"/>
        <w:gridCol w:w="640"/>
        <w:gridCol w:w="985"/>
        <w:gridCol w:w="1260"/>
      </w:tblGrid>
      <w:tr w14:paraId="6A4322A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30" w:type="dxa"/>
            <w:left w:w="30" w:type="dxa"/>
            <w:bottom w:w="30" w:type="dxa"/>
            <w:right w:w="30" w:type="dxa"/>
          </w:tblCellMar>
        </w:tblPrEx>
        <w:trPr>
          <w:tblCellSpacing w:w="0" w:type="dxa"/>
          <w:jc w:val="center"/>
        </w:trPr>
        <w:tc>
          <w:tcPr>
            <w:tcW w:w="540" w:type="dxa"/>
            <w:tcBorders>
              <w:top w:val="single" w:color="auto" w:sz="6" w:space="0"/>
              <w:left w:val="single" w:color="auto" w:sz="6" w:space="0"/>
              <w:bottom w:val="single" w:color="auto" w:sz="6" w:space="0"/>
              <w:right w:val="single" w:color="auto" w:sz="6" w:space="0"/>
            </w:tcBorders>
            <w:vAlign w:val="center"/>
          </w:tcPr>
          <w:p w14:paraId="2C44F881">
            <w:pPr>
              <w:adjustRightInd w:val="0"/>
              <w:snapToGrid w:val="0"/>
              <w:spacing w:line="288" w:lineRule="auto"/>
              <w:ind w:left="-56" w:leftChars="-28" w:right="-54" w:rightChars="-27"/>
              <w:jc w:val="center"/>
              <w:rPr>
                <w:rFonts w:hint="eastAsia" w:ascii="宋体" w:hAnsi="宋体" w:eastAsia="宋体" w:cs="宋体"/>
                <w:sz w:val="28"/>
                <w:szCs w:val="28"/>
              </w:rPr>
            </w:pPr>
            <w:r>
              <w:rPr>
                <w:rFonts w:hint="eastAsia" w:ascii="宋体" w:hAnsi="宋体" w:eastAsia="宋体" w:cs="宋体"/>
                <w:sz w:val="28"/>
                <w:szCs w:val="28"/>
              </w:rPr>
              <w:t>序号</w:t>
            </w:r>
          </w:p>
        </w:tc>
        <w:tc>
          <w:tcPr>
            <w:tcW w:w="1260" w:type="dxa"/>
            <w:tcBorders>
              <w:top w:val="single" w:color="auto" w:sz="6" w:space="0"/>
              <w:left w:val="single" w:color="auto" w:sz="6" w:space="0"/>
              <w:bottom w:val="single" w:color="auto" w:sz="6" w:space="0"/>
              <w:right w:val="single" w:color="auto" w:sz="6" w:space="0"/>
            </w:tcBorders>
            <w:vAlign w:val="center"/>
          </w:tcPr>
          <w:p w14:paraId="1C168F89">
            <w:pPr>
              <w:adjustRightInd w:val="0"/>
              <w:snapToGrid w:val="0"/>
              <w:spacing w:line="288" w:lineRule="auto"/>
              <w:jc w:val="center"/>
              <w:rPr>
                <w:rFonts w:hint="eastAsia" w:ascii="宋体" w:hAnsi="宋体" w:eastAsia="宋体" w:cs="宋体"/>
                <w:sz w:val="28"/>
                <w:szCs w:val="28"/>
              </w:rPr>
            </w:pPr>
            <w:r>
              <w:rPr>
                <w:rFonts w:hint="eastAsia" w:ascii="宋体" w:hAnsi="宋体" w:eastAsia="宋体" w:cs="宋体"/>
                <w:sz w:val="28"/>
                <w:szCs w:val="28"/>
              </w:rPr>
              <w:t>货物名称</w:t>
            </w:r>
          </w:p>
        </w:tc>
        <w:tc>
          <w:tcPr>
            <w:tcW w:w="555" w:type="dxa"/>
            <w:tcBorders>
              <w:top w:val="single" w:color="auto" w:sz="6" w:space="0"/>
              <w:left w:val="single" w:color="auto" w:sz="6" w:space="0"/>
              <w:bottom w:val="single" w:color="auto" w:sz="6" w:space="0"/>
              <w:right w:val="single" w:color="auto" w:sz="6" w:space="0"/>
            </w:tcBorders>
            <w:vAlign w:val="center"/>
          </w:tcPr>
          <w:p w14:paraId="5A7BEEB2">
            <w:pPr>
              <w:adjustRightInd w:val="0"/>
              <w:snapToGrid w:val="0"/>
              <w:spacing w:line="288" w:lineRule="auto"/>
              <w:ind w:right="-80" w:rightChars="-40"/>
              <w:jc w:val="center"/>
              <w:rPr>
                <w:rFonts w:hint="eastAsia" w:ascii="宋体" w:hAnsi="宋体" w:eastAsia="宋体" w:cs="宋体"/>
                <w:sz w:val="28"/>
                <w:szCs w:val="28"/>
              </w:rPr>
            </w:pPr>
            <w:r>
              <w:rPr>
                <w:rFonts w:hint="eastAsia" w:ascii="宋体" w:hAnsi="宋体" w:eastAsia="宋体" w:cs="宋体"/>
                <w:sz w:val="28"/>
                <w:szCs w:val="28"/>
              </w:rPr>
              <w:t>品牌</w:t>
            </w:r>
          </w:p>
        </w:tc>
        <w:tc>
          <w:tcPr>
            <w:tcW w:w="992" w:type="dxa"/>
            <w:tcBorders>
              <w:top w:val="single" w:color="auto" w:sz="6" w:space="0"/>
              <w:left w:val="single" w:color="auto" w:sz="6" w:space="0"/>
              <w:bottom w:val="single" w:color="auto" w:sz="6" w:space="0"/>
              <w:right w:val="single" w:color="auto" w:sz="6" w:space="0"/>
            </w:tcBorders>
            <w:vAlign w:val="center"/>
          </w:tcPr>
          <w:p w14:paraId="6DE81521">
            <w:pPr>
              <w:adjustRightInd w:val="0"/>
              <w:snapToGrid w:val="0"/>
              <w:spacing w:line="288" w:lineRule="auto"/>
              <w:ind w:right="-82" w:rightChars="-41"/>
              <w:jc w:val="center"/>
              <w:rPr>
                <w:rFonts w:hint="eastAsia" w:ascii="宋体" w:hAnsi="宋体" w:eastAsia="宋体" w:cs="宋体"/>
                <w:sz w:val="28"/>
                <w:szCs w:val="28"/>
              </w:rPr>
            </w:pPr>
            <w:r>
              <w:rPr>
                <w:rFonts w:hint="eastAsia" w:ascii="宋体" w:hAnsi="宋体" w:eastAsia="宋体" w:cs="宋体"/>
                <w:sz w:val="28"/>
                <w:szCs w:val="28"/>
              </w:rPr>
              <w:t>型号规格</w:t>
            </w:r>
          </w:p>
        </w:tc>
        <w:tc>
          <w:tcPr>
            <w:tcW w:w="1276" w:type="dxa"/>
            <w:tcBorders>
              <w:top w:val="single" w:color="auto" w:sz="6" w:space="0"/>
              <w:left w:val="single" w:color="auto" w:sz="6" w:space="0"/>
              <w:bottom w:val="single" w:color="auto" w:sz="6" w:space="0"/>
              <w:right w:val="single" w:color="auto" w:sz="6" w:space="0"/>
            </w:tcBorders>
            <w:vAlign w:val="center"/>
          </w:tcPr>
          <w:p w14:paraId="0C6823F9">
            <w:pPr>
              <w:adjustRightInd w:val="0"/>
              <w:snapToGrid w:val="0"/>
              <w:spacing w:line="288" w:lineRule="auto"/>
              <w:jc w:val="center"/>
              <w:rPr>
                <w:rFonts w:hint="eastAsia" w:ascii="宋体" w:hAnsi="宋体" w:eastAsia="宋体" w:cs="宋体"/>
                <w:sz w:val="28"/>
                <w:szCs w:val="28"/>
              </w:rPr>
            </w:pPr>
            <w:r>
              <w:rPr>
                <w:rFonts w:hint="eastAsia" w:ascii="宋体" w:hAnsi="宋体" w:eastAsia="宋体" w:cs="宋体"/>
                <w:sz w:val="28"/>
                <w:szCs w:val="28"/>
              </w:rPr>
              <w:t>厂商名称</w:t>
            </w:r>
          </w:p>
        </w:tc>
        <w:tc>
          <w:tcPr>
            <w:tcW w:w="1134" w:type="dxa"/>
            <w:tcBorders>
              <w:top w:val="single" w:color="auto" w:sz="6" w:space="0"/>
              <w:left w:val="single" w:color="auto" w:sz="6" w:space="0"/>
              <w:bottom w:val="single" w:color="auto" w:sz="6" w:space="0"/>
              <w:right w:val="single" w:color="auto" w:sz="6" w:space="0"/>
            </w:tcBorders>
            <w:vAlign w:val="center"/>
          </w:tcPr>
          <w:p w14:paraId="711BC59E">
            <w:pPr>
              <w:adjustRightInd w:val="0"/>
              <w:snapToGrid w:val="0"/>
              <w:spacing w:line="288" w:lineRule="auto"/>
              <w:jc w:val="center"/>
              <w:rPr>
                <w:rFonts w:hint="eastAsia" w:ascii="宋体" w:hAnsi="宋体" w:eastAsia="宋体" w:cs="宋体"/>
                <w:sz w:val="28"/>
                <w:szCs w:val="28"/>
              </w:rPr>
            </w:pPr>
            <w:r>
              <w:rPr>
                <w:rFonts w:hint="eastAsia" w:ascii="宋体" w:hAnsi="宋体" w:eastAsia="宋体" w:cs="宋体"/>
                <w:sz w:val="28"/>
                <w:szCs w:val="28"/>
              </w:rPr>
              <w:t>产地</w:t>
            </w:r>
          </w:p>
        </w:tc>
        <w:tc>
          <w:tcPr>
            <w:tcW w:w="709" w:type="dxa"/>
            <w:tcBorders>
              <w:top w:val="single" w:color="auto" w:sz="6" w:space="0"/>
              <w:left w:val="single" w:color="auto" w:sz="6" w:space="0"/>
              <w:bottom w:val="single" w:color="auto" w:sz="6" w:space="0"/>
              <w:right w:val="single" w:color="auto" w:sz="6" w:space="0"/>
            </w:tcBorders>
            <w:vAlign w:val="center"/>
          </w:tcPr>
          <w:p w14:paraId="76A31E06">
            <w:pPr>
              <w:adjustRightInd w:val="0"/>
              <w:snapToGrid w:val="0"/>
              <w:spacing w:line="288" w:lineRule="auto"/>
              <w:jc w:val="center"/>
              <w:rPr>
                <w:rFonts w:hint="eastAsia" w:ascii="宋体" w:hAnsi="宋体" w:eastAsia="宋体" w:cs="宋体"/>
                <w:sz w:val="28"/>
                <w:szCs w:val="28"/>
              </w:rPr>
            </w:pPr>
            <w:r>
              <w:rPr>
                <w:rFonts w:hint="eastAsia" w:ascii="宋体" w:hAnsi="宋体" w:eastAsia="宋体" w:cs="宋体"/>
                <w:sz w:val="28"/>
                <w:szCs w:val="28"/>
              </w:rPr>
              <w:t>数量</w:t>
            </w:r>
          </w:p>
        </w:tc>
        <w:tc>
          <w:tcPr>
            <w:tcW w:w="640" w:type="dxa"/>
            <w:tcBorders>
              <w:top w:val="single" w:color="auto" w:sz="6" w:space="0"/>
              <w:left w:val="single" w:color="auto" w:sz="6" w:space="0"/>
              <w:bottom w:val="single" w:color="auto" w:sz="6" w:space="0"/>
              <w:right w:val="single" w:color="auto" w:sz="6" w:space="0"/>
            </w:tcBorders>
            <w:vAlign w:val="center"/>
          </w:tcPr>
          <w:p w14:paraId="1C0FB272">
            <w:pPr>
              <w:adjustRightInd w:val="0"/>
              <w:snapToGrid w:val="0"/>
              <w:spacing w:line="288" w:lineRule="auto"/>
              <w:jc w:val="center"/>
              <w:rPr>
                <w:rFonts w:hint="eastAsia" w:ascii="宋体" w:hAnsi="宋体" w:eastAsia="宋体" w:cs="宋体"/>
                <w:sz w:val="28"/>
                <w:szCs w:val="28"/>
              </w:rPr>
            </w:pPr>
            <w:r>
              <w:rPr>
                <w:rFonts w:hint="eastAsia" w:ascii="宋体" w:hAnsi="宋体" w:eastAsia="宋体" w:cs="宋体"/>
                <w:sz w:val="28"/>
                <w:szCs w:val="28"/>
              </w:rPr>
              <w:t>单位</w:t>
            </w:r>
          </w:p>
        </w:tc>
        <w:tc>
          <w:tcPr>
            <w:tcW w:w="985" w:type="dxa"/>
            <w:tcBorders>
              <w:top w:val="single" w:color="auto" w:sz="6" w:space="0"/>
              <w:left w:val="single" w:color="auto" w:sz="6" w:space="0"/>
              <w:bottom w:val="single" w:color="auto" w:sz="6" w:space="0"/>
              <w:right w:val="single" w:color="auto" w:sz="6" w:space="0"/>
            </w:tcBorders>
            <w:vAlign w:val="center"/>
          </w:tcPr>
          <w:p w14:paraId="60C8ED75">
            <w:pPr>
              <w:adjustRightInd w:val="0"/>
              <w:snapToGrid w:val="0"/>
              <w:spacing w:line="288" w:lineRule="auto"/>
              <w:ind w:left="-62" w:leftChars="-31" w:right="-22" w:rightChars="-11"/>
              <w:jc w:val="center"/>
              <w:rPr>
                <w:rFonts w:hint="eastAsia" w:ascii="宋体" w:hAnsi="宋体" w:eastAsia="宋体" w:cs="宋体"/>
                <w:sz w:val="28"/>
                <w:szCs w:val="28"/>
              </w:rPr>
            </w:pPr>
            <w:r>
              <w:rPr>
                <w:rFonts w:hint="eastAsia" w:ascii="宋体" w:hAnsi="宋体" w:eastAsia="宋体" w:cs="宋体"/>
                <w:sz w:val="28"/>
                <w:szCs w:val="28"/>
              </w:rPr>
              <w:t>单价(元)</w:t>
            </w:r>
          </w:p>
        </w:tc>
        <w:tc>
          <w:tcPr>
            <w:tcW w:w="1260" w:type="dxa"/>
            <w:tcBorders>
              <w:top w:val="single" w:color="auto" w:sz="6" w:space="0"/>
              <w:left w:val="single" w:color="auto" w:sz="6" w:space="0"/>
              <w:bottom w:val="single" w:color="auto" w:sz="6" w:space="0"/>
              <w:right w:val="single" w:color="auto" w:sz="6" w:space="0"/>
            </w:tcBorders>
            <w:vAlign w:val="center"/>
          </w:tcPr>
          <w:p w14:paraId="46148CC7">
            <w:pPr>
              <w:adjustRightInd w:val="0"/>
              <w:snapToGrid w:val="0"/>
              <w:spacing w:line="288" w:lineRule="auto"/>
              <w:ind w:left="-60" w:leftChars="-30" w:right="-38" w:rightChars="-19"/>
              <w:jc w:val="center"/>
              <w:rPr>
                <w:rFonts w:hint="eastAsia" w:ascii="宋体" w:hAnsi="宋体" w:eastAsia="宋体" w:cs="宋体"/>
                <w:sz w:val="28"/>
                <w:szCs w:val="28"/>
              </w:rPr>
            </w:pPr>
            <w:r>
              <w:rPr>
                <w:rFonts w:hint="eastAsia" w:ascii="宋体" w:hAnsi="宋体" w:eastAsia="宋体" w:cs="宋体"/>
                <w:sz w:val="28"/>
                <w:szCs w:val="28"/>
              </w:rPr>
              <w:t>小计价(元)</w:t>
            </w:r>
          </w:p>
        </w:tc>
      </w:tr>
      <w:tr w14:paraId="27BAA7F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30" w:type="dxa"/>
            <w:left w:w="30" w:type="dxa"/>
            <w:bottom w:w="30" w:type="dxa"/>
            <w:right w:w="30" w:type="dxa"/>
          </w:tblCellMar>
        </w:tblPrEx>
        <w:trPr>
          <w:cantSplit/>
          <w:tblCellSpacing w:w="0" w:type="dxa"/>
          <w:jc w:val="center"/>
        </w:trPr>
        <w:tc>
          <w:tcPr>
            <w:tcW w:w="540" w:type="dxa"/>
            <w:tcBorders>
              <w:top w:val="single" w:color="auto" w:sz="6" w:space="0"/>
              <w:left w:val="single" w:color="auto" w:sz="6" w:space="0"/>
              <w:bottom w:val="single" w:color="auto" w:sz="6" w:space="0"/>
              <w:right w:val="single" w:color="auto" w:sz="6" w:space="0"/>
            </w:tcBorders>
            <w:vAlign w:val="center"/>
          </w:tcPr>
          <w:p w14:paraId="3BA478C1">
            <w:pPr>
              <w:jc w:val="center"/>
              <w:rPr>
                <w:rFonts w:hint="eastAsia" w:ascii="宋体" w:hAnsi="宋体" w:eastAsia="宋体" w:cs="宋体"/>
                <w:sz w:val="28"/>
                <w:szCs w:val="28"/>
              </w:rPr>
            </w:pPr>
          </w:p>
        </w:tc>
        <w:tc>
          <w:tcPr>
            <w:tcW w:w="1260" w:type="dxa"/>
            <w:tcBorders>
              <w:top w:val="single" w:color="auto" w:sz="6" w:space="0"/>
              <w:left w:val="single" w:color="auto" w:sz="6" w:space="0"/>
              <w:bottom w:val="single" w:color="auto" w:sz="6" w:space="0"/>
              <w:right w:val="single" w:color="auto" w:sz="6" w:space="0"/>
            </w:tcBorders>
            <w:vAlign w:val="center"/>
          </w:tcPr>
          <w:p w14:paraId="1CFC998F">
            <w:pPr>
              <w:spacing w:line="276" w:lineRule="auto"/>
              <w:jc w:val="center"/>
              <w:rPr>
                <w:rFonts w:hint="eastAsia" w:ascii="宋体" w:hAnsi="宋体" w:eastAsia="宋体" w:cs="宋体"/>
                <w:sz w:val="28"/>
                <w:szCs w:val="28"/>
              </w:rPr>
            </w:pPr>
          </w:p>
        </w:tc>
        <w:tc>
          <w:tcPr>
            <w:tcW w:w="555" w:type="dxa"/>
            <w:tcBorders>
              <w:top w:val="single" w:color="auto" w:sz="6" w:space="0"/>
              <w:left w:val="single" w:color="auto" w:sz="6" w:space="0"/>
              <w:bottom w:val="single" w:color="auto" w:sz="6" w:space="0"/>
              <w:right w:val="single" w:color="auto" w:sz="6" w:space="0"/>
            </w:tcBorders>
            <w:vAlign w:val="center"/>
          </w:tcPr>
          <w:p w14:paraId="2C88E779">
            <w:pPr>
              <w:autoSpaceDE w:val="0"/>
              <w:autoSpaceDN w:val="0"/>
              <w:adjustRightInd w:val="0"/>
              <w:spacing w:line="276" w:lineRule="auto"/>
              <w:jc w:val="center"/>
              <w:rPr>
                <w:rFonts w:hint="eastAsia" w:ascii="宋体" w:hAnsi="宋体" w:eastAsia="宋体" w:cs="宋体"/>
                <w:sz w:val="28"/>
                <w:szCs w:val="28"/>
              </w:rPr>
            </w:pPr>
          </w:p>
        </w:tc>
        <w:tc>
          <w:tcPr>
            <w:tcW w:w="992" w:type="dxa"/>
            <w:tcBorders>
              <w:top w:val="single" w:color="auto" w:sz="6" w:space="0"/>
              <w:left w:val="single" w:color="auto" w:sz="6" w:space="0"/>
              <w:bottom w:val="single" w:color="auto" w:sz="6" w:space="0"/>
              <w:right w:val="single" w:color="auto" w:sz="6" w:space="0"/>
            </w:tcBorders>
            <w:vAlign w:val="center"/>
          </w:tcPr>
          <w:p w14:paraId="6D19F77B">
            <w:pPr>
              <w:autoSpaceDE w:val="0"/>
              <w:autoSpaceDN w:val="0"/>
              <w:adjustRightInd w:val="0"/>
              <w:spacing w:line="276" w:lineRule="auto"/>
              <w:jc w:val="center"/>
              <w:rPr>
                <w:rFonts w:hint="eastAsia" w:ascii="宋体" w:hAnsi="宋体" w:eastAsia="宋体" w:cs="宋体"/>
                <w:sz w:val="28"/>
                <w:szCs w:val="28"/>
              </w:rPr>
            </w:pPr>
          </w:p>
        </w:tc>
        <w:tc>
          <w:tcPr>
            <w:tcW w:w="1276" w:type="dxa"/>
            <w:tcBorders>
              <w:top w:val="single" w:color="auto" w:sz="6" w:space="0"/>
              <w:left w:val="single" w:color="auto" w:sz="6" w:space="0"/>
              <w:bottom w:val="single" w:color="auto" w:sz="6" w:space="0"/>
              <w:right w:val="single" w:color="auto" w:sz="6" w:space="0"/>
            </w:tcBorders>
            <w:vAlign w:val="center"/>
          </w:tcPr>
          <w:p w14:paraId="3A3AC5C9">
            <w:pPr>
              <w:spacing w:line="276" w:lineRule="auto"/>
              <w:jc w:val="center"/>
              <w:rPr>
                <w:rFonts w:hint="eastAsia" w:ascii="宋体" w:hAnsi="宋体" w:eastAsia="宋体" w:cs="宋体"/>
                <w:sz w:val="28"/>
                <w:szCs w:val="28"/>
              </w:rPr>
            </w:pPr>
          </w:p>
        </w:tc>
        <w:tc>
          <w:tcPr>
            <w:tcW w:w="1134" w:type="dxa"/>
            <w:tcBorders>
              <w:top w:val="single" w:color="auto" w:sz="6" w:space="0"/>
              <w:left w:val="single" w:color="auto" w:sz="6" w:space="0"/>
              <w:bottom w:val="single" w:color="auto" w:sz="6" w:space="0"/>
              <w:right w:val="single" w:color="auto" w:sz="6" w:space="0"/>
            </w:tcBorders>
            <w:vAlign w:val="center"/>
          </w:tcPr>
          <w:p w14:paraId="3500FC71">
            <w:pPr>
              <w:spacing w:line="276" w:lineRule="auto"/>
              <w:jc w:val="center"/>
              <w:rPr>
                <w:rFonts w:hint="eastAsia" w:ascii="宋体" w:hAnsi="宋体" w:eastAsia="宋体" w:cs="宋体"/>
                <w:sz w:val="28"/>
                <w:szCs w:val="28"/>
              </w:rPr>
            </w:pPr>
          </w:p>
        </w:tc>
        <w:tc>
          <w:tcPr>
            <w:tcW w:w="709" w:type="dxa"/>
            <w:tcBorders>
              <w:top w:val="single" w:color="auto" w:sz="6" w:space="0"/>
              <w:left w:val="single" w:color="auto" w:sz="6" w:space="0"/>
              <w:bottom w:val="single" w:color="auto" w:sz="6" w:space="0"/>
              <w:right w:val="single" w:color="auto" w:sz="6" w:space="0"/>
            </w:tcBorders>
            <w:vAlign w:val="center"/>
          </w:tcPr>
          <w:p w14:paraId="277B4548">
            <w:pPr>
              <w:jc w:val="center"/>
              <w:rPr>
                <w:rFonts w:hint="eastAsia" w:ascii="宋体" w:hAnsi="宋体" w:eastAsia="宋体" w:cs="宋体"/>
                <w:sz w:val="28"/>
                <w:szCs w:val="28"/>
              </w:rPr>
            </w:pPr>
          </w:p>
        </w:tc>
        <w:tc>
          <w:tcPr>
            <w:tcW w:w="640" w:type="dxa"/>
            <w:tcBorders>
              <w:top w:val="single" w:color="auto" w:sz="6" w:space="0"/>
              <w:left w:val="single" w:color="auto" w:sz="6" w:space="0"/>
              <w:bottom w:val="single" w:color="auto" w:sz="6" w:space="0"/>
              <w:right w:val="single" w:color="auto" w:sz="6" w:space="0"/>
            </w:tcBorders>
            <w:vAlign w:val="center"/>
          </w:tcPr>
          <w:p w14:paraId="7B433EA5">
            <w:pPr>
              <w:adjustRightInd w:val="0"/>
              <w:snapToGrid w:val="0"/>
              <w:spacing w:line="288" w:lineRule="auto"/>
              <w:jc w:val="center"/>
              <w:rPr>
                <w:rFonts w:hint="eastAsia" w:ascii="宋体" w:hAnsi="宋体" w:eastAsia="宋体" w:cs="宋体"/>
                <w:sz w:val="28"/>
                <w:szCs w:val="28"/>
              </w:rPr>
            </w:pPr>
          </w:p>
        </w:tc>
        <w:tc>
          <w:tcPr>
            <w:tcW w:w="985" w:type="dxa"/>
            <w:tcBorders>
              <w:top w:val="single" w:color="auto" w:sz="6" w:space="0"/>
              <w:left w:val="single" w:color="auto" w:sz="6" w:space="0"/>
              <w:bottom w:val="single" w:color="auto" w:sz="6" w:space="0"/>
              <w:right w:val="single" w:color="auto" w:sz="6" w:space="0"/>
            </w:tcBorders>
            <w:vAlign w:val="center"/>
          </w:tcPr>
          <w:p w14:paraId="2B136840">
            <w:pPr>
              <w:jc w:val="center"/>
              <w:rPr>
                <w:rFonts w:hint="eastAsia" w:ascii="宋体" w:hAnsi="宋体" w:eastAsia="宋体" w:cs="宋体"/>
                <w:sz w:val="28"/>
                <w:szCs w:val="28"/>
              </w:rPr>
            </w:pPr>
          </w:p>
        </w:tc>
        <w:tc>
          <w:tcPr>
            <w:tcW w:w="1260" w:type="dxa"/>
            <w:tcBorders>
              <w:top w:val="single" w:color="auto" w:sz="6" w:space="0"/>
              <w:left w:val="single" w:color="auto" w:sz="6" w:space="0"/>
              <w:bottom w:val="single" w:color="auto" w:sz="6" w:space="0"/>
              <w:right w:val="single" w:color="auto" w:sz="6" w:space="0"/>
            </w:tcBorders>
            <w:vAlign w:val="center"/>
          </w:tcPr>
          <w:p w14:paraId="2DEE4E0C">
            <w:pPr>
              <w:jc w:val="center"/>
              <w:rPr>
                <w:rFonts w:hint="eastAsia" w:ascii="宋体" w:hAnsi="宋体" w:eastAsia="宋体" w:cs="宋体"/>
                <w:sz w:val="28"/>
                <w:szCs w:val="28"/>
              </w:rPr>
            </w:pPr>
          </w:p>
        </w:tc>
      </w:tr>
      <w:tr w14:paraId="6C9980B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30" w:type="dxa"/>
            <w:left w:w="30" w:type="dxa"/>
            <w:bottom w:w="30" w:type="dxa"/>
            <w:right w:w="30" w:type="dxa"/>
          </w:tblCellMar>
        </w:tblPrEx>
        <w:trPr>
          <w:cantSplit/>
          <w:tblCellSpacing w:w="0" w:type="dxa"/>
          <w:jc w:val="center"/>
        </w:trPr>
        <w:tc>
          <w:tcPr>
            <w:tcW w:w="540" w:type="dxa"/>
            <w:tcBorders>
              <w:top w:val="single" w:color="auto" w:sz="6" w:space="0"/>
              <w:left w:val="single" w:color="auto" w:sz="6" w:space="0"/>
              <w:bottom w:val="single" w:color="auto" w:sz="6" w:space="0"/>
              <w:right w:val="single" w:color="auto" w:sz="6" w:space="0"/>
            </w:tcBorders>
            <w:vAlign w:val="center"/>
          </w:tcPr>
          <w:p w14:paraId="123CA990">
            <w:pPr>
              <w:jc w:val="center"/>
              <w:rPr>
                <w:rFonts w:hint="eastAsia" w:ascii="宋体" w:hAnsi="宋体" w:eastAsia="宋体" w:cs="宋体"/>
                <w:sz w:val="28"/>
                <w:szCs w:val="28"/>
              </w:rPr>
            </w:pPr>
          </w:p>
        </w:tc>
        <w:tc>
          <w:tcPr>
            <w:tcW w:w="1260" w:type="dxa"/>
            <w:tcBorders>
              <w:top w:val="single" w:color="auto" w:sz="6" w:space="0"/>
              <w:left w:val="single" w:color="auto" w:sz="6" w:space="0"/>
              <w:bottom w:val="single" w:color="auto" w:sz="6" w:space="0"/>
              <w:right w:val="single" w:color="auto" w:sz="6" w:space="0"/>
            </w:tcBorders>
            <w:vAlign w:val="center"/>
          </w:tcPr>
          <w:p w14:paraId="6D7DCBCB">
            <w:pPr>
              <w:spacing w:line="276" w:lineRule="auto"/>
              <w:jc w:val="center"/>
              <w:rPr>
                <w:rFonts w:hint="eastAsia" w:ascii="宋体" w:hAnsi="宋体" w:eastAsia="宋体" w:cs="宋体"/>
                <w:sz w:val="28"/>
                <w:szCs w:val="28"/>
              </w:rPr>
            </w:pPr>
          </w:p>
        </w:tc>
        <w:tc>
          <w:tcPr>
            <w:tcW w:w="555" w:type="dxa"/>
            <w:tcBorders>
              <w:top w:val="single" w:color="auto" w:sz="6" w:space="0"/>
              <w:left w:val="single" w:color="auto" w:sz="6" w:space="0"/>
              <w:bottom w:val="single" w:color="auto" w:sz="6" w:space="0"/>
              <w:right w:val="single" w:color="auto" w:sz="6" w:space="0"/>
            </w:tcBorders>
            <w:vAlign w:val="center"/>
          </w:tcPr>
          <w:p w14:paraId="74DA46E8">
            <w:pPr>
              <w:autoSpaceDE w:val="0"/>
              <w:autoSpaceDN w:val="0"/>
              <w:adjustRightInd w:val="0"/>
              <w:spacing w:line="276" w:lineRule="auto"/>
              <w:jc w:val="center"/>
              <w:rPr>
                <w:rFonts w:hint="eastAsia" w:ascii="宋体" w:hAnsi="宋体" w:eastAsia="宋体" w:cs="宋体"/>
                <w:sz w:val="28"/>
                <w:szCs w:val="28"/>
              </w:rPr>
            </w:pPr>
          </w:p>
        </w:tc>
        <w:tc>
          <w:tcPr>
            <w:tcW w:w="992" w:type="dxa"/>
            <w:tcBorders>
              <w:top w:val="single" w:color="auto" w:sz="6" w:space="0"/>
              <w:left w:val="single" w:color="auto" w:sz="6" w:space="0"/>
              <w:bottom w:val="single" w:color="auto" w:sz="6" w:space="0"/>
              <w:right w:val="single" w:color="auto" w:sz="6" w:space="0"/>
            </w:tcBorders>
            <w:vAlign w:val="center"/>
          </w:tcPr>
          <w:p w14:paraId="63DCC362">
            <w:pPr>
              <w:autoSpaceDE w:val="0"/>
              <w:autoSpaceDN w:val="0"/>
              <w:adjustRightInd w:val="0"/>
              <w:spacing w:line="276" w:lineRule="auto"/>
              <w:jc w:val="center"/>
              <w:rPr>
                <w:rFonts w:hint="eastAsia" w:ascii="宋体" w:hAnsi="宋体" w:eastAsia="宋体" w:cs="宋体"/>
                <w:sz w:val="28"/>
                <w:szCs w:val="28"/>
              </w:rPr>
            </w:pPr>
          </w:p>
        </w:tc>
        <w:tc>
          <w:tcPr>
            <w:tcW w:w="1276" w:type="dxa"/>
            <w:tcBorders>
              <w:top w:val="single" w:color="auto" w:sz="6" w:space="0"/>
              <w:left w:val="single" w:color="auto" w:sz="6" w:space="0"/>
              <w:bottom w:val="single" w:color="auto" w:sz="6" w:space="0"/>
              <w:right w:val="single" w:color="auto" w:sz="6" w:space="0"/>
            </w:tcBorders>
            <w:vAlign w:val="center"/>
          </w:tcPr>
          <w:p w14:paraId="1F7B71B8">
            <w:pPr>
              <w:spacing w:line="276" w:lineRule="auto"/>
              <w:jc w:val="center"/>
              <w:rPr>
                <w:rFonts w:hint="eastAsia" w:ascii="宋体" w:hAnsi="宋体" w:eastAsia="宋体" w:cs="宋体"/>
                <w:sz w:val="28"/>
                <w:szCs w:val="28"/>
              </w:rPr>
            </w:pPr>
          </w:p>
        </w:tc>
        <w:tc>
          <w:tcPr>
            <w:tcW w:w="1134" w:type="dxa"/>
            <w:tcBorders>
              <w:top w:val="single" w:color="auto" w:sz="6" w:space="0"/>
              <w:left w:val="single" w:color="auto" w:sz="6" w:space="0"/>
              <w:bottom w:val="single" w:color="auto" w:sz="6" w:space="0"/>
              <w:right w:val="single" w:color="auto" w:sz="6" w:space="0"/>
            </w:tcBorders>
            <w:vAlign w:val="center"/>
          </w:tcPr>
          <w:p w14:paraId="16554E51">
            <w:pPr>
              <w:adjustRightInd w:val="0"/>
              <w:snapToGrid w:val="0"/>
              <w:spacing w:line="288" w:lineRule="auto"/>
              <w:jc w:val="center"/>
              <w:rPr>
                <w:rFonts w:hint="eastAsia" w:ascii="宋体" w:hAnsi="宋体" w:eastAsia="宋体" w:cs="宋体"/>
                <w:sz w:val="28"/>
                <w:szCs w:val="28"/>
              </w:rPr>
            </w:pPr>
          </w:p>
        </w:tc>
        <w:tc>
          <w:tcPr>
            <w:tcW w:w="709" w:type="dxa"/>
            <w:tcBorders>
              <w:top w:val="single" w:color="auto" w:sz="6" w:space="0"/>
              <w:left w:val="single" w:color="auto" w:sz="6" w:space="0"/>
              <w:bottom w:val="single" w:color="auto" w:sz="6" w:space="0"/>
              <w:right w:val="single" w:color="auto" w:sz="6" w:space="0"/>
            </w:tcBorders>
            <w:vAlign w:val="center"/>
          </w:tcPr>
          <w:p w14:paraId="39404B90">
            <w:pPr>
              <w:jc w:val="center"/>
              <w:rPr>
                <w:rFonts w:hint="eastAsia" w:ascii="宋体" w:hAnsi="宋体" w:eastAsia="宋体" w:cs="宋体"/>
                <w:sz w:val="28"/>
                <w:szCs w:val="28"/>
              </w:rPr>
            </w:pPr>
          </w:p>
        </w:tc>
        <w:tc>
          <w:tcPr>
            <w:tcW w:w="640" w:type="dxa"/>
            <w:tcBorders>
              <w:top w:val="single" w:color="auto" w:sz="6" w:space="0"/>
              <w:left w:val="single" w:color="auto" w:sz="6" w:space="0"/>
              <w:bottom w:val="single" w:color="auto" w:sz="6" w:space="0"/>
              <w:right w:val="single" w:color="auto" w:sz="6" w:space="0"/>
            </w:tcBorders>
            <w:vAlign w:val="center"/>
          </w:tcPr>
          <w:p w14:paraId="6DF5478C">
            <w:pPr>
              <w:adjustRightInd w:val="0"/>
              <w:snapToGrid w:val="0"/>
              <w:spacing w:line="288" w:lineRule="auto"/>
              <w:jc w:val="center"/>
              <w:rPr>
                <w:rFonts w:hint="eastAsia" w:ascii="宋体" w:hAnsi="宋体" w:eastAsia="宋体" w:cs="宋体"/>
                <w:sz w:val="28"/>
                <w:szCs w:val="28"/>
              </w:rPr>
            </w:pPr>
          </w:p>
        </w:tc>
        <w:tc>
          <w:tcPr>
            <w:tcW w:w="985" w:type="dxa"/>
            <w:tcBorders>
              <w:top w:val="single" w:color="auto" w:sz="6" w:space="0"/>
              <w:left w:val="single" w:color="auto" w:sz="6" w:space="0"/>
              <w:bottom w:val="single" w:color="auto" w:sz="6" w:space="0"/>
              <w:right w:val="single" w:color="auto" w:sz="6" w:space="0"/>
            </w:tcBorders>
            <w:vAlign w:val="center"/>
          </w:tcPr>
          <w:p w14:paraId="726FCDBC">
            <w:pPr>
              <w:jc w:val="center"/>
              <w:rPr>
                <w:rFonts w:hint="eastAsia" w:ascii="宋体" w:hAnsi="宋体" w:eastAsia="宋体" w:cs="宋体"/>
                <w:sz w:val="28"/>
                <w:szCs w:val="28"/>
              </w:rPr>
            </w:pPr>
          </w:p>
        </w:tc>
        <w:tc>
          <w:tcPr>
            <w:tcW w:w="1260" w:type="dxa"/>
            <w:tcBorders>
              <w:top w:val="single" w:color="auto" w:sz="6" w:space="0"/>
              <w:left w:val="single" w:color="auto" w:sz="6" w:space="0"/>
              <w:bottom w:val="single" w:color="auto" w:sz="6" w:space="0"/>
              <w:right w:val="single" w:color="auto" w:sz="6" w:space="0"/>
            </w:tcBorders>
            <w:vAlign w:val="center"/>
          </w:tcPr>
          <w:p w14:paraId="5C6C3374">
            <w:pPr>
              <w:jc w:val="center"/>
              <w:rPr>
                <w:rFonts w:hint="eastAsia" w:ascii="宋体" w:hAnsi="宋体" w:eastAsia="宋体" w:cs="宋体"/>
                <w:sz w:val="28"/>
                <w:szCs w:val="28"/>
              </w:rPr>
            </w:pPr>
          </w:p>
        </w:tc>
      </w:tr>
      <w:tr w14:paraId="658B0B0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30" w:type="dxa"/>
            <w:left w:w="30" w:type="dxa"/>
            <w:bottom w:w="30" w:type="dxa"/>
            <w:right w:w="30" w:type="dxa"/>
          </w:tblCellMar>
        </w:tblPrEx>
        <w:trPr>
          <w:cantSplit/>
          <w:tblCellSpacing w:w="0" w:type="dxa"/>
          <w:jc w:val="center"/>
        </w:trPr>
        <w:tc>
          <w:tcPr>
            <w:tcW w:w="9351" w:type="dxa"/>
            <w:gridSpan w:val="10"/>
            <w:tcBorders>
              <w:top w:val="single" w:color="auto" w:sz="6" w:space="0"/>
              <w:left w:val="single" w:color="auto" w:sz="6" w:space="0"/>
              <w:bottom w:val="single" w:color="auto" w:sz="6" w:space="0"/>
              <w:right w:val="single" w:color="auto" w:sz="6" w:space="0"/>
            </w:tcBorders>
            <w:vAlign w:val="center"/>
          </w:tcPr>
          <w:p w14:paraId="175C5D26">
            <w:pPr>
              <w:adjustRightInd w:val="0"/>
              <w:snapToGrid w:val="0"/>
              <w:spacing w:line="288" w:lineRule="auto"/>
              <w:rPr>
                <w:rFonts w:hint="eastAsia" w:ascii="宋体" w:hAnsi="宋体" w:eastAsia="宋体" w:cs="宋体"/>
                <w:b/>
                <w:sz w:val="28"/>
                <w:szCs w:val="28"/>
              </w:rPr>
            </w:pPr>
            <w:r>
              <w:rPr>
                <w:rFonts w:hint="eastAsia" w:ascii="宋体" w:hAnsi="宋体" w:eastAsia="宋体" w:cs="宋体"/>
                <w:b/>
                <w:sz w:val="28"/>
                <w:szCs w:val="28"/>
              </w:rPr>
              <w:t>合同总价（大写）: 人民币</w:t>
            </w:r>
            <w:r>
              <w:rPr>
                <w:rFonts w:hint="eastAsia" w:ascii="宋体" w:hAnsi="宋体" w:eastAsia="宋体" w:cs="宋体"/>
                <w:b/>
                <w:sz w:val="28"/>
                <w:szCs w:val="28"/>
                <w:u w:val="single"/>
              </w:rPr>
              <w:t xml:space="preserve">      </w:t>
            </w:r>
            <w:r>
              <w:rPr>
                <w:rFonts w:hint="eastAsia" w:ascii="宋体" w:hAnsi="宋体" w:eastAsia="宋体" w:cs="宋体"/>
                <w:b/>
                <w:sz w:val="28"/>
                <w:szCs w:val="28"/>
              </w:rPr>
              <w:t>元整（￥</w:t>
            </w:r>
            <w:r>
              <w:rPr>
                <w:rFonts w:hint="eastAsia" w:ascii="宋体" w:hAnsi="宋体" w:eastAsia="宋体" w:cs="宋体"/>
                <w:b/>
                <w:sz w:val="28"/>
                <w:szCs w:val="28"/>
                <w:u w:val="single"/>
                <w:lang w:val="zh-CN"/>
              </w:rPr>
              <w:t xml:space="preserve">      </w:t>
            </w:r>
            <w:r>
              <w:rPr>
                <w:rFonts w:hint="eastAsia" w:ascii="宋体" w:hAnsi="宋体" w:eastAsia="宋体" w:cs="宋体"/>
                <w:b/>
                <w:sz w:val="28"/>
                <w:szCs w:val="28"/>
              </w:rPr>
              <w:t>元）</w:t>
            </w:r>
          </w:p>
        </w:tc>
      </w:tr>
    </w:tbl>
    <w:p w14:paraId="41CA644A">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2、本合同所称“货物”，除上述第1款所列货物（含附件配置）之外，还包括下述各项：</w:t>
      </w:r>
    </w:p>
    <w:p w14:paraId="552473E4">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（1）与之相一致的用户手册、说明书、维护手册、电路图等技术资料或有形物品；</w:t>
      </w:r>
    </w:p>
    <w:p w14:paraId="471B0466">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（2）支持该设备正常运行的配套性知识产权物品(如软件或程序支持信息)；</w:t>
      </w:r>
    </w:p>
    <w:p w14:paraId="6C6C330B">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（3）乙方应提供的服务（包括但不限于安装、调试、商检、技术咨询与培训、维修保养及其他有关售后服务等事项）；</w:t>
      </w:r>
    </w:p>
    <w:p w14:paraId="08DAD203">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3、“合同总价”，是指并包括：</w:t>
      </w:r>
    </w:p>
    <w:p w14:paraId="6D909DD9">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合同项下的货物之所有权与风险正式转移甲方之前发生的在生产、流通、服务、货物交付等环节上的全部成本、各税种或税项下的税款，以及可能发生的一切费用（如包装、运输、装卸、安装、调试、检测、技术指导与培训或咨询、保险、商检、卫生检验检疫、非因甲方过错原因发生于海关或商检或检疫或检测以及运输至本合同指定地点等环节上发生的滞留费用、保管费、运输费用、罚款等)；</w:t>
      </w:r>
    </w:p>
    <w:p w14:paraId="474F09B5">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（2）对于进口货物，则还包括由海关征收或代征的增值税与关税等一切税种或税项下的税款、海关报关清关各环节上发生的一切手续或代理费用；</w:t>
      </w:r>
    </w:p>
    <w:p w14:paraId="72A36C68">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（3）因履行本合同约定的售后服务而可能发生的费用，本合同另有特别约定的收费（例如第九条约定的免费保修期满后的服务和零部件更换）除外。</w:t>
      </w:r>
    </w:p>
    <w:p w14:paraId="0F8FCCF0">
      <w:pPr>
        <w:adjustRightInd w:val="0"/>
        <w:snapToGrid w:val="0"/>
        <w:spacing w:before="156" w:beforeLines="50" w:line="300" w:lineRule="auto"/>
        <w:ind w:firstLine="562" w:firstLineChars="200"/>
        <w:rPr>
          <w:rFonts w:hint="eastAsia" w:ascii="宋体" w:hAnsi="宋体" w:eastAsia="宋体" w:cs="宋体"/>
          <w:b/>
          <w:bCs/>
          <w:sz w:val="28"/>
          <w:szCs w:val="28"/>
        </w:rPr>
      </w:pPr>
      <w:r>
        <w:rPr>
          <w:rFonts w:hint="eastAsia" w:ascii="宋体" w:hAnsi="宋体" w:eastAsia="宋体" w:cs="宋体"/>
          <w:b/>
          <w:sz w:val="28"/>
          <w:szCs w:val="28"/>
        </w:rPr>
        <w:t>第三条　</w:t>
      </w:r>
      <w:r>
        <w:rPr>
          <w:rFonts w:hint="eastAsia" w:ascii="宋体" w:hAnsi="宋体" w:eastAsia="宋体" w:cs="宋体"/>
          <w:b/>
          <w:bCs/>
          <w:sz w:val="28"/>
          <w:szCs w:val="28"/>
        </w:rPr>
        <w:t>质量要求和技术标准</w:t>
      </w:r>
    </w:p>
    <w:p w14:paraId="2FAEE04F">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乙方交付的货物之质量、技术、环保、安全、卫生等标准必须符合中华人民共和国国家标准；国家标准为本合同执行的最低标准。但是，本合同约定的标准高于国家标准的，必须按该约定的标准执行，即使交付的货物符合国家标准，但不符合该约定标准，仍应视为违约并承担相应的违约责任。</w:t>
      </w:r>
    </w:p>
    <w:p w14:paraId="0D9FFDEF">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2、在既无约定的标准，亦无国家标准时，则按行业标准执行；无行业标准的，按商业惯例。</w:t>
      </w:r>
    </w:p>
    <w:p w14:paraId="61DEEEA4">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3、前两款中的“约定的标准”，是指：</w:t>
      </w:r>
    </w:p>
    <w:p w14:paraId="71054CCC">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招标文件》中的“用户要求”或“商务要求”所设定的质量标准和乙方在《投标文件》中对此作出的陈述或“响应”，或者在非以招投标方式订立本合同情形下在谈判报价文件中所确定的标准。凡乙方单方面在《投标文件》中作出的优于《招标文件》所设定的质量标准、技术指标或参数、性能、环保或节能标准、赠与、附件、技术或信息服务与支持、售后服务以及其他任何优厚条件之陈述或意思表示，一旦与《招标文件》设定的标准发生冲突，则按照“就优不就劣”的有利于甲方的原则进行解释与执行。</w:t>
      </w:r>
    </w:p>
    <w:p w14:paraId="32456046">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（2）在招投标过程中属于乙方送交了经甲方确认的货物样板的（甲乙双方共同签署《货物样板确认书》并封存成品样板），此样板即为验收标准，但实际交付的货物均应有产品质量检验合格标志。</w:t>
      </w:r>
    </w:p>
    <w:p w14:paraId="490C4CC5">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4、乙方提供的货物必须是全新的、表面和内部均无瑕疵的原厂正品。</w:t>
      </w:r>
    </w:p>
    <w:p w14:paraId="6EA1A3AB">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5、包装和运输：</w:t>
      </w:r>
    </w:p>
    <w:p w14:paraId="7EECDE2F">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（1）乙方应采取防潮、防雨、防冻、防锈、防盗、防火等相应安全措施对货物进行包装和运输，确保货物在正常作业和装卸条件下安全无损地到达合同指定地点。</w:t>
      </w:r>
    </w:p>
    <w:p w14:paraId="57F0351C">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（2）包装箱及每一附件应注明货物名称、型号、件数、附件品名与数量，包装箱内应附有产品说明书、使用说明书或用户手册、质检合格证书、商检证明等。</w:t>
      </w:r>
    </w:p>
    <w:p w14:paraId="77A856EB">
      <w:pPr>
        <w:tabs>
          <w:tab w:val="left" w:pos="540"/>
        </w:tabs>
        <w:adjustRightInd w:val="0"/>
        <w:snapToGrid w:val="0"/>
        <w:spacing w:before="156" w:beforeLines="50" w:line="30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rPr>
        <w:t>第四条  货物所有权和风险转移</w:t>
      </w:r>
    </w:p>
    <w:p w14:paraId="3346D0C8">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1、除另有特别约定外，合同项下的全部货物在办理了“验收”手续之时，货物所有权即转移至甲方且不以是否付款为必要条件。某项货物或部分货物办理了“验收”手续，仅该项货物或该部分货物所有权转移。</w:t>
      </w:r>
    </w:p>
    <w:p w14:paraId="724C56A1">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合同项下的货物自办理了“验收”手续之时起，货物丢失或被人为毁损之风险从乙方转移至甲方。但任何非人为毁损、灭失之风险，包括因货物自身质量或其自身物理、化学等自然特性而发生的风险，仍由乙方承担。</w:t>
      </w:r>
    </w:p>
    <w:p w14:paraId="28BF0401">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货物未经验收或者未经乙方同意，如甲方擅自使用，则该被擅自使用的货物视为已业经甲方验收。被擅自使用的货物之所有权和风险，分别按本条第1款和第2款处理。若甲方急需使用部分货物，可由双方协商解决并以书面补充协议为之。</w:t>
      </w:r>
    </w:p>
    <w:p w14:paraId="6C3EB6DC">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4、在“验收”手续办理完毕之前，即使货物已送至甲方指定地点或安装场所，货物所有权与风险均不转移至甲方，甲方亦不负货物保管责任。</w:t>
      </w:r>
    </w:p>
    <w:p w14:paraId="2AF17446">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5、在验收环节上，如果双方发生货物质量争议而需要进行鉴定或仲裁，于此期间，货物由甲方保管，风险由甲方承担，但乙方应承担相应的协助义务。</w:t>
      </w:r>
    </w:p>
    <w:p w14:paraId="4A72055E">
      <w:pPr>
        <w:adjustRightInd w:val="0"/>
        <w:snapToGrid w:val="0"/>
        <w:spacing w:before="156" w:beforeLines="50" w:line="300" w:lineRule="auto"/>
        <w:ind w:firstLine="422" w:firstLineChars="150"/>
        <w:rPr>
          <w:rFonts w:hint="eastAsia" w:ascii="宋体" w:hAnsi="宋体" w:eastAsia="宋体" w:cs="宋体"/>
          <w:b/>
          <w:bCs/>
          <w:sz w:val="28"/>
          <w:szCs w:val="28"/>
        </w:rPr>
      </w:pPr>
      <w:r>
        <w:rPr>
          <w:rFonts w:hint="eastAsia" w:ascii="宋体" w:hAnsi="宋体" w:eastAsia="宋体" w:cs="宋体"/>
          <w:b/>
          <w:bCs/>
          <w:sz w:val="28"/>
          <w:szCs w:val="28"/>
        </w:rPr>
        <w:t>第五条  交货时间、地点和方式</w:t>
      </w:r>
    </w:p>
    <w:p w14:paraId="3557C09C">
      <w:pPr>
        <w:adjustRightInd w:val="0"/>
        <w:snapToGrid w:val="0"/>
        <w:spacing w:line="300" w:lineRule="auto"/>
        <w:ind w:firstLine="560" w:firstLineChars="200"/>
        <w:rPr>
          <w:rFonts w:hint="eastAsia" w:ascii="宋体" w:hAnsi="宋体" w:eastAsia="宋体" w:cs="宋体"/>
          <w:b/>
          <w:bCs/>
          <w:sz w:val="28"/>
          <w:szCs w:val="28"/>
        </w:rPr>
      </w:pPr>
      <w:r>
        <w:rPr>
          <w:rFonts w:hint="eastAsia" w:ascii="宋体" w:hAnsi="宋体" w:eastAsia="宋体" w:cs="宋体"/>
          <w:sz w:val="28"/>
          <w:szCs w:val="28"/>
        </w:rPr>
        <w:t>1、交货时间与地点：应在本合同签订之日起的</w:t>
      </w:r>
      <w:r>
        <w:rPr>
          <w:rFonts w:hint="eastAsia" w:ascii="宋体" w:hAnsi="宋体" w:eastAsia="宋体" w:cs="宋体"/>
          <w:sz w:val="28"/>
          <w:szCs w:val="28"/>
          <w:u w:val="single"/>
        </w:rPr>
        <w:t xml:space="preserve">     </w:t>
      </w:r>
      <w:r>
        <w:rPr>
          <w:rFonts w:hint="eastAsia" w:ascii="宋体" w:hAnsi="宋体" w:eastAsia="宋体" w:cs="宋体"/>
          <w:sz w:val="28"/>
          <w:szCs w:val="28"/>
        </w:rPr>
        <w:t>个</w:t>
      </w:r>
      <w:r>
        <w:rPr>
          <w:rFonts w:hint="eastAsia" w:ascii="宋体" w:hAnsi="宋体" w:eastAsia="宋体" w:cs="宋体"/>
          <w:b/>
          <w:sz w:val="28"/>
          <w:szCs w:val="28"/>
        </w:rPr>
        <w:t>日历天内</w:t>
      </w:r>
      <w:r>
        <w:rPr>
          <w:rFonts w:hint="eastAsia" w:ascii="宋体" w:hAnsi="宋体" w:eastAsia="宋体" w:cs="宋体"/>
          <w:sz w:val="28"/>
          <w:szCs w:val="28"/>
        </w:rPr>
        <w:t>，将标的物运送至甲方指定的地点（需安装的，为指定的安装场所）。</w:t>
      </w:r>
      <w:r>
        <w:rPr>
          <w:rFonts w:hint="eastAsia" w:ascii="宋体" w:hAnsi="宋体" w:eastAsia="宋体" w:cs="宋体"/>
          <w:b/>
          <w:sz w:val="28"/>
          <w:szCs w:val="28"/>
        </w:rPr>
        <w:t>具体地点为</w:t>
      </w:r>
      <w:r>
        <w:rPr>
          <w:rFonts w:hint="eastAsia" w:ascii="宋体" w:hAnsi="宋体" w:eastAsia="宋体" w:cs="宋体"/>
          <w:b/>
          <w:sz w:val="28"/>
          <w:szCs w:val="28"/>
          <w:u w:val="single"/>
        </w:rPr>
        <w:t>　    　</w:t>
      </w:r>
      <w:r>
        <w:rPr>
          <w:rFonts w:hint="eastAsia" w:ascii="宋体" w:hAnsi="宋体" w:eastAsia="宋体" w:cs="宋体"/>
          <w:b/>
          <w:sz w:val="28"/>
          <w:szCs w:val="28"/>
        </w:rPr>
        <w:t>。</w:t>
      </w:r>
    </w:p>
    <w:p w14:paraId="2D619CAF">
      <w:pPr>
        <w:widowControl/>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2、交货时应将与货物配套的用户手册、说明书、出厂合格证明、电路图、软件或程序系统等技术资料一并交付给甲方。</w:t>
      </w:r>
    </w:p>
    <w:p w14:paraId="72265E34">
      <w:pPr>
        <w:widowControl/>
        <w:adjustRightInd w:val="0"/>
        <w:snapToGrid w:val="0"/>
        <w:spacing w:line="300" w:lineRule="auto"/>
        <w:ind w:firstLine="560" w:firstLineChars="200"/>
        <w:rPr>
          <w:rFonts w:hint="eastAsia" w:ascii="宋体" w:hAnsi="宋体" w:eastAsia="宋体" w:cs="宋体"/>
          <w:kern w:val="0"/>
          <w:sz w:val="28"/>
          <w:szCs w:val="28"/>
        </w:rPr>
      </w:pPr>
      <w:r>
        <w:rPr>
          <w:rFonts w:hint="eastAsia" w:ascii="宋体" w:hAnsi="宋体" w:eastAsia="宋体" w:cs="宋体"/>
          <w:sz w:val="28"/>
          <w:szCs w:val="28"/>
        </w:rPr>
        <w:t>3、上述第1款、第2款所列之配件、附属工具、技术资料和证明文件等，为本合同所称“货物”之不可分割的组成部分；</w:t>
      </w:r>
      <w:r>
        <w:rPr>
          <w:rFonts w:hint="eastAsia" w:ascii="宋体" w:hAnsi="宋体" w:eastAsia="宋体" w:cs="宋体"/>
          <w:kern w:val="0"/>
          <w:sz w:val="28"/>
          <w:szCs w:val="28"/>
        </w:rPr>
        <w:t>如迟延交付或未交付，则视为逾期交货或未交货，应依约承担违约或赔偿责任。</w:t>
      </w:r>
    </w:p>
    <w:p w14:paraId="3BC148D0">
      <w:pPr>
        <w:adjustRightInd w:val="0"/>
        <w:snapToGrid w:val="0"/>
        <w:spacing w:line="30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rPr>
        <w:t>4、交货方式：由乙方免费送货上门；需要安装的，应安装到位；需调试的，应调试完毕。需要技术培训的，应当在货物实际交付之日起</w:t>
      </w:r>
      <w:r>
        <w:rPr>
          <w:rFonts w:hint="eastAsia" w:ascii="宋体" w:hAnsi="宋体" w:eastAsia="宋体" w:cs="宋体"/>
          <w:sz w:val="28"/>
          <w:szCs w:val="28"/>
          <w:u w:val="single"/>
        </w:rPr>
        <w:t>5</w:t>
      </w:r>
      <w:r>
        <w:rPr>
          <w:rFonts w:hint="eastAsia" w:ascii="宋体" w:hAnsi="宋体" w:eastAsia="宋体" w:cs="宋体"/>
          <w:sz w:val="28"/>
          <w:szCs w:val="28"/>
        </w:rPr>
        <w:t>天内完成技术培训。</w:t>
      </w:r>
    </w:p>
    <w:p w14:paraId="4B1BD288">
      <w:pPr>
        <w:adjustRightInd w:val="0"/>
        <w:snapToGrid w:val="0"/>
        <w:spacing w:line="300" w:lineRule="auto"/>
        <w:ind w:firstLine="560" w:firstLineChars="200"/>
        <w:rPr>
          <w:rFonts w:hint="eastAsia" w:ascii="宋体" w:hAnsi="宋体" w:eastAsia="宋体" w:cs="宋体"/>
          <w:b/>
          <w:sz w:val="28"/>
          <w:szCs w:val="28"/>
        </w:rPr>
      </w:pPr>
      <w:r>
        <w:rPr>
          <w:rFonts w:hint="eastAsia" w:ascii="宋体" w:hAnsi="宋体" w:eastAsia="宋体" w:cs="宋体"/>
          <w:sz w:val="28"/>
          <w:szCs w:val="28"/>
        </w:rPr>
        <w:t>5、</w:t>
      </w:r>
      <w:r>
        <w:rPr>
          <w:rFonts w:hint="eastAsia" w:ascii="宋体" w:hAnsi="宋体" w:eastAsia="宋体" w:cs="宋体"/>
          <w:b/>
          <w:sz w:val="28"/>
          <w:szCs w:val="28"/>
        </w:rPr>
        <w:t>安装要求如下：</w:t>
      </w:r>
    </w:p>
    <w:p w14:paraId="4C120120">
      <w:pPr>
        <w:adjustRightInd w:val="0"/>
        <w:snapToGrid w:val="0"/>
        <w:spacing w:line="300" w:lineRule="auto"/>
        <w:ind w:firstLine="420"/>
        <w:rPr>
          <w:rFonts w:hint="eastAsia" w:ascii="宋体" w:hAnsi="宋体" w:eastAsia="宋体" w:cs="宋体"/>
          <w:sz w:val="28"/>
          <w:szCs w:val="28"/>
        </w:rPr>
      </w:pPr>
      <w:r>
        <w:rPr>
          <w:rFonts w:hint="eastAsia" w:ascii="宋体" w:hAnsi="宋体" w:eastAsia="宋体" w:cs="宋体"/>
          <w:sz w:val="28"/>
          <w:szCs w:val="28"/>
        </w:rPr>
        <w:t>(1)乙方应将货物安装于甲方</w:t>
      </w:r>
      <w:r>
        <w:rPr>
          <w:rFonts w:hint="eastAsia" w:ascii="宋体" w:hAnsi="宋体" w:eastAsia="宋体" w:cs="宋体"/>
          <w:b/>
          <w:sz w:val="28"/>
          <w:szCs w:val="28"/>
        </w:rPr>
        <w:t>指定的地点</w:t>
      </w:r>
      <w:r>
        <w:rPr>
          <w:rFonts w:hint="eastAsia" w:ascii="宋体" w:hAnsi="宋体" w:eastAsia="宋体" w:cs="宋体"/>
          <w:sz w:val="28"/>
          <w:szCs w:val="28"/>
        </w:rPr>
        <w:t>或场所</w:t>
      </w:r>
      <w:r>
        <w:rPr>
          <w:rFonts w:hint="eastAsia" w:ascii="宋体" w:hAnsi="宋体" w:eastAsia="宋体" w:cs="宋体"/>
          <w:b/>
          <w:sz w:val="28"/>
          <w:szCs w:val="28"/>
        </w:rPr>
        <w:t>：</w:t>
      </w:r>
      <w:r>
        <w:rPr>
          <w:rFonts w:hint="eastAsia" w:ascii="宋体" w:hAnsi="宋体" w:eastAsia="宋体" w:cs="宋体"/>
          <w:b/>
          <w:sz w:val="28"/>
          <w:szCs w:val="28"/>
          <w:u w:val="single"/>
        </w:rPr>
        <w:t xml:space="preserve">       </w:t>
      </w:r>
      <w:r>
        <w:rPr>
          <w:rFonts w:hint="eastAsia" w:ascii="宋体" w:hAnsi="宋体" w:eastAsia="宋体" w:cs="宋体"/>
          <w:b/>
          <w:sz w:val="28"/>
          <w:szCs w:val="28"/>
        </w:rPr>
        <w:t xml:space="preserve"> 。</w:t>
      </w:r>
    </w:p>
    <w:p w14:paraId="7B590BE5">
      <w:pPr>
        <w:adjustRightInd w:val="0"/>
        <w:snapToGrid w:val="0"/>
        <w:spacing w:line="300" w:lineRule="auto"/>
        <w:ind w:firstLine="420"/>
        <w:rPr>
          <w:rFonts w:hint="eastAsia" w:ascii="宋体" w:hAnsi="宋体" w:eastAsia="宋体" w:cs="宋体"/>
          <w:sz w:val="28"/>
          <w:szCs w:val="28"/>
        </w:rPr>
      </w:pPr>
      <w:r>
        <w:rPr>
          <w:rFonts w:hint="eastAsia" w:ascii="宋体" w:hAnsi="宋体" w:eastAsia="宋体" w:cs="宋体"/>
          <w:sz w:val="28"/>
          <w:szCs w:val="28"/>
        </w:rPr>
        <w:t>(2)乙方应按图施工，并且不得对甲方的既存权利造成损害；</w:t>
      </w:r>
    </w:p>
    <w:p w14:paraId="110D0724">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(3)乙方应当派遣相应的专业技术人员进行安装、调试，并且应按图施工。对乙方工作人员在安装、调试、交付过程中发生的生产安全事故，甲方不承担任何法律责任。</w:t>
      </w:r>
    </w:p>
    <w:p w14:paraId="0FFF4CA8">
      <w:pPr>
        <w:tabs>
          <w:tab w:val="left" w:pos="540"/>
        </w:tabs>
        <w:adjustRightInd w:val="0"/>
        <w:snapToGrid w:val="0"/>
        <w:spacing w:before="156" w:beforeLines="50" w:line="30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第六条　货物验收</w:t>
      </w:r>
    </w:p>
    <w:p w14:paraId="160B37F5">
      <w:pPr>
        <w:tabs>
          <w:tab w:val="left" w:pos="540"/>
        </w:tabs>
        <w:adjustRightInd w:val="0"/>
        <w:snapToGrid w:val="0"/>
        <w:spacing w:line="300" w:lineRule="auto"/>
        <w:ind w:firstLine="560" w:firstLineChars="200"/>
        <w:rPr>
          <w:rFonts w:hint="eastAsia" w:ascii="宋体" w:hAnsi="宋体" w:eastAsia="宋体" w:cs="宋体"/>
          <w:kern w:val="0"/>
          <w:sz w:val="28"/>
          <w:szCs w:val="28"/>
        </w:rPr>
      </w:pPr>
      <w:r>
        <w:rPr>
          <w:rFonts w:hint="eastAsia" w:ascii="宋体" w:hAnsi="宋体" w:eastAsia="宋体" w:cs="宋体"/>
          <w:sz w:val="28"/>
          <w:szCs w:val="28"/>
        </w:rPr>
        <w:t>1、</w:t>
      </w:r>
      <w:r>
        <w:rPr>
          <w:rFonts w:hint="eastAsia" w:ascii="宋体" w:hAnsi="宋体" w:eastAsia="宋体" w:cs="宋体"/>
          <w:kern w:val="0"/>
          <w:sz w:val="28"/>
          <w:szCs w:val="28"/>
        </w:rPr>
        <w:t>货物送到甲方指定地点后</w:t>
      </w:r>
      <w:r>
        <w:rPr>
          <w:rFonts w:hint="eastAsia" w:ascii="宋体" w:hAnsi="宋体" w:eastAsia="宋体" w:cs="宋体"/>
          <w:b/>
          <w:kern w:val="0"/>
          <w:sz w:val="28"/>
          <w:szCs w:val="28"/>
          <w:u w:val="single"/>
        </w:rPr>
        <w:t>　 7　</w:t>
      </w:r>
      <w:r>
        <w:rPr>
          <w:rFonts w:hint="eastAsia" w:ascii="宋体" w:hAnsi="宋体" w:eastAsia="宋体" w:cs="宋体"/>
          <w:b/>
          <w:kern w:val="0"/>
          <w:sz w:val="28"/>
          <w:szCs w:val="28"/>
        </w:rPr>
        <w:t>个工作日内</w:t>
      </w:r>
      <w:r>
        <w:rPr>
          <w:rFonts w:hint="eastAsia" w:ascii="宋体" w:hAnsi="宋体" w:eastAsia="宋体" w:cs="宋体"/>
          <w:kern w:val="0"/>
          <w:sz w:val="28"/>
          <w:szCs w:val="28"/>
        </w:rPr>
        <w:t>，</w:t>
      </w:r>
      <w:r>
        <w:rPr>
          <w:rFonts w:hint="eastAsia" w:ascii="宋体" w:hAnsi="宋体" w:eastAsia="宋体" w:cs="宋体"/>
          <w:sz w:val="28"/>
          <w:szCs w:val="28"/>
        </w:rPr>
        <w:t>乙方须通知并且组织甲方（或者甲方指定的机构）共同</w:t>
      </w:r>
      <w:r>
        <w:rPr>
          <w:rFonts w:hint="eastAsia" w:ascii="宋体" w:hAnsi="宋体" w:eastAsia="宋体" w:cs="宋体"/>
          <w:kern w:val="0"/>
          <w:sz w:val="28"/>
          <w:szCs w:val="28"/>
        </w:rPr>
        <w:t>对货物数量、</w:t>
      </w:r>
      <w:r>
        <w:rPr>
          <w:rFonts w:hint="eastAsia" w:ascii="宋体" w:hAnsi="宋体" w:eastAsia="宋体" w:cs="宋体"/>
          <w:sz w:val="28"/>
          <w:szCs w:val="28"/>
        </w:rPr>
        <w:t>型号</w:t>
      </w:r>
      <w:r>
        <w:rPr>
          <w:rFonts w:hint="eastAsia" w:ascii="宋体" w:hAnsi="宋体" w:eastAsia="宋体" w:cs="宋体"/>
          <w:kern w:val="0"/>
          <w:sz w:val="28"/>
          <w:szCs w:val="28"/>
        </w:rPr>
        <w:t>、外观</w:t>
      </w:r>
      <w:r>
        <w:rPr>
          <w:rFonts w:hint="eastAsia" w:ascii="宋体" w:hAnsi="宋体" w:eastAsia="宋体" w:cs="宋体"/>
          <w:sz w:val="28"/>
          <w:szCs w:val="28"/>
        </w:rPr>
        <w:t>标识</w:t>
      </w:r>
      <w:r>
        <w:rPr>
          <w:rFonts w:hint="eastAsia" w:ascii="宋体" w:hAnsi="宋体" w:eastAsia="宋体" w:cs="宋体"/>
          <w:kern w:val="0"/>
          <w:sz w:val="28"/>
          <w:szCs w:val="28"/>
        </w:rPr>
        <w:t>、包装、配套附件、各种技术资料文件等进行清点、检查或</w:t>
      </w:r>
      <w:r>
        <w:rPr>
          <w:rFonts w:hint="eastAsia" w:ascii="宋体" w:hAnsi="宋体" w:eastAsia="宋体" w:cs="宋体"/>
          <w:sz w:val="28"/>
          <w:szCs w:val="28"/>
        </w:rPr>
        <w:t>验收</w:t>
      </w:r>
      <w:r>
        <w:rPr>
          <w:rFonts w:hint="eastAsia" w:ascii="宋体" w:hAnsi="宋体" w:eastAsia="宋体" w:cs="宋体"/>
          <w:kern w:val="0"/>
          <w:sz w:val="28"/>
          <w:szCs w:val="28"/>
        </w:rPr>
        <w:t>；需要安装、调试的，</w:t>
      </w:r>
      <w:r>
        <w:rPr>
          <w:rFonts w:hint="eastAsia" w:ascii="宋体" w:hAnsi="宋体" w:eastAsia="宋体" w:cs="宋体"/>
          <w:sz w:val="28"/>
          <w:szCs w:val="28"/>
        </w:rPr>
        <w:t>应当</w:t>
      </w:r>
      <w:r>
        <w:rPr>
          <w:rFonts w:hint="eastAsia" w:ascii="宋体" w:hAnsi="宋体" w:eastAsia="宋体" w:cs="宋体"/>
          <w:kern w:val="0"/>
          <w:sz w:val="28"/>
          <w:szCs w:val="28"/>
        </w:rPr>
        <w:t>安装、调试完毕后的</w:t>
      </w:r>
      <w:r>
        <w:rPr>
          <w:rFonts w:hint="eastAsia" w:ascii="宋体" w:hAnsi="宋体" w:eastAsia="宋体" w:cs="宋体"/>
          <w:b/>
          <w:kern w:val="0"/>
          <w:sz w:val="28"/>
          <w:szCs w:val="28"/>
          <w:u w:val="single"/>
        </w:rPr>
        <w:t>　5　</w:t>
      </w:r>
      <w:r>
        <w:rPr>
          <w:rFonts w:hint="eastAsia" w:ascii="宋体" w:hAnsi="宋体" w:eastAsia="宋体" w:cs="宋体"/>
          <w:b/>
          <w:kern w:val="0"/>
          <w:sz w:val="28"/>
          <w:szCs w:val="28"/>
        </w:rPr>
        <w:t>个工作日内</w:t>
      </w:r>
      <w:r>
        <w:rPr>
          <w:rFonts w:hint="eastAsia" w:ascii="宋体" w:hAnsi="宋体" w:eastAsia="宋体" w:cs="宋体"/>
          <w:kern w:val="0"/>
          <w:sz w:val="28"/>
          <w:szCs w:val="28"/>
        </w:rPr>
        <w:t>，会同甲方</w:t>
      </w:r>
      <w:r>
        <w:rPr>
          <w:rFonts w:hint="eastAsia" w:ascii="宋体" w:hAnsi="宋体" w:eastAsia="宋体" w:cs="宋体"/>
          <w:sz w:val="28"/>
          <w:szCs w:val="28"/>
        </w:rPr>
        <w:t>共同</w:t>
      </w:r>
      <w:r>
        <w:rPr>
          <w:rFonts w:hint="eastAsia" w:ascii="宋体" w:hAnsi="宋体" w:eastAsia="宋体" w:cs="宋体"/>
          <w:kern w:val="0"/>
          <w:sz w:val="28"/>
          <w:szCs w:val="28"/>
        </w:rPr>
        <w:t>对货物数量、质量、外观、包装、品种、配套附件、各种技术资料文件等进行</w:t>
      </w:r>
      <w:r>
        <w:rPr>
          <w:rFonts w:hint="eastAsia" w:ascii="宋体" w:hAnsi="宋体" w:eastAsia="宋体" w:cs="宋体"/>
          <w:sz w:val="28"/>
          <w:szCs w:val="28"/>
        </w:rPr>
        <w:t>验收</w:t>
      </w:r>
      <w:r>
        <w:rPr>
          <w:rFonts w:hint="eastAsia" w:ascii="宋体" w:hAnsi="宋体" w:eastAsia="宋体" w:cs="宋体"/>
          <w:kern w:val="0"/>
          <w:sz w:val="28"/>
          <w:szCs w:val="28"/>
        </w:rPr>
        <w:t>。</w:t>
      </w:r>
      <w:r>
        <w:rPr>
          <w:rFonts w:hint="eastAsia" w:ascii="宋体" w:hAnsi="宋体" w:eastAsia="宋体" w:cs="宋体"/>
          <w:sz w:val="28"/>
          <w:szCs w:val="28"/>
        </w:rPr>
        <w:t>调试、安装不符合质量或技术标准的，乙方应立即采取补救措施；有关《验收报告》的出具和试用期的起算均应作相应顺延。</w:t>
      </w:r>
    </w:p>
    <w:p w14:paraId="4BD54034">
      <w:pPr>
        <w:tabs>
          <w:tab w:val="left" w:pos="540"/>
        </w:tabs>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kern w:val="0"/>
          <w:sz w:val="28"/>
          <w:szCs w:val="28"/>
        </w:rPr>
        <w:t>2、货物</w:t>
      </w:r>
      <w:r>
        <w:rPr>
          <w:rFonts w:hint="eastAsia" w:ascii="宋体" w:hAnsi="宋体" w:eastAsia="宋体" w:cs="宋体"/>
          <w:sz w:val="28"/>
          <w:szCs w:val="28"/>
        </w:rPr>
        <w:t>全部交付给甲方时各方共同对货物</w:t>
      </w:r>
      <w:r>
        <w:rPr>
          <w:rFonts w:hint="eastAsia" w:ascii="宋体" w:hAnsi="宋体" w:eastAsia="宋体" w:cs="宋体"/>
          <w:kern w:val="0"/>
          <w:sz w:val="28"/>
          <w:szCs w:val="28"/>
        </w:rPr>
        <w:t>经过</w:t>
      </w:r>
      <w:r>
        <w:rPr>
          <w:rFonts w:hint="eastAsia" w:ascii="宋体" w:hAnsi="宋体" w:eastAsia="宋体" w:cs="宋体"/>
          <w:sz w:val="28"/>
          <w:szCs w:val="28"/>
        </w:rPr>
        <w:t>验收</w:t>
      </w:r>
      <w:r>
        <w:rPr>
          <w:rFonts w:hint="eastAsia" w:ascii="宋体" w:hAnsi="宋体" w:eastAsia="宋体" w:cs="宋体"/>
          <w:kern w:val="0"/>
          <w:sz w:val="28"/>
          <w:szCs w:val="28"/>
        </w:rPr>
        <w:t>后，如果货物或其安装、调试、检测、运行符合本合同约定的，</w:t>
      </w:r>
      <w:r>
        <w:rPr>
          <w:rFonts w:hint="eastAsia" w:ascii="宋体" w:hAnsi="宋体" w:eastAsia="宋体" w:cs="宋体"/>
          <w:sz w:val="28"/>
          <w:szCs w:val="28"/>
        </w:rPr>
        <w:t>甲方应</w:t>
      </w:r>
      <w:r>
        <w:rPr>
          <w:rFonts w:hint="eastAsia" w:ascii="宋体" w:hAnsi="宋体" w:eastAsia="宋体" w:cs="宋体"/>
          <w:b/>
          <w:sz w:val="28"/>
          <w:szCs w:val="28"/>
        </w:rPr>
        <w:t>在</w:t>
      </w:r>
      <w:r>
        <w:rPr>
          <w:rFonts w:hint="eastAsia" w:ascii="宋体" w:hAnsi="宋体" w:eastAsia="宋体" w:cs="宋体"/>
          <w:b/>
          <w:sz w:val="28"/>
          <w:szCs w:val="28"/>
          <w:u w:val="single"/>
        </w:rPr>
        <w:t xml:space="preserve"> 　5　 </w:t>
      </w:r>
      <w:r>
        <w:rPr>
          <w:rFonts w:hint="eastAsia" w:ascii="宋体" w:hAnsi="宋体" w:eastAsia="宋体" w:cs="宋体"/>
          <w:b/>
          <w:sz w:val="28"/>
          <w:szCs w:val="28"/>
        </w:rPr>
        <w:t>个工作日内</w:t>
      </w:r>
      <w:r>
        <w:rPr>
          <w:rFonts w:hint="eastAsia" w:ascii="宋体" w:hAnsi="宋体" w:eastAsia="宋体" w:cs="宋体"/>
          <w:sz w:val="28"/>
          <w:szCs w:val="28"/>
        </w:rPr>
        <w:t>向乙方签发书面的《验收报告》，但是该《验收报告》之签署并不代表货物质量完全合格。</w:t>
      </w:r>
    </w:p>
    <w:p w14:paraId="075D65EE">
      <w:pPr>
        <w:tabs>
          <w:tab w:val="left" w:pos="540"/>
        </w:tabs>
        <w:adjustRightInd w:val="0"/>
        <w:snapToGrid w:val="0"/>
        <w:spacing w:line="300" w:lineRule="auto"/>
        <w:ind w:firstLine="560" w:firstLineChars="200"/>
        <w:rPr>
          <w:rFonts w:hint="eastAsia" w:ascii="宋体" w:hAnsi="宋体" w:eastAsia="宋体" w:cs="宋体"/>
          <w:kern w:val="0"/>
          <w:sz w:val="28"/>
          <w:szCs w:val="28"/>
        </w:rPr>
      </w:pPr>
      <w:r>
        <w:rPr>
          <w:rFonts w:hint="eastAsia" w:ascii="宋体" w:hAnsi="宋体" w:eastAsia="宋体" w:cs="宋体"/>
          <w:sz w:val="28"/>
          <w:szCs w:val="28"/>
        </w:rPr>
        <w:t>3、《验收报告》之出具必须以本</w:t>
      </w:r>
      <w:r>
        <w:rPr>
          <w:rFonts w:hint="eastAsia" w:ascii="宋体" w:hAnsi="宋体" w:eastAsia="宋体" w:cs="宋体"/>
          <w:kern w:val="0"/>
          <w:sz w:val="28"/>
          <w:szCs w:val="28"/>
        </w:rPr>
        <w:t>合同项下的</w:t>
      </w:r>
      <w:r>
        <w:rPr>
          <w:rFonts w:hint="eastAsia" w:ascii="宋体" w:hAnsi="宋体" w:eastAsia="宋体" w:cs="宋体"/>
          <w:sz w:val="28"/>
          <w:szCs w:val="28"/>
        </w:rPr>
        <w:t>全部货物验收完毕为条件。</w:t>
      </w:r>
      <w:r>
        <w:rPr>
          <w:rFonts w:hint="eastAsia" w:ascii="宋体" w:hAnsi="宋体" w:eastAsia="宋体" w:cs="宋体"/>
          <w:kern w:val="0"/>
          <w:sz w:val="28"/>
          <w:szCs w:val="28"/>
        </w:rPr>
        <w:t>对于分批或分项或分期履行交货的，甲方可以作分批或分项或分期之验收，但仅出具分批或分项或分期之验收书面文件，而此种情形下的《验收报告》之签发时间应于最后一批（项或期）货物验收完毕之时，并据此作为全部货物试用期的起算时间――除非另有约定。</w:t>
      </w:r>
    </w:p>
    <w:p w14:paraId="44C58F24">
      <w:pPr>
        <w:tabs>
          <w:tab w:val="left" w:pos="540"/>
        </w:tabs>
        <w:adjustRightInd w:val="0"/>
        <w:snapToGrid w:val="0"/>
        <w:spacing w:line="300" w:lineRule="auto"/>
        <w:ind w:firstLine="560" w:firstLineChars="200"/>
        <w:rPr>
          <w:rFonts w:hint="eastAsia" w:ascii="宋体" w:hAnsi="宋体" w:eastAsia="宋体" w:cs="宋体"/>
          <w:snapToGrid w:val="0"/>
          <w:sz w:val="28"/>
          <w:szCs w:val="28"/>
        </w:rPr>
      </w:pPr>
      <w:r>
        <w:rPr>
          <w:rFonts w:hint="eastAsia" w:ascii="宋体" w:hAnsi="宋体" w:eastAsia="宋体" w:cs="宋体"/>
          <w:sz w:val="28"/>
          <w:szCs w:val="28"/>
        </w:rPr>
        <w:t>4、乙方则应给予甲方</w:t>
      </w:r>
      <w:r>
        <w:rPr>
          <w:rFonts w:hint="eastAsia" w:ascii="宋体" w:hAnsi="宋体" w:eastAsia="宋体" w:cs="宋体"/>
          <w:b/>
          <w:sz w:val="28"/>
          <w:szCs w:val="28"/>
          <w:u w:val="single"/>
        </w:rPr>
        <w:t>　　10　　</w:t>
      </w:r>
      <w:r>
        <w:rPr>
          <w:rFonts w:hint="eastAsia" w:ascii="宋体" w:hAnsi="宋体" w:eastAsia="宋体" w:cs="宋体"/>
          <w:b/>
          <w:sz w:val="28"/>
          <w:szCs w:val="28"/>
        </w:rPr>
        <w:t>个日历天的货物试用期</w:t>
      </w:r>
      <w:r>
        <w:rPr>
          <w:rFonts w:hint="eastAsia" w:ascii="宋体" w:hAnsi="宋体" w:eastAsia="宋体" w:cs="宋体"/>
          <w:sz w:val="28"/>
          <w:szCs w:val="28"/>
        </w:rPr>
        <w:t>，试用期自签发《验收报告》的当天起算。试用期内乙方未收到来自甲方的修理、修复、复检、重新安装、重新调试等请求或者质量异议的，则视货物质量合格。</w:t>
      </w:r>
      <w:r>
        <w:rPr>
          <w:rFonts w:hint="eastAsia" w:ascii="宋体" w:hAnsi="宋体" w:eastAsia="宋体" w:cs="宋体"/>
          <w:snapToGrid w:val="0"/>
          <w:sz w:val="28"/>
          <w:szCs w:val="28"/>
        </w:rPr>
        <w:t>如果试用期内发生非甲方人为毁损原因所致的质量问题，则试用期起算时间应以该质量问题得到解决之日重新起算，且合同项下的货物验收合格之时间点应整体顺延。</w:t>
      </w:r>
    </w:p>
    <w:p w14:paraId="7C790B2B">
      <w:pPr>
        <w:tabs>
          <w:tab w:val="left" w:pos="540"/>
        </w:tabs>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5、于试用期届满之次日（工作日），乙方应当向甲方提交要求确认</w:t>
      </w:r>
      <w:r>
        <w:rPr>
          <w:rFonts w:hint="eastAsia" w:ascii="宋体" w:hAnsi="宋体" w:eastAsia="宋体" w:cs="宋体"/>
          <w:kern w:val="0"/>
          <w:sz w:val="28"/>
          <w:szCs w:val="28"/>
        </w:rPr>
        <w:t>货物</w:t>
      </w:r>
      <w:r>
        <w:rPr>
          <w:rFonts w:hint="eastAsia" w:ascii="宋体" w:hAnsi="宋体" w:eastAsia="宋体" w:cs="宋体"/>
          <w:sz w:val="28"/>
          <w:szCs w:val="28"/>
        </w:rPr>
        <w:t>试用期满、质量</w:t>
      </w:r>
      <w:r>
        <w:rPr>
          <w:rFonts w:hint="eastAsia" w:ascii="宋体" w:hAnsi="宋体" w:eastAsia="宋体" w:cs="宋体"/>
          <w:snapToGrid w:val="0"/>
          <w:sz w:val="28"/>
          <w:szCs w:val="28"/>
        </w:rPr>
        <w:t>合格之书面申请。</w:t>
      </w:r>
      <w:r>
        <w:rPr>
          <w:rFonts w:hint="eastAsia" w:ascii="宋体" w:hAnsi="宋体" w:eastAsia="宋体" w:cs="宋体"/>
          <w:sz w:val="28"/>
          <w:szCs w:val="28"/>
        </w:rPr>
        <w:t>甲方应当</w:t>
      </w:r>
      <w:r>
        <w:rPr>
          <w:rFonts w:hint="eastAsia" w:ascii="宋体" w:hAnsi="宋体" w:eastAsia="宋体" w:cs="宋体"/>
          <w:b/>
          <w:sz w:val="28"/>
          <w:szCs w:val="28"/>
        </w:rPr>
        <w:t>在收到该书面申请后</w:t>
      </w:r>
      <w:r>
        <w:rPr>
          <w:rFonts w:hint="eastAsia" w:ascii="宋体" w:hAnsi="宋体" w:eastAsia="宋体" w:cs="宋体"/>
          <w:b/>
          <w:snapToGrid w:val="0"/>
          <w:sz w:val="28"/>
          <w:szCs w:val="28"/>
          <w:u w:val="single"/>
        </w:rPr>
        <w:t>　　5　　</w:t>
      </w:r>
      <w:r>
        <w:rPr>
          <w:rFonts w:hint="eastAsia" w:ascii="宋体" w:hAnsi="宋体" w:eastAsia="宋体" w:cs="宋体"/>
          <w:b/>
          <w:snapToGrid w:val="0"/>
          <w:sz w:val="28"/>
          <w:szCs w:val="28"/>
        </w:rPr>
        <w:t>个工作日内</w:t>
      </w:r>
      <w:r>
        <w:rPr>
          <w:rFonts w:hint="eastAsia" w:ascii="宋体" w:hAnsi="宋体" w:eastAsia="宋体" w:cs="宋体"/>
          <w:snapToGrid w:val="0"/>
          <w:sz w:val="28"/>
          <w:szCs w:val="28"/>
        </w:rPr>
        <w:t>复核并确认完毕――符合约定的质量标准的，则在先前签发的</w:t>
      </w:r>
      <w:r>
        <w:rPr>
          <w:rFonts w:hint="eastAsia" w:ascii="宋体" w:hAnsi="宋体" w:eastAsia="宋体" w:cs="宋体"/>
          <w:sz w:val="28"/>
          <w:szCs w:val="28"/>
        </w:rPr>
        <w:t>《</w:t>
      </w:r>
      <w:r>
        <w:rPr>
          <w:rFonts w:hint="eastAsia" w:ascii="宋体" w:hAnsi="宋体" w:eastAsia="宋体" w:cs="宋体"/>
          <w:kern w:val="0"/>
          <w:sz w:val="28"/>
          <w:szCs w:val="28"/>
        </w:rPr>
        <w:t>验收</w:t>
      </w:r>
      <w:r>
        <w:rPr>
          <w:rFonts w:hint="eastAsia" w:ascii="宋体" w:hAnsi="宋体" w:eastAsia="宋体" w:cs="宋体"/>
          <w:snapToGrid w:val="0"/>
          <w:sz w:val="28"/>
          <w:szCs w:val="28"/>
        </w:rPr>
        <w:t>报告》中作出“全部货物质量符合合同约定”或“试用期间使用正常”之类的批注；不符合的，须立即书面通知乙方并且可以在原</w:t>
      </w:r>
      <w:r>
        <w:rPr>
          <w:rFonts w:hint="eastAsia" w:ascii="宋体" w:hAnsi="宋体" w:eastAsia="宋体" w:cs="宋体"/>
          <w:sz w:val="28"/>
          <w:szCs w:val="28"/>
        </w:rPr>
        <w:t>《</w:t>
      </w:r>
      <w:r>
        <w:rPr>
          <w:rFonts w:hint="eastAsia" w:ascii="宋体" w:hAnsi="宋体" w:eastAsia="宋体" w:cs="宋体"/>
          <w:kern w:val="0"/>
          <w:sz w:val="28"/>
          <w:szCs w:val="28"/>
        </w:rPr>
        <w:t>验收</w:t>
      </w:r>
      <w:r>
        <w:rPr>
          <w:rFonts w:hint="eastAsia" w:ascii="宋体" w:hAnsi="宋体" w:eastAsia="宋体" w:cs="宋体"/>
          <w:snapToGrid w:val="0"/>
          <w:sz w:val="28"/>
          <w:szCs w:val="28"/>
        </w:rPr>
        <w:t>报告》作出相应的批注或提出相应的要求。</w:t>
      </w:r>
    </w:p>
    <w:p w14:paraId="22CDD037">
      <w:pPr>
        <w:tabs>
          <w:tab w:val="left" w:pos="540"/>
        </w:tabs>
        <w:adjustRightInd w:val="0"/>
        <w:snapToGrid w:val="0"/>
        <w:spacing w:line="300" w:lineRule="auto"/>
        <w:ind w:firstLine="560" w:firstLineChars="200"/>
        <w:rPr>
          <w:rFonts w:hint="eastAsia" w:ascii="宋体" w:hAnsi="宋体" w:eastAsia="宋体" w:cs="宋体"/>
          <w:snapToGrid w:val="0"/>
          <w:sz w:val="28"/>
          <w:szCs w:val="28"/>
        </w:rPr>
      </w:pPr>
      <w:r>
        <w:rPr>
          <w:rFonts w:hint="eastAsia" w:ascii="宋体" w:hAnsi="宋体" w:eastAsia="宋体" w:cs="宋体"/>
          <w:snapToGrid w:val="0"/>
          <w:sz w:val="28"/>
          <w:szCs w:val="28"/>
        </w:rPr>
        <w:t>6、试用期内如果货物存在非甲方人为毁损原因而导致的不能正常使用，则该货物之试用期的起算时间应以该质量或技术问题被乙方完全解决之时重新起算，亦即该货物之试用期应顺延。如不能正常使用系甲方人为毁损原因导致，则不影响试用期限。</w:t>
      </w:r>
    </w:p>
    <w:p w14:paraId="65AE73BC">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kern w:val="0"/>
          <w:sz w:val="28"/>
          <w:szCs w:val="28"/>
        </w:rPr>
        <w:t>7、</w:t>
      </w:r>
      <w:r>
        <w:rPr>
          <w:rFonts w:hint="eastAsia" w:ascii="宋体" w:hAnsi="宋体" w:eastAsia="宋体" w:cs="宋体"/>
          <w:sz w:val="28"/>
          <w:szCs w:val="28"/>
        </w:rPr>
        <w:t>如因质量发生争议，由甲方委托具备相应资质的专门机构进行质量鉴定。其鉴定结论对各方均具有法律约束力。货物符合质量标准的，鉴定费由甲方承担；不符合的，鉴定费由乙方承担。</w:t>
      </w:r>
    </w:p>
    <w:p w14:paraId="039E2CB6">
      <w:pPr>
        <w:widowControl/>
        <w:adjustRightInd w:val="0"/>
        <w:snapToGrid w:val="0"/>
        <w:spacing w:line="300" w:lineRule="auto"/>
        <w:ind w:left="114" w:leftChars="57" w:firstLine="420" w:firstLineChars="150"/>
        <w:rPr>
          <w:rFonts w:hint="eastAsia" w:ascii="宋体" w:hAnsi="宋体" w:eastAsia="宋体" w:cs="宋体"/>
          <w:kern w:val="0"/>
          <w:sz w:val="28"/>
          <w:szCs w:val="28"/>
        </w:rPr>
      </w:pPr>
      <w:r>
        <w:rPr>
          <w:rFonts w:hint="eastAsia" w:ascii="宋体" w:hAnsi="宋体" w:eastAsia="宋体" w:cs="宋体"/>
          <w:sz w:val="28"/>
          <w:szCs w:val="28"/>
        </w:rPr>
        <w:t>8、验收标准：无论各方自行组织验收，还是共同委托验收，抑或于仲裁或诉讼情形，验收标准须以本合同</w:t>
      </w:r>
      <w:r>
        <w:rPr>
          <w:rFonts w:hint="eastAsia" w:ascii="宋体" w:hAnsi="宋体" w:eastAsia="宋体" w:cs="宋体"/>
          <w:bCs/>
          <w:sz w:val="28"/>
          <w:szCs w:val="28"/>
        </w:rPr>
        <w:t>中的“质量要求和技术标准”条款为根据</w:t>
      </w:r>
      <w:r>
        <w:rPr>
          <w:rFonts w:hint="eastAsia" w:ascii="宋体" w:hAnsi="宋体" w:eastAsia="宋体" w:cs="宋体"/>
          <w:sz w:val="28"/>
          <w:szCs w:val="28"/>
        </w:rPr>
        <w:t>。</w:t>
      </w:r>
    </w:p>
    <w:p w14:paraId="5D374154">
      <w:pPr>
        <w:adjustRightInd w:val="0"/>
        <w:snapToGrid w:val="0"/>
        <w:spacing w:line="300" w:lineRule="auto"/>
        <w:ind w:firstLine="560" w:firstLineChars="200"/>
        <w:rPr>
          <w:rFonts w:hint="eastAsia" w:ascii="宋体" w:hAnsi="宋体" w:eastAsia="宋体" w:cs="宋体"/>
          <w:kern w:val="0"/>
          <w:sz w:val="28"/>
          <w:szCs w:val="28"/>
        </w:rPr>
      </w:pPr>
      <w:r>
        <w:rPr>
          <w:rFonts w:hint="eastAsia" w:ascii="宋体" w:hAnsi="宋体" w:eastAsia="宋体" w:cs="宋体"/>
          <w:sz w:val="28"/>
          <w:szCs w:val="28"/>
        </w:rPr>
        <w:t>9、</w:t>
      </w:r>
      <w:r>
        <w:rPr>
          <w:rFonts w:hint="eastAsia" w:ascii="宋体" w:hAnsi="宋体" w:eastAsia="宋体" w:cs="宋体"/>
          <w:kern w:val="0"/>
          <w:sz w:val="28"/>
          <w:szCs w:val="28"/>
        </w:rPr>
        <w:t>如果甲方未及时参与乙方组织的验收工作，乙方应当再次以特快专递方式书面通知甲方验收；如甲方无正当理由仍拒不参加验收，应视质量合格且甲方拒收货物并按本合同第十五条第4款承担违约责任。</w:t>
      </w:r>
    </w:p>
    <w:p w14:paraId="7B1FB188">
      <w:pPr>
        <w:widowControl/>
        <w:adjustRightInd w:val="0"/>
        <w:snapToGrid w:val="0"/>
        <w:spacing w:before="156" w:beforeLines="50" w:line="300" w:lineRule="auto"/>
        <w:ind w:firstLine="551" w:firstLineChars="196"/>
        <w:rPr>
          <w:rFonts w:hint="eastAsia" w:ascii="宋体" w:hAnsi="宋体" w:eastAsia="宋体" w:cs="宋体"/>
          <w:b/>
          <w:bCs/>
          <w:sz w:val="28"/>
          <w:szCs w:val="28"/>
        </w:rPr>
      </w:pPr>
      <w:r>
        <w:rPr>
          <w:rFonts w:hint="eastAsia" w:ascii="宋体" w:hAnsi="宋体" w:eastAsia="宋体" w:cs="宋体"/>
          <w:b/>
          <w:bCs/>
          <w:sz w:val="28"/>
          <w:szCs w:val="28"/>
        </w:rPr>
        <w:t>第七条　</w:t>
      </w:r>
      <w:r>
        <w:rPr>
          <w:rFonts w:hint="eastAsia" w:ascii="宋体" w:hAnsi="宋体" w:eastAsia="宋体" w:cs="宋体"/>
          <w:b/>
          <w:sz w:val="28"/>
          <w:szCs w:val="28"/>
        </w:rPr>
        <w:t>质量</w:t>
      </w:r>
      <w:r>
        <w:rPr>
          <w:rFonts w:hint="eastAsia" w:ascii="宋体" w:hAnsi="宋体" w:eastAsia="宋体" w:cs="宋体"/>
          <w:b/>
          <w:bCs/>
          <w:sz w:val="28"/>
          <w:szCs w:val="28"/>
        </w:rPr>
        <w:t>保修和售后服务</w:t>
      </w:r>
      <w:r>
        <w:rPr>
          <w:rFonts w:hint="eastAsia" w:ascii="宋体" w:hAnsi="宋体" w:eastAsia="宋体" w:cs="宋体"/>
          <w:b/>
          <w:bCs/>
          <w:sz w:val="28"/>
          <w:szCs w:val="28"/>
        </w:rPr>
        <w:tab/>
      </w:r>
    </w:p>
    <w:p w14:paraId="28A02A48">
      <w:pPr>
        <w:adjustRightInd w:val="0"/>
        <w:snapToGrid w:val="0"/>
        <w:spacing w:line="300" w:lineRule="auto"/>
        <w:ind w:firstLine="719" w:firstLineChars="257"/>
        <w:rPr>
          <w:rFonts w:hint="eastAsia" w:ascii="宋体" w:hAnsi="宋体" w:eastAsia="宋体" w:cs="宋体"/>
          <w:snapToGrid w:val="0"/>
          <w:sz w:val="28"/>
          <w:szCs w:val="28"/>
        </w:rPr>
      </w:pPr>
      <w:r>
        <w:rPr>
          <w:rFonts w:hint="eastAsia" w:ascii="宋体" w:hAnsi="宋体" w:eastAsia="宋体" w:cs="宋体"/>
          <w:sz w:val="28"/>
          <w:szCs w:val="28"/>
        </w:rPr>
        <w:t>1、质量保修和售后服务期限：</w:t>
      </w:r>
    </w:p>
    <w:tbl>
      <w:tblPr>
        <w:tblStyle w:val="11"/>
        <w:tblW w:w="4998" w:type="pct"/>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592"/>
        <w:gridCol w:w="1994"/>
        <w:gridCol w:w="2616"/>
        <w:gridCol w:w="3131"/>
      </w:tblGrid>
      <w:tr w14:paraId="74F68D9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04" w:hRule="atLeast"/>
          <w:tblCellSpacing w:w="0" w:type="dxa"/>
        </w:trPr>
        <w:tc>
          <w:tcPr>
            <w:tcW w:w="355" w:type="pct"/>
            <w:tcBorders>
              <w:top w:val="outset" w:color="auto" w:sz="6" w:space="0"/>
              <w:left w:val="outset" w:color="auto" w:sz="6" w:space="0"/>
              <w:bottom w:val="outset" w:color="auto" w:sz="6" w:space="0"/>
              <w:right w:val="outset" w:color="auto" w:sz="6" w:space="0"/>
            </w:tcBorders>
            <w:vAlign w:val="center"/>
          </w:tcPr>
          <w:p w14:paraId="75458D65">
            <w:pPr>
              <w:adjustRightInd w:val="0"/>
              <w:snapToGrid w:val="0"/>
              <w:spacing w:line="300" w:lineRule="auto"/>
              <w:jc w:val="center"/>
              <w:rPr>
                <w:rFonts w:hint="eastAsia" w:ascii="宋体" w:hAnsi="宋体" w:eastAsia="宋体" w:cs="宋体"/>
                <w:sz w:val="28"/>
                <w:szCs w:val="28"/>
              </w:rPr>
            </w:pPr>
            <w:r>
              <w:rPr>
                <w:rFonts w:hint="eastAsia" w:ascii="宋体" w:hAnsi="宋体" w:eastAsia="宋体" w:cs="宋体"/>
                <w:sz w:val="28"/>
                <w:szCs w:val="28"/>
              </w:rPr>
              <w:t>序号</w:t>
            </w:r>
          </w:p>
        </w:tc>
        <w:tc>
          <w:tcPr>
            <w:tcW w:w="1196" w:type="pct"/>
            <w:tcBorders>
              <w:top w:val="outset" w:color="auto" w:sz="6" w:space="0"/>
              <w:left w:val="outset" w:color="auto" w:sz="6" w:space="0"/>
              <w:bottom w:val="outset" w:color="auto" w:sz="6" w:space="0"/>
              <w:right w:val="outset" w:color="auto" w:sz="6" w:space="0"/>
            </w:tcBorders>
            <w:vAlign w:val="center"/>
          </w:tcPr>
          <w:p w14:paraId="70E69F0C">
            <w:pPr>
              <w:adjustRightInd w:val="0"/>
              <w:snapToGrid w:val="0"/>
              <w:spacing w:line="300" w:lineRule="auto"/>
              <w:jc w:val="center"/>
              <w:rPr>
                <w:rFonts w:hint="eastAsia" w:ascii="宋体" w:hAnsi="宋体" w:eastAsia="宋体" w:cs="宋体"/>
                <w:sz w:val="28"/>
                <w:szCs w:val="28"/>
              </w:rPr>
            </w:pPr>
            <w:r>
              <w:rPr>
                <w:rFonts w:hint="eastAsia" w:ascii="宋体" w:hAnsi="宋体" w:eastAsia="宋体" w:cs="宋体"/>
                <w:sz w:val="28"/>
                <w:szCs w:val="28"/>
              </w:rPr>
              <w:t>货物名称</w:t>
            </w:r>
          </w:p>
        </w:tc>
        <w:tc>
          <w:tcPr>
            <w:tcW w:w="1569" w:type="pct"/>
            <w:tcBorders>
              <w:top w:val="outset" w:color="auto" w:sz="6" w:space="0"/>
              <w:left w:val="outset" w:color="auto" w:sz="6" w:space="0"/>
              <w:bottom w:val="outset" w:color="auto" w:sz="6" w:space="0"/>
              <w:right w:val="outset" w:color="auto" w:sz="6" w:space="0"/>
            </w:tcBorders>
            <w:vAlign w:val="center"/>
          </w:tcPr>
          <w:p w14:paraId="68191EFE">
            <w:pPr>
              <w:adjustRightInd w:val="0"/>
              <w:snapToGrid w:val="0"/>
              <w:spacing w:line="300" w:lineRule="auto"/>
              <w:jc w:val="center"/>
              <w:rPr>
                <w:rFonts w:hint="eastAsia" w:ascii="宋体" w:hAnsi="宋体" w:eastAsia="宋体" w:cs="宋体"/>
                <w:sz w:val="28"/>
                <w:szCs w:val="28"/>
              </w:rPr>
            </w:pPr>
            <w:r>
              <w:rPr>
                <w:rFonts w:hint="eastAsia" w:ascii="宋体" w:hAnsi="宋体" w:eastAsia="宋体" w:cs="宋体"/>
                <w:sz w:val="28"/>
                <w:szCs w:val="28"/>
              </w:rPr>
              <w:t>免费保修期（自</w:t>
            </w:r>
            <w:r>
              <w:rPr>
                <w:rFonts w:hint="eastAsia" w:ascii="宋体" w:hAnsi="宋体" w:eastAsia="宋体" w:cs="宋体"/>
                <w:snapToGrid w:val="0"/>
                <w:sz w:val="28"/>
                <w:szCs w:val="28"/>
              </w:rPr>
              <w:t>签发</w:t>
            </w:r>
            <w:r>
              <w:rPr>
                <w:rFonts w:hint="eastAsia" w:ascii="宋体" w:hAnsi="宋体" w:eastAsia="宋体" w:cs="宋体"/>
                <w:kern w:val="0"/>
                <w:sz w:val="28"/>
                <w:szCs w:val="28"/>
              </w:rPr>
              <w:t>验收合格报告</w:t>
            </w:r>
            <w:r>
              <w:rPr>
                <w:rFonts w:hint="eastAsia" w:ascii="宋体" w:hAnsi="宋体" w:eastAsia="宋体" w:cs="宋体"/>
                <w:snapToGrid w:val="0"/>
                <w:sz w:val="28"/>
                <w:szCs w:val="28"/>
              </w:rPr>
              <w:t>之日起算）</w:t>
            </w:r>
          </w:p>
        </w:tc>
        <w:tc>
          <w:tcPr>
            <w:tcW w:w="1877" w:type="pct"/>
            <w:tcBorders>
              <w:top w:val="outset" w:color="auto" w:sz="6" w:space="0"/>
              <w:left w:val="outset" w:color="auto" w:sz="6" w:space="0"/>
              <w:bottom w:val="outset" w:color="auto" w:sz="6" w:space="0"/>
              <w:right w:val="outset" w:color="auto" w:sz="6" w:space="0"/>
            </w:tcBorders>
            <w:vAlign w:val="center"/>
          </w:tcPr>
          <w:p w14:paraId="555EEA14">
            <w:pPr>
              <w:adjustRightInd w:val="0"/>
              <w:snapToGrid w:val="0"/>
              <w:spacing w:line="300" w:lineRule="auto"/>
              <w:jc w:val="center"/>
              <w:rPr>
                <w:rFonts w:hint="eastAsia" w:ascii="宋体" w:hAnsi="宋体" w:eastAsia="宋体" w:cs="宋体"/>
                <w:sz w:val="28"/>
                <w:szCs w:val="28"/>
              </w:rPr>
            </w:pPr>
            <w:r>
              <w:rPr>
                <w:rFonts w:hint="eastAsia" w:ascii="宋体" w:hAnsi="宋体" w:eastAsia="宋体" w:cs="宋体"/>
                <w:sz w:val="28"/>
                <w:szCs w:val="28"/>
              </w:rPr>
              <w:t>有偿保修服务期（自免费质量保修期届满日之次日起算）</w:t>
            </w:r>
          </w:p>
        </w:tc>
      </w:tr>
      <w:tr w14:paraId="2832D10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5" w:hRule="atLeast"/>
          <w:tblCellSpacing w:w="0" w:type="dxa"/>
        </w:trPr>
        <w:tc>
          <w:tcPr>
            <w:tcW w:w="355" w:type="pct"/>
            <w:tcBorders>
              <w:top w:val="outset" w:color="auto" w:sz="6" w:space="0"/>
              <w:left w:val="outset" w:color="auto" w:sz="6" w:space="0"/>
              <w:bottom w:val="outset" w:color="auto" w:sz="6" w:space="0"/>
              <w:right w:val="outset" w:color="auto" w:sz="6" w:space="0"/>
            </w:tcBorders>
            <w:vAlign w:val="center"/>
          </w:tcPr>
          <w:p w14:paraId="34421951">
            <w:pPr>
              <w:adjustRightInd w:val="0"/>
              <w:snapToGrid w:val="0"/>
              <w:spacing w:line="288" w:lineRule="auto"/>
              <w:jc w:val="center"/>
              <w:rPr>
                <w:rFonts w:hint="eastAsia" w:ascii="宋体" w:hAnsi="宋体" w:eastAsia="宋体" w:cs="宋体"/>
                <w:sz w:val="28"/>
                <w:szCs w:val="28"/>
              </w:rPr>
            </w:pPr>
          </w:p>
        </w:tc>
        <w:tc>
          <w:tcPr>
            <w:tcW w:w="1196" w:type="pct"/>
            <w:tcBorders>
              <w:top w:val="outset" w:color="auto" w:sz="6" w:space="0"/>
              <w:left w:val="outset" w:color="auto" w:sz="6" w:space="0"/>
              <w:bottom w:val="outset" w:color="auto" w:sz="6" w:space="0"/>
              <w:right w:val="outset" w:color="auto" w:sz="6" w:space="0"/>
            </w:tcBorders>
            <w:vAlign w:val="center"/>
          </w:tcPr>
          <w:p w14:paraId="61803757">
            <w:pPr>
              <w:adjustRightInd w:val="0"/>
              <w:snapToGrid w:val="0"/>
              <w:spacing w:line="288" w:lineRule="auto"/>
              <w:jc w:val="center"/>
              <w:rPr>
                <w:rFonts w:hint="eastAsia" w:ascii="宋体" w:hAnsi="宋体" w:eastAsia="宋体" w:cs="宋体"/>
                <w:sz w:val="28"/>
                <w:szCs w:val="28"/>
              </w:rPr>
            </w:pPr>
          </w:p>
        </w:tc>
        <w:tc>
          <w:tcPr>
            <w:tcW w:w="1569" w:type="pct"/>
            <w:tcBorders>
              <w:top w:val="outset" w:color="auto" w:sz="6" w:space="0"/>
              <w:left w:val="outset" w:color="auto" w:sz="6" w:space="0"/>
              <w:bottom w:val="outset" w:color="auto" w:sz="6" w:space="0"/>
              <w:right w:val="outset" w:color="auto" w:sz="6" w:space="0"/>
            </w:tcBorders>
            <w:vAlign w:val="center"/>
          </w:tcPr>
          <w:p w14:paraId="3DA28978">
            <w:pPr>
              <w:adjustRightInd w:val="0"/>
              <w:snapToGrid w:val="0"/>
              <w:spacing w:line="288" w:lineRule="auto"/>
              <w:ind w:firstLine="1680" w:firstLineChars="600"/>
              <w:rPr>
                <w:rFonts w:hint="eastAsia" w:ascii="宋体" w:hAnsi="宋体" w:eastAsia="宋体" w:cs="宋体"/>
                <w:sz w:val="28"/>
                <w:szCs w:val="28"/>
              </w:rPr>
            </w:pPr>
            <w:r>
              <w:rPr>
                <w:rFonts w:hint="eastAsia" w:ascii="宋体" w:hAnsi="宋体" w:eastAsia="宋体" w:cs="宋体"/>
                <w:sz w:val="28"/>
                <w:szCs w:val="28"/>
              </w:rPr>
              <w:t>3年</w:t>
            </w:r>
          </w:p>
        </w:tc>
        <w:tc>
          <w:tcPr>
            <w:tcW w:w="1877" w:type="pct"/>
            <w:tcBorders>
              <w:top w:val="outset" w:color="auto" w:sz="6" w:space="0"/>
              <w:left w:val="outset" w:color="auto" w:sz="6" w:space="0"/>
              <w:bottom w:val="outset" w:color="auto" w:sz="6" w:space="0"/>
              <w:right w:val="outset" w:color="auto" w:sz="6" w:space="0"/>
            </w:tcBorders>
            <w:vAlign w:val="center"/>
          </w:tcPr>
          <w:p w14:paraId="10CD6522">
            <w:pPr>
              <w:adjustRightInd w:val="0"/>
              <w:snapToGrid w:val="0"/>
              <w:spacing w:line="288" w:lineRule="auto"/>
              <w:ind w:firstLine="1680" w:firstLineChars="600"/>
              <w:rPr>
                <w:rFonts w:hint="eastAsia" w:ascii="宋体" w:hAnsi="宋体" w:eastAsia="宋体" w:cs="宋体"/>
                <w:sz w:val="28"/>
                <w:szCs w:val="28"/>
              </w:rPr>
            </w:pPr>
          </w:p>
        </w:tc>
      </w:tr>
      <w:tr w14:paraId="0F68175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5" w:hRule="atLeast"/>
          <w:tblCellSpacing w:w="0" w:type="dxa"/>
        </w:trPr>
        <w:tc>
          <w:tcPr>
            <w:tcW w:w="355" w:type="pct"/>
            <w:tcBorders>
              <w:top w:val="outset" w:color="auto" w:sz="6" w:space="0"/>
              <w:left w:val="outset" w:color="auto" w:sz="6" w:space="0"/>
              <w:bottom w:val="outset" w:color="auto" w:sz="6" w:space="0"/>
              <w:right w:val="outset" w:color="auto" w:sz="6" w:space="0"/>
            </w:tcBorders>
            <w:vAlign w:val="center"/>
          </w:tcPr>
          <w:p w14:paraId="1F629153">
            <w:pPr>
              <w:adjustRightInd w:val="0"/>
              <w:snapToGrid w:val="0"/>
              <w:spacing w:line="288" w:lineRule="auto"/>
              <w:jc w:val="center"/>
              <w:rPr>
                <w:rFonts w:hint="eastAsia" w:ascii="宋体" w:hAnsi="宋体" w:eastAsia="宋体" w:cs="宋体"/>
                <w:sz w:val="28"/>
                <w:szCs w:val="28"/>
              </w:rPr>
            </w:pPr>
          </w:p>
        </w:tc>
        <w:tc>
          <w:tcPr>
            <w:tcW w:w="1196" w:type="pct"/>
            <w:tcBorders>
              <w:top w:val="outset" w:color="auto" w:sz="6" w:space="0"/>
              <w:left w:val="outset" w:color="auto" w:sz="6" w:space="0"/>
              <w:bottom w:val="outset" w:color="auto" w:sz="6" w:space="0"/>
              <w:right w:val="outset" w:color="auto" w:sz="6" w:space="0"/>
            </w:tcBorders>
            <w:vAlign w:val="center"/>
          </w:tcPr>
          <w:p w14:paraId="303138CA">
            <w:pPr>
              <w:adjustRightInd w:val="0"/>
              <w:snapToGrid w:val="0"/>
              <w:spacing w:line="288" w:lineRule="auto"/>
              <w:jc w:val="center"/>
              <w:rPr>
                <w:rFonts w:hint="eastAsia" w:ascii="宋体" w:hAnsi="宋体" w:eastAsia="宋体" w:cs="宋体"/>
                <w:sz w:val="28"/>
                <w:szCs w:val="28"/>
              </w:rPr>
            </w:pPr>
          </w:p>
        </w:tc>
        <w:tc>
          <w:tcPr>
            <w:tcW w:w="1569" w:type="pct"/>
            <w:tcBorders>
              <w:top w:val="outset" w:color="auto" w:sz="6" w:space="0"/>
              <w:left w:val="outset" w:color="auto" w:sz="6" w:space="0"/>
              <w:bottom w:val="outset" w:color="auto" w:sz="6" w:space="0"/>
              <w:right w:val="outset" w:color="auto" w:sz="6" w:space="0"/>
            </w:tcBorders>
            <w:vAlign w:val="center"/>
          </w:tcPr>
          <w:p w14:paraId="471107BC">
            <w:pPr>
              <w:adjustRightInd w:val="0"/>
              <w:snapToGrid w:val="0"/>
              <w:spacing w:line="288" w:lineRule="auto"/>
              <w:ind w:firstLine="1680" w:firstLineChars="600"/>
              <w:rPr>
                <w:rFonts w:hint="eastAsia" w:ascii="宋体" w:hAnsi="宋体" w:eastAsia="宋体" w:cs="宋体"/>
                <w:sz w:val="28"/>
                <w:szCs w:val="28"/>
              </w:rPr>
            </w:pPr>
          </w:p>
        </w:tc>
        <w:tc>
          <w:tcPr>
            <w:tcW w:w="1877" w:type="pct"/>
            <w:tcBorders>
              <w:top w:val="outset" w:color="auto" w:sz="6" w:space="0"/>
              <w:left w:val="outset" w:color="auto" w:sz="6" w:space="0"/>
              <w:bottom w:val="outset" w:color="auto" w:sz="6" w:space="0"/>
              <w:right w:val="outset" w:color="auto" w:sz="6" w:space="0"/>
            </w:tcBorders>
            <w:vAlign w:val="center"/>
          </w:tcPr>
          <w:p w14:paraId="12BEDF23">
            <w:pPr>
              <w:adjustRightInd w:val="0"/>
              <w:snapToGrid w:val="0"/>
              <w:spacing w:line="288" w:lineRule="auto"/>
              <w:ind w:firstLine="1680" w:firstLineChars="600"/>
              <w:rPr>
                <w:rFonts w:hint="eastAsia" w:ascii="宋体" w:hAnsi="宋体" w:eastAsia="宋体" w:cs="宋体"/>
                <w:sz w:val="28"/>
                <w:szCs w:val="28"/>
              </w:rPr>
            </w:pPr>
          </w:p>
        </w:tc>
      </w:tr>
    </w:tbl>
    <w:p w14:paraId="40DA1302">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napToGrid w:val="0"/>
          <w:sz w:val="28"/>
          <w:szCs w:val="28"/>
        </w:rPr>
        <w:t>2、</w:t>
      </w:r>
      <w:r>
        <w:rPr>
          <w:rFonts w:hint="eastAsia" w:ascii="宋体" w:hAnsi="宋体" w:eastAsia="宋体" w:cs="宋体"/>
          <w:sz w:val="28"/>
          <w:szCs w:val="28"/>
        </w:rPr>
        <w:t>在免费质量保修期内，如货物设备非因甲方的人为原因而出现质量问题，乙方承诺全额免费包维修、包更换或退换、包安装、包调试、包正常运行；如确属甲方人为原因损坏，亦须无条件维修、更换或退换、安装、调试并确保正常运行，但甲方应给予合理费用。如货物因自身故障致停用时间累计超过20天时，则质保期在状态恢复正常时重新起计或对故障货物予以重新更换。任何时候，乙方均不能免除因货物本身的缺陷所应负的责任。</w:t>
      </w:r>
    </w:p>
    <w:p w14:paraId="2F8159F8">
      <w:pPr>
        <w:widowControl/>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质保期内须提供常设7天×24小时热线服务和长期的免费技术支持。对甲方的故障通知，2小时内响应，如电话响应无法解决的，24小时内到达现场，72小时内处理完毕。若故障在72小时内仍未处理完毕，乙方必须免费提供相同档次的设备予甲方临时使用或采取应急措施解决，不得影响甲方的正常工作业务。质保期内每学期需进行1－2次的例行设备维护，保证设备的正常运转。所有软件质保期内免费维护升级。</w:t>
      </w:r>
    </w:p>
    <w:p w14:paraId="68066612">
      <w:pPr>
        <w:widowControl/>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4、有偿保修服务期内而需要维修或维护的，</w:t>
      </w:r>
      <w:r>
        <w:rPr>
          <w:rFonts w:hint="eastAsia" w:ascii="宋体" w:hAnsi="宋体" w:eastAsia="宋体" w:cs="宋体"/>
          <w:snapToGrid w:val="0"/>
          <w:kern w:val="0"/>
          <w:sz w:val="28"/>
          <w:szCs w:val="28"/>
        </w:rPr>
        <w:t>乙方仍应按本条约定的时间派员检查与维修，并确保优质服务和质量合格且能正常运行。有关修复</w:t>
      </w:r>
      <w:r>
        <w:rPr>
          <w:rFonts w:hint="eastAsia" w:ascii="宋体" w:hAnsi="宋体" w:eastAsia="宋体" w:cs="宋体"/>
          <w:sz w:val="28"/>
          <w:szCs w:val="28"/>
        </w:rPr>
        <w:t>费用由甲方承担，但乙方应给予最优惠价格。</w:t>
      </w:r>
    </w:p>
    <w:p w14:paraId="3A216867">
      <w:pPr>
        <w:adjustRightInd w:val="0"/>
        <w:snapToGrid w:val="0"/>
        <w:spacing w:line="30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第八条　合同款支付</w:t>
      </w:r>
    </w:p>
    <w:p w14:paraId="2FFE9C1E">
      <w:pPr>
        <w:tabs>
          <w:tab w:val="left" w:pos="540"/>
        </w:tabs>
        <w:adjustRightInd w:val="0"/>
        <w:snapToGrid w:val="0"/>
        <w:spacing w:line="30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合同签订生效后，</w:t>
      </w:r>
      <w:r>
        <w:rPr>
          <w:rFonts w:hint="eastAsia" w:ascii="宋体" w:hAnsi="宋体" w:eastAsia="宋体" w:cs="宋体"/>
          <w:sz w:val="28"/>
          <w:szCs w:val="28"/>
        </w:rPr>
        <w:t>全部设备交付到甲方指定地点，安装完毕，并且最终被验收合格后，</w:t>
      </w:r>
      <w:r>
        <w:rPr>
          <w:rFonts w:hint="eastAsia" w:ascii="宋体" w:hAnsi="宋体" w:eastAsia="宋体" w:cs="宋体"/>
          <w:kern w:val="0"/>
          <w:sz w:val="28"/>
          <w:szCs w:val="28"/>
        </w:rPr>
        <w:t>乙方开具</w:t>
      </w:r>
      <w:bookmarkStart w:id="0" w:name="OLE_LINK1"/>
      <w:bookmarkStart w:id="1" w:name="OLE_LINK2"/>
      <w:r>
        <w:rPr>
          <w:rFonts w:hint="eastAsia" w:ascii="宋体" w:hAnsi="宋体" w:eastAsia="宋体" w:cs="宋体"/>
          <w:kern w:val="0"/>
          <w:sz w:val="28"/>
          <w:szCs w:val="28"/>
        </w:rPr>
        <w:t>全额</w:t>
      </w:r>
      <w:r>
        <w:rPr>
          <w:rFonts w:hint="eastAsia" w:ascii="宋体" w:hAnsi="宋体" w:eastAsia="宋体" w:cs="宋体"/>
          <w:sz w:val="28"/>
          <w:szCs w:val="28"/>
        </w:rPr>
        <w:t>增值税专用</w:t>
      </w:r>
      <w:r>
        <w:rPr>
          <w:rFonts w:hint="eastAsia" w:ascii="宋体" w:hAnsi="宋体" w:eastAsia="宋体" w:cs="宋体"/>
          <w:kern w:val="0"/>
          <w:sz w:val="28"/>
          <w:szCs w:val="28"/>
        </w:rPr>
        <w:t>发票</w:t>
      </w:r>
      <w:bookmarkEnd w:id="0"/>
      <w:bookmarkEnd w:id="1"/>
      <w:r>
        <w:rPr>
          <w:rFonts w:hint="eastAsia" w:ascii="宋体" w:hAnsi="宋体" w:eastAsia="宋体" w:cs="宋体"/>
          <w:kern w:val="0"/>
          <w:sz w:val="28"/>
          <w:szCs w:val="28"/>
        </w:rPr>
        <w:t>，联同货物验收合格报告（或者</w:t>
      </w:r>
      <w:r>
        <w:rPr>
          <w:rFonts w:hint="eastAsia" w:ascii="宋体" w:hAnsi="宋体" w:eastAsia="宋体" w:cs="宋体"/>
          <w:snapToGrid w:val="0"/>
          <w:sz w:val="28"/>
          <w:szCs w:val="28"/>
        </w:rPr>
        <w:t>含</w:t>
      </w:r>
      <w:r>
        <w:rPr>
          <w:rFonts w:hint="eastAsia" w:ascii="宋体" w:hAnsi="宋体" w:eastAsia="宋体" w:cs="宋体"/>
          <w:kern w:val="0"/>
          <w:sz w:val="28"/>
          <w:szCs w:val="28"/>
        </w:rPr>
        <w:t>有</w:t>
      </w:r>
      <w:r>
        <w:rPr>
          <w:rFonts w:hint="eastAsia" w:ascii="宋体" w:hAnsi="宋体" w:eastAsia="宋体" w:cs="宋体"/>
          <w:snapToGrid w:val="0"/>
          <w:sz w:val="28"/>
          <w:szCs w:val="28"/>
        </w:rPr>
        <w:t>“全部货物质量符合合同约定”或</w:t>
      </w:r>
      <w:r>
        <w:rPr>
          <w:rFonts w:hint="eastAsia" w:ascii="宋体" w:hAnsi="宋体" w:eastAsia="宋体" w:cs="宋体"/>
          <w:kern w:val="0"/>
          <w:sz w:val="28"/>
          <w:szCs w:val="28"/>
        </w:rPr>
        <w:t>“试用期满质量合格”</w:t>
      </w:r>
      <w:r>
        <w:rPr>
          <w:rFonts w:hint="eastAsia" w:ascii="宋体" w:hAnsi="宋体" w:eastAsia="宋体" w:cs="宋体"/>
          <w:snapToGrid w:val="0"/>
          <w:sz w:val="28"/>
          <w:szCs w:val="28"/>
        </w:rPr>
        <w:t>之签注</w:t>
      </w:r>
      <w:r>
        <w:rPr>
          <w:rFonts w:hint="eastAsia" w:ascii="宋体" w:hAnsi="宋体" w:eastAsia="宋体" w:cs="宋体"/>
          <w:kern w:val="0"/>
          <w:sz w:val="28"/>
          <w:szCs w:val="28"/>
        </w:rPr>
        <w:t>意见的验收合格报告书）一并提交给甲方，甲方在收到</w:t>
      </w:r>
      <w:r>
        <w:rPr>
          <w:rFonts w:hint="eastAsia" w:ascii="宋体" w:hAnsi="宋体" w:eastAsia="宋体" w:cs="宋体"/>
          <w:sz w:val="28"/>
          <w:szCs w:val="28"/>
        </w:rPr>
        <w:t>增值税专用</w:t>
      </w:r>
      <w:r>
        <w:rPr>
          <w:rFonts w:hint="eastAsia" w:ascii="宋体" w:hAnsi="宋体" w:eastAsia="宋体" w:cs="宋体"/>
          <w:kern w:val="0"/>
          <w:sz w:val="28"/>
          <w:szCs w:val="28"/>
        </w:rPr>
        <w:t>发票和货物验收合格报告以及其它必备的付款凭证后，十个工作日内向乙方支付全额货款。</w:t>
      </w:r>
    </w:p>
    <w:p w14:paraId="50A6D9E3">
      <w:pPr>
        <w:adjustRightInd w:val="0"/>
        <w:snapToGrid w:val="0"/>
        <w:spacing w:line="300" w:lineRule="auto"/>
        <w:rPr>
          <w:rFonts w:hint="eastAsia" w:ascii="宋体" w:hAnsi="宋体" w:eastAsia="宋体" w:cs="宋体"/>
          <w:b/>
          <w:bCs/>
          <w:kern w:val="0"/>
          <w:sz w:val="28"/>
          <w:szCs w:val="28"/>
        </w:rPr>
      </w:pPr>
      <w:r>
        <w:rPr>
          <w:rFonts w:hint="eastAsia" w:ascii="宋体" w:hAnsi="宋体" w:eastAsia="宋体" w:cs="宋体"/>
          <w:b/>
          <w:sz w:val="28"/>
          <w:szCs w:val="28"/>
        </w:rPr>
        <w:t>　　第九条　</w:t>
      </w:r>
      <w:r>
        <w:rPr>
          <w:rFonts w:hint="eastAsia" w:ascii="宋体" w:hAnsi="宋体" w:eastAsia="宋体" w:cs="宋体"/>
          <w:b/>
          <w:bCs/>
          <w:kern w:val="0"/>
          <w:sz w:val="28"/>
          <w:szCs w:val="28"/>
        </w:rPr>
        <w:t>合同款支付时间顺延</w:t>
      </w:r>
    </w:p>
    <w:p w14:paraId="5C027E79">
      <w:pPr>
        <w:adjustRightInd w:val="0"/>
        <w:snapToGrid w:val="0"/>
        <w:spacing w:line="300" w:lineRule="auto"/>
        <w:ind w:firstLine="481"/>
        <w:rPr>
          <w:rFonts w:hint="eastAsia" w:ascii="宋体" w:hAnsi="宋体" w:eastAsia="宋体" w:cs="宋体"/>
          <w:kern w:val="0"/>
          <w:sz w:val="28"/>
          <w:szCs w:val="28"/>
        </w:rPr>
      </w:pPr>
      <w:r>
        <w:rPr>
          <w:rFonts w:hint="eastAsia" w:ascii="宋体" w:hAnsi="宋体" w:eastAsia="宋体" w:cs="宋体"/>
          <w:kern w:val="0"/>
          <w:sz w:val="28"/>
          <w:szCs w:val="28"/>
        </w:rPr>
        <w:t>乙方未按规定完成政府采购必要流程，未按约定的时限向甲方提供有效、完整齐备的</w:t>
      </w:r>
      <w:r>
        <w:rPr>
          <w:rFonts w:hint="eastAsia" w:ascii="宋体" w:hAnsi="宋体" w:eastAsia="宋体" w:cs="宋体"/>
          <w:sz w:val="28"/>
          <w:szCs w:val="28"/>
        </w:rPr>
        <w:t>增值税专用</w:t>
      </w:r>
      <w:r>
        <w:rPr>
          <w:rFonts w:hint="eastAsia" w:ascii="宋体" w:hAnsi="宋体" w:eastAsia="宋体" w:cs="宋体"/>
          <w:kern w:val="0"/>
          <w:sz w:val="28"/>
          <w:szCs w:val="28"/>
        </w:rPr>
        <w:t>发票或免税证明，以及用于财务支付和结算所必备的票据、单证或凭证等文件的，则支付时间顺延且甲方不负违约责任。</w:t>
      </w:r>
    </w:p>
    <w:p w14:paraId="3B5728F2">
      <w:pPr>
        <w:adjustRightInd w:val="0"/>
        <w:snapToGrid w:val="0"/>
        <w:spacing w:before="156" w:beforeLines="50" w:line="300" w:lineRule="auto"/>
        <w:ind w:firstLine="562" w:firstLineChars="200"/>
        <w:rPr>
          <w:rFonts w:hint="eastAsia" w:ascii="宋体" w:hAnsi="宋体" w:eastAsia="宋体" w:cs="宋体"/>
          <w:b/>
          <w:bCs/>
          <w:sz w:val="28"/>
          <w:szCs w:val="28"/>
        </w:rPr>
      </w:pPr>
      <w:r>
        <w:rPr>
          <w:rFonts w:hint="eastAsia" w:ascii="宋体" w:hAnsi="宋体" w:eastAsia="宋体" w:cs="宋体"/>
          <w:b/>
          <w:sz w:val="28"/>
          <w:szCs w:val="28"/>
        </w:rPr>
        <w:t>第十条　</w:t>
      </w:r>
      <w:r>
        <w:rPr>
          <w:rFonts w:hint="eastAsia" w:ascii="宋体" w:hAnsi="宋体" w:eastAsia="宋体" w:cs="宋体"/>
          <w:b/>
          <w:bCs/>
          <w:sz w:val="28"/>
          <w:szCs w:val="28"/>
        </w:rPr>
        <w:t>合同的变更、中止、解除</w:t>
      </w:r>
    </w:p>
    <w:p w14:paraId="0C2E614F">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1、本合同一经订立，即具有法律约束力；各方均不得擅自变更、中止或者解除。</w:t>
      </w:r>
    </w:p>
    <w:p w14:paraId="08EC6328">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2、乙方有下列情形之一的，甲方有权单方解除合同：</w:t>
      </w:r>
    </w:p>
    <w:p w14:paraId="60141CD3">
      <w:pPr>
        <w:adjustRightInd w:val="0"/>
        <w:snapToGrid w:val="0"/>
        <w:spacing w:line="300" w:lineRule="auto"/>
        <w:ind w:firstLine="980" w:firstLineChars="350"/>
        <w:rPr>
          <w:rFonts w:hint="eastAsia" w:ascii="宋体" w:hAnsi="宋体" w:eastAsia="宋体" w:cs="宋体"/>
          <w:sz w:val="28"/>
          <w:szCs w:val="28"/>
        </w:rPr>
      </w:pPr>
      <w:r>
        <w:rPr>
          <w:rFonts w:hint="eastAsia" w:ascii="宋体" w:hAnsi="宋体" w:eastAsia="宋体" w:cs="宋体"/>
          <w:sz w:val="28"/>
          <w:szCs w:val="28"/>
        </w:rPr>
        <w:t>(1)逾期三十天仍未交齐货物的；</w:t>
      </w:r>
    </w:p>
    <w:p w14:paraId="55B23093">
      <w:pPr>
        <w:adjustRightInd w:val="0"/>
        <w:snapToGrid w:val="0"/>
        <w:spacing w:line="300" w:lineRule="auto"/>
        <w:ind w:firstLine="980" w:firstLineChars="350"/>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napToGrid w:val="0"/>
          <w:sz w:val="28"/>
          <w:szCs w:val="28"/>
        </w:rPr>
        <w:t>乙方擅自对本合同约定的货物进行替代的</w:t>
      </w:r>
      <w:r>
        <w:rPr>
          <w:rFonts w:hint="eastAsia" w:ascii="宋体" w:hAnsi="宋体" w:eastAsia="宋体" w:cs="宋体"/>
          <w:sz w:val="28"/>
          <w:szCs w:val="28"/>
        </w:rPr>
        <w:t>；</w:t>
      </w:r>
    </w:p>
    <w:p w14:paraId="3B35EB7B">
      <w:pPr>
        <w:adjustRightInd w:val="0"/>
        <w:snapToGrid w:val="0"/>
        <w:spacing w:line="300" w:lineRule="auto"/>
        <w:ind w:firstLine="980" w:firstLineChars="350"/>
        <w:rPr>
          <w:rFonts w:hint="eastAsia" w:ascii="宋体" w:hAnsi="宋体" w:eastAsia="宋体" w:cs="宋体"/>
          <w:sz w:val="28"/>
          <w:szCs w:val="28"/>
        </w:rPr>
      </w:pPr>
      <w:r>
        <w:rPr>
          <w:rFonts w:hint="eastAsia" w:ascii="宋体" w:hAnsi="宋体" w:eastAsia="宋体" w:cs="宋体"/>
          <w:sz w:val="28"/>
          <w:szCs w:val="28"/>
        </w:rPr>
        <w:t>(3)乙方违反本合同关于权利瑕疵担保约定的；</w:t>
      </w:r>
    </w:p>
    <w:p w14:paraId="3F281BF0">
      <w:pPr>
        <w:adjustRightInd w:val="0"/>
        <w:snapToGrid w:val="0"/>
        <w:spacing w:line="300" w:lineRule="auto"/>
        <w:ind w:firstLine="980" w:firstLineChars="350"/>
        <w:rPr>
          <w:rFonts w:hint="eastAsia" w:ascii="宋体" w:hAnsi="宋体" w:eastAsia="宋体" w:cs="宋体"/>
          <w:sz w:val="28"/>
          <w:szCs w:val="28"/>
        </w:rPr>
      </w:pPr>
      <w:r>
        <w:rPr>
          <w:rFonts w:hint="eastAsia" w:ascii="宋体" w:hAnsi="宋体" w:eastAsia="宋体" w:cs="宋体"/>
          <w:sz w:val="28"/>
          <w:szCs w:val="28"/>
        </w:rPr>
        <w:t>(4)其他符合法律规定或符合本合同其它约定情形的。</w:t>
      </w:r>
    </w:p>
    <w:p w14:paraId="6B16AE98">
      <w:pPr>
        <w:adjustRightInd w:val="0"/>
        <w:snapToGrid w:val="0"/>
        <w:spacing w:line="300" w:lineRule="auto"/>
        <w:ind w:firstLine="435"/>
        <w:rPr>
          <w:rFonts w:hint="eastAsia" w:ascii="宋体" w:hAnsi="宋体" w:eastAsia="宋体" w:cs="宋体"/>
          <w:sz w:val="28"/>
          <w:szCs w:val="28"/>
        </w:rPr>
      </w:pPr>
      <w:r>
        <w:rPr>
          <w:rFonts w:hint="eastAsia" w:ascii="宋体" w:hAnsi="宋体" w:eastAsia="宋体" w:cs="宋体"/>
          <w:sz w:val="28"/>
          <w:szCs w:val="28"/>
        </w:rPr>
        <w:t>3、甲方有下列情形之一的，乙方有权单方解除合同：</w:t>
      </w:r>
    </w:p>
    <w:p w14:paraId="3A64C690">
      <w:pPr>
        <w:adjustRightInd w:val="0"/>
        <w:snapToGrid w:val="0"/>
        <w:spacing w:line="300" w:lineRule="auto"/>
        <w:ind w:firstLine="435"/>
        <w:rPr>
          <w:rFonts w:hint="eastAsia" w:ascii="宋体" w:hAnsi="宋体" w:eastAsia="宋体" w:cs="宋体"/>
          <w:sz w:val="28"/>
          <w:szCs w:val="28"/>
        </w:rPr>
      </w:pPr>
      <w:r>
        <w:rPr>
          <w:rFonts w:hint="eastAsia" w:ascii="宋体" w:hAnsi="宋体" w:eastAsia="宋体" w:cs="宋体"/>
          <w:sz w:val="28"/>
          <w:szCs w:val="28"/>
        </w:rPr>
        <w:t xml:space="preserve">   (1)无正当理由，拒绝验收货物而经其书面催告且在催告期届满甲方不作答复的；</w:t>
      </w:r>
    </w:p>
    <w:p w14:paraId="4C190388">
      <w:pPr>
        <w:adjustRightInd w:val="0"/>
        <w:snapToGrid w:val="0"/>
        <w:spacing w:line="300" w:lineRule="auto"/>
        <w:ind w:firstLine="435"/>
        <w:rPr>
          <w:rFonts w:hint="eastAsia" w:ascii="宋体" w:hAnsi="宋体" w:eastAsia="宋体" w:cs="宋体"/>
          <w:sz w:val="28"/>
          <w:szCs w:val="28"/>
        </w:rPr>
      </w:pPr>
      <w:r>
        <w:rPr>
          <w:rFonts w:hint="eastAsia" w:ascii="宋体" w:hAnsi="宋体" w:eastAsia="宋体" w:cs="宋体"/>
          <w:sz w:val="28"/>
          <w:szCs w:val="28"/>
        </w:rPr>
        <w:t xml:space="preserve">   (2)无正当理由，拒绝收受货物而经其书面催告且在催告期届满甲方不作答复的；</w:t>
      </w:r>
    </w:p>
    <w:p w14:paraId="67D0BB3F">
      <w:pPr>
        <w:adjustRightInd w:val="0"/>
        <w:snapToGrid w:val="0"/>
        <w:spacing w:line="300" w:lineRule="auto"/>
        <w:ind w:firstLine="435"/>
        <w:rPr>
          <w:rFonts w:hint="eastAsia" w:ascii="宋体" w:hAnsi="宋体" w:eastAsia="宋体" w:cs="宋体"/>
          <w:sz w:val="28"/>
          <w:szCs w:val="28"/>
        </w:rPr>
      </w:pPr>
      <w:r>
        <w:rPr>
          <w:rFonts w:hint="eastAsia" w:ascii="宋体" w:hAnsi="宋体" w:eastAsia="宋体" w:cs="宋体"/>
          <w:sz w:val="28"/>
          <w:szCs w:val="28"/>
        </w:rPr>
        <w:t xml:space="preserve">   (3)无正当理由，拒付货款而经其书面催告且在催告期届满甲方不作答复的；</w:t>
      </w:r>
    </w:p>
    <w:p w14:paraId="1BCA6B1D">
      <w:pPr>
        <w:adjustRightInd w:val="0"/>
        <w:snapToGrid w:val="0"/>
        <w:spacing w:line="300" w:lineRule="auto"/>
        <w:ind w:firstLine="840" w:firstLineChars="300"/>
        <w:rPr>
          <w:rFonts w:hint="eastAsia" w:ascii="宋体" w:hAnsi="宋体" w:eastAsia="宋体" w:cs="宋体"/>
          <w:sz w:val="28"/>
          <w:szCs w:val="28"/>
        </w:rPr>
      </w:pPr>
      <w:r>
        <w:rPr>
          <w:rFonts w:hint="eastAsia" w:ascii="宋体" w:hAnsi="宋体" w:eastAsia="宋体" w:cs="宋体"/>
          <w:sz w:val="28"/>
          <w:szCs w:val="28"/>
        </w:rPr>
        <w:t>(4)其他符合法律规定情形的。</w:t>
      </w:r>
    </w:p>
    <w:p w14:paraId="20446679">
      <w:pPr>
        <w:adjustRightInd w:val="0"/>
        <w:snapToGrid w:val="0"/>
        <w:spacing w:before="156" w:beforeLines="50" w:line="300" w:lineRule="auto"/>
        <w:ind w:firstLine="562" w:firstLineChars="200"/>
        <w:rPr>
          <w:rFonts w:hint="eastAsia" w:ascii="宋体" w:hAnsi="宋体" w:eastAsia="宋体" w:cs="宋体"/>
          <w:bCs/>
          <w:sz w:val="28"/>
          <w:szCs w:val="28"/>
        </w:rPr>
      </w:pPr>
      <w:r>
        <w:rPr>
          <w:rFonts w:hint="eastAsia" w:ascii="宋体" w:hAnsi="宋体" w:eastAsia="宋体" w:cs="宋体"/>
          <w:b/>
          <w:bCs/>
          <w:sz w:val="28"/>
          <w:szCs w:val="28"/>
        </w:rPr>
        <w:t>第十一条  不可抗力</w:t>
      </w:r>
    </w:p>
    <w:p w14:paraId="49ADA5E9">
      <w:pPr>
        <w:adjustRightInd w:val="0"/>
        <w:snapToGrid w:val="0"/>
        <w:spacing w:line="300" w:lineRule="auto"/>
        <w:ind w:firstLine="560" w:firstLineChars="200"/>
        <w:rPr>
          <w:rFonts w:hint="eastAsia" w:ascii="宋体" w:hAnsi="宋体" w:eastAsia="宋体" w:cs="宋体"/>
          <w:snapToGrid w:val="0"/>
          <w:kern w:val="0"/>
          <w:sz w:val="28"/>
          <w:szCs w:val="28"/>
        </w:rPr>
      </w:pPr>
      <w:r>
        <w:rPr>
          <w:rFonts w:hint="eastAsia" w:ascii="宋体" w:hAnsi="宋体" w:eastAsia="宋体" w:cs="宋体"/>
          <w:sz w:val="28"/>
          <w:szCs w:val="28"/>
        </w:rPr>
        <w:t>1、遭受不可抗力事件的一方应</w:t>
      </w:r>
      <w:r>
        <w:rPr>
          <w:rFonts w:hint="eastAsia" w:ascii="宋体" w:hAnsi="宋体" w:eastAsia="宋体" w:cs="宋体"/>
          <w:b/>
          <w:kern w:val="0"/>
          <w:sz w:val="28"/>
          <w:szCs w:val="28"/>
        </w:rPr>
        <w:t>在</w:t>
      </w:r>
      <w:r>
        <w:rPr>
          <w:rFonts w:hint="eastAsia" w:ascii="宋体" w:hAnsi="宋体" w:eastAsia="宋体" w:cs="宋体"/>
          <w:b/>
          <w:kern w:val="0"/>
          <w:sz w:val="28"/>
          <w:szCs w:val="28"/>
          <w:u w:val="single"/>
        </w:rPr>
        <w:t> 24  </w:t>
      </w:r>
      <w:r>
        <w:rPr>
          <w:rFonts w:hint="eastAsia" w:ascii="宋体" w:hAnsi="宋体" w:eastAsia="宋体" w:cs="宋体"/>
          <w:b/>
          <w:kern w:val="0"/>
          <w:sz w:val="28"/>
          <w:szCs w:val="28"/>
        </w:rPr>
        <w:t>小时内</w:t>
      </w:r>
      <w:r>
        <w:rPr>
          <w:rFonts w:hint="eastAsia" w:ascii="宋体" w:hAnsi="宋体" w:eastAsia="宋体" w:cs="宋体"/>
          <w:kern w:val="0"/>
          <w:sz w:val="28"/>
          <w:szCs w:val="28"/>
        </w:rPr>
        <w:t>将事件情况</w:t>
      </w:r>
      <w:r>
        <w:rPr>
          <w:rFonts w:hint="eastAsia" w:ascii="宋体" w:hAnsi="宋体" w:eastAsia="宋体" w:cs="宋体"/>
          <w:sz w:val="28"/>
          <w:szCs w:val="28"/>
        </w:rPr>
        <w:t>用可能的最快捷的方式通知对方本合同有关事项</w:t>
      </w:r>
      <w:r>
        <w:rPr>
          <w:rFonts w:hint="eastAsia" w:ascii="宋体" w:hAnsi="宋体" w:eastAsia="宋体" w:cs="宋体"/>
          <w:snapToGrid w:val="0"/>
          <w:sz w:val="28"/>
          <w:szCs w:val="28"/>
        </w:rPr>
        <w:t>不能履行或不能完全履行</w:t>
      </w:r>
      <w:r>
        <w:rPr>
          <w:rFonts w:hint="eastAsia" w:ascii="宋体" w:hAnsi="宋体" w:eastAsia="宋体" w:cs="宋体"/>
          <w:kern w:val="0"/>
          <w:sz w:val="28"/>
          <w:szCs w:val="28"/>
        </w:rPr>
        <w:t>以避免对方损失的扩大</w:t>
      </w:r>
      <w:r>
        <w:rPr>
          <w:rFonts w:hint="eastAsia" w:ascii="宋体" w:hAnsi="宋体" w:eastAsia="宋体" w:cs="宋体"/>
          <w:sz w:val="28"/>
          <w:szCs w:val="28"/>
        </w:rPr>
        <w:t>，并在该不可抗力事件发生之日起的</w:t>
      </w:r>
      <w:r>
        <w:rPr>
          <w:rFonts w:hint="eastAsia" w:ascii="宋体" w:hAnsi="宋体" w:eastAsia="宋体" w:cs="宋体"/>
          <w:b/>
          <w:sz w:val="28"/>
          <w:szCs w:val="28"/>
          <w:u w:val="single"/>
        </w:rPr>
        <w:t>　十五日内　</w:t>
      </w:r>
      <w:r>
        <w:rPr>
          <w:rFonts w:hint="eastAsia" w:ascii="宋体" w:hAnsi="宋体" w:eastAsia="宋体" w:cs="宋体"/>
          <w:sz w:val="28"/>
          <w:szCs w:val="28"/>
        </w:rPr>
        <w:t>提供</w:t>
      </w:r>
      <w:r>
        <w:rPr>
          <w:rFonts w:hint="eastAsia" w:ascii="宋体" w:hAnsi="宋体" w:eastAsia="宋体" w:cs="宋体"/>
          <w:snapToGrid w:val="0"/>
          <w:sz w:val="28"/>
          <w:szCs w:val="28"/>
        </w:rPr>
        <w:t>不可抗力发生地市级以上政府相关部门证明</w:t>
      </w:r>
      <w:r>
        <w:rPr>
          <w:rFonts w:hint="eastAsia" w:ascii="宋体" w:hAnsi="宋体" w:eastAsia="宋体" w:cs="宋体"/>
          <w:sz w:val="28"/>
          <w:szCs w:val="28"/>
        </w:rPr>
        <w:t>文件，并以</w:t>
      </w:r>
      <w:r>
        <w:rPr>
          <w:rFonts w:hint="eastAsia" w:ascii="宋体" w:hAnsi="宋体" w:eastAsia="宋体" w:cs="宋体"/>
          <w:b/>
          <w:sz w:val="28"/>
          <w:szCs w:val="28"/>
          <w:u w:val="single"/>
        </w:rPr>
        <w:t>书面</w:t>
      </w:r>
      <w:r>
        <w:rPr>
          <w:rFonts w:hint="eastAsia" w:ascii="宋体" w:hAnsi="宋体" w:eastAsia="宋体" w:cs="宋体"/>
          <w:b/>
          <w:kern w:val="0"/>
          <w:sz w:val="28"/>
          <w:szCs w:val="28"/>
          <w:u w:val="single"/>
        </w:rPr>
        <w:t>报告</w:t>
      </w:r>
      <w:r>
        <w:rPr>
          <w:rFonts w:hint="eastAsia" w:ascii="宋体" w:hAnsi="宋体" w:eastAsia="宋体" w:cs="宋体"/>
          <w:sz w:val="28"/>
          <w:szCs w:val="28"/>
        </w:rPr>
        <w:t>说明该事件的细节和不能履行或部分不能履行或延迟履行本</w:t>
      </w:r>
      <w:r>
        <w:rPr>
          <w:rFonts w:hint="eastAsia" w:ascii="宋体" w:hAnsi="宋体" w:eastAsia="宋体" w:cs="宋体"/>
          <w:kern w:val="0"/>
          <w:sz w:val="28"/>
          <w:szCs w:val="28"/>
        </w:rPr>
        <w:t>合同的事因</w:t>
      </w:r>
      <w:r>
        <w:rPr>
          <w:rFonts w:hint="eastAsia" w:ascii="宋体" w:hAnsi="宋体" w:eastAsia="宋体" w:cs="宋体"/>
          <w:snapToGrid w:val="0"/>
          <w:kern w:val="0"/>
          <w:sz w:val="28"/>
          <w:szCs w:val="28"/>
        </w:rPr>
        <w:t>以后，允许延期履行、部分履行或者解除合同，并根据情况可部分或全部免于承担违约或赔偿责任。</w:t>
      </w:r>
    </w:p>
    <w:p w14:paraId="6C2A4D96">
      <w:pPr>
        <w:adjustRightInd w:val="0"/>
        <w:snapToGrid w:val="0"/>
        <w:spacing w:line="300" w:lineRule="auto"/>
        <w:ind w:firstLine="560" w:firstLineChars="200"/>
        <w:rPr>
          <w:rFonts w:hint="eastAsia" w:ascii="宋体" w:hAnsi="宋体" w:eastAsia="宋体" w:cs="宋体"/>
          <w:snapToGrid w:val="0"/>
          <w:sz w:val="28"/>
          <w:szCs w:val="28"/>
        </w:rPr>
      </w:pPr>
      <w:r>
        <w:rPr>
          <w:rFonts w:hint="eastAsia" w:ascii="宋体" w:hAnsi="宋体" w:eastAsia="宋体" w:cs="宋体"/>
          <w:sz w:val="28"/>
          <w:szCs w:val="28"/>
        </w:rPr>
        <w:t>2、任何一方对于因不可抗力而造成合同</w:t>
      </w:r>
      <w:r>
        <w:rPr>
          <w:rFonts w:hint="eastAsia" w:ascii="宋体" w:hAnsi="宋体" w:eastAsia="宋体" w:cs="宋体"/>
          <w:kern w:val="0"/>
          <w:sz w:val="28"/>
          <w:szCs w:val="28"/>
        </w:rPr>
        <w:t>部分或全部</w:t>
      </w:r>
      <w:r>
        <w:rPr>
          <w:rFonts w:hint="eastAsia" w:ascii="宋体" w:hAnsi="宋体" w:eastAsia="宋体" w:cs="宋体"/>
          <w:sz w:val="28"/>
          <w:szCs w:val="28"/>
        </w:rPr>
        <w:t>不能履行的，不承担违约责任，但是如果因一方违约而致合同履行延期并在延期阶段遭遇不可抗力的，则不得以不可抗力为由主张其免除履行责任、违约责任或损害赔偿责任。</w:t>
      </w:r>
    </w:p>
    <w:p w14:paraId="37046167">
      <w:pPr>
        <w:adjustRightInd w:val="0"/>
        <w:snapToGrid w:val="0"/>
        <w:spacing w:line="300" w:lineRule="auto"/>
        <w:ind w:firstLine="560" w:firstLineChars="200"/>
        <w:rPr>
          <w:rFonts w:hint="eastAsia" w:ascii="宋体" w:hAnsi="宋体" w:eastAsia="宋体" w:cs="宋体"/>
          <w:b/>
          <w:sz w:val="28"/>
          <w:szCs w:val="28"/>
        </w:rPr>
      </w:pPr>
      <w:r>
        <w:rPr>
          <w:rFonts w:hint="eastAsia" w:ascii="宋体" w:hAnsi="宋体" w:eastAsia="宋体" w:cs="宋体"/>
          <w:kern w:val="0"/>
          <w:sz w:val="28"/>
          <w:szCs w:val="28"/>
        </w:rPr>
        <w:t>3、遇有不可抗力的一方，</w:t>
      </w:r>
      <w:r>
        <w:rPr>
          <w:rFonts w:hint="eastAsia" w:ascii="宋体" w:hAnsi="宋体" w:eastAsia="宋体" w:cs="宋体"/>
          <w:sz w:val="28"/>
          <w:szCs w:val="28"/>
        </w:rPr>
        <w:t>必须采取必要的补救措施</w:t>
      </w:r>
      <w:r>
        <w:rPr>
          <w:rFonts w:hint="eastAsia" w:ascii="宋体" w:hAnsi="宋体" w:eastAsia="宋体" w:cs="宋体"/>
          <w:kern w:val="0"/>
          <w:sz w:val="28"/>
          <w:szCs w:val="28"/>
        </w:rPr>
        <w:t>以减少因不可抗力造成的损失；未</w:t>
      </w:r>
      <w:r>
        <w:rPr>
          <w:rFonts w:hint="eastAsia" w:ascii="宋体" w:hAnsi="宋体" w:eastAsia="宋体" w:cs="宋体"/>
          <w:sz w:val="28"/>
          <w:szCs w:val="28"/>
        </w:rPr>
        <w:t>采取必要的补救措施而致损失扩大者，应就扩大的损失承担相应的损害赔偿责任。</w:t>
      </w:r>
    </w:p>
    <w:p w14:paraId="60B80AD4">
      <w:pPr>
        <w:adjustRightInd w:val="0"/>
        <w:snapToGrid w:val="0"/>
        <w:spacing w:line="30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4、因不可抗力导致本合同无法履行或合同目的无法实现，经双方协商一致，可以解除合同。</w:t>
      </w:r>
    </w:p>
    <w:p w14:paraId="1AD03056">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5、如对政府主管部门出具的不可抗力</w:t>
      </w:r>
      <w:r>
        <w:rPr>
          <w:rFonts w:hint="eastAsia" w:ascii="宋体" w:hAnsi="宋体" w:eastAsia="宋体" w:cs="宋体"/>
          <w:snapToGrid w:val="0"/>
          <w:sz w:val="28"/>
          <w:szCs w:val="28"/>
        </w:rPr>
        <w:t>证明</w:t>
      </w:r>
      <w:r>
        <w:rPr>
          <w:rFonts w:hint="eastAsia" w:ascii="宋体" w:hAnsi="宋体" w:eastAsia="宋体" w:cs="宋体"/>
          <w:sz w:val="28"/>
          <w:szCs w:val="28"/>
        </w:rPr>
        <w:t>文件存有异议并因此发生纠纷，应提交仲裁机构解决，并以仲裁裁决为准。但双方或本合同三方因该不可抗力争议而进行的仲裁或诉讼程序，不影响本合同的可履行性。</w:t>
      </w:r>
    </w:p>
    <w:p w14:paraId="4D3364B9">
      <w:pPr>
        <w:adjustRightInd w:val="0"/>
        <w:snapToGrid w:val="0"/>
        <w:spacing w:before="156" w:beforeLines="50" w:line="300" w:lineRule="auto"/>
        <w:ind w:left="482"/>
        <w:rPr>
          <w:rFonts w:hint="eastAsia" w:ascii="宋体" w:hAnsi="宋体" w:eastAsia="宋体" w:cs="宋体"/>
          <w:b/>
          <w:bCs/>
          <w:sz w:val="28"/>
          <w:szCs w:val="28"/>
        </w:rPr>
      </w:pPr>
      <w:r>
        <w:rPr>
          <w:rFonts w:hint="eastAsia" w:ascii="宋体" w:hAnsi="宋体" w:eastAsia="宋体" w:cs="宋体"/>
          <w:b/>
          <w:bCs/>
          <w:sz w:val="28"/>
          <w:szCs w:val="28"/>
        </w:rPr>
        <w:t>第十二条 违约责任</w:t>
      </w:r>
    </w:p>
    <w:p w14:paraId="7EB57B36">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本合同项下的各种货物，即使在使用功能上不存在任何相互关联性，亦应视为整体货物；违约迟延交付的那一部分货物，即使对本合同中的其他标的物之安装、验收、使用等不构成任何影响，亦应按合同总价作为计算违约金的基数。</w:t>
      </w:r>
    </w:p>
    <w:p w14:paraId="6C92BCC6">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违约金不足以弥补实际损失的，应赔偿实际损失。该“实际损失”包括利息、实现债权的全部费用（包括但不限于诉讼或仲裁费用、律师费、差旅费、邮件费、公告费、鉴定和调查取证费用）以及财产性行政处罚等。</w:t>
      </w:r>
    </w:p>
    <w:p w14:paraId="6BBE7260">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3、本条第1款和第2款关于违约金和赔偿金计算方法之约定，为总则性条款，其均适用于各种情形下的违约和损害赔偿责任之计算。</w:t>
      </w:r>
    </w:p>
    <w:p w14:paraId="457CACE4">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4、甲方无正当理由拒收货物的，甲方向乙方支付合同总价</w:t>
      </w:r>
      <w:r>
        <w:rPr>
          <w:rFonts w:hint="eastAsia" w:ascii="宋体" w:hAnsi="宋体" w:eastAsia="宋体" w:cs="宋体"/>
          <w:b/>
          <w:sz w:val="28"/>
          <w:szCs w:val="28"/>
          <w:u w:val="single"/>
        </w:rPr>
        <w:t xml:space="preserve"> 百分之三　</w:t>
      </w:r>
      <w:r>
        <w:rPr>
          <w:rFonts w:hint="eastAsia" w:ascii="宋体" w:hAnsi="宋体" w:eastAsia="宋体" w:cs="宋体"/>
          <w:sz w:val="28"/>
          <w:szCs w:val="28"/>
        </w:rPr>
        <w:t>的违约金。</w:t>
      </w:r>
    </w:p>
    <w:p w14:paraId="6F39538F">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5、甲方逾期付款的，</w:t>
      </w:r>
      <w:r>
        <w:rPr>
          <w:rFonts w:hint="eastAsia" w:ascii="宋体" w:hAnsi="宋体" w:eastAsia="宋体" w:cs="宋体"/>
          <w:b/>
          <w:sz w:val="28"/>
          <w:szCs w:val="28"/>
        </w:rPr>
        <w:t>每逾期一天</w:t>
      </w:r>
      <w:r>
        <w:rPr>
          <w:rFonts w:hint="eastAsia" w:ascii="宋体" w:hAnsi="宋体" w:eastAsia="宋体" w:cs="宋体"/>
          <w:sz w:val="28"/>
          <w:szCs w:val="28"/>
        </w:rPr>
        <w:t>应向乙方支付应付而未付款额的</w:t>
      </w:r>
      <w:r>
        <w:rPr>
          <w:rFonts w:hint="eastAsia" w:ascii="宋体" w:hAnsi="宋体" w:eastAsia="宋体" w:cs="宋体"/>
          <w:b/>
          <w:sz w:val="28"/>
          <w:szCs w:val="28"/>
          <w:u w:val="single"/>
        </w:rPr>
        <w:t>　万分之三</w:t>
      </w:r>
      <w:r>
        <w:rPr>
          <w:rFonts w:hint="eastAsia" w:ascii="宋体" w:hAnsi="宋体" w:eastAsia="宋体" w:cs="宋体"/>
          <w:sz w:val="28"/>
          <w:szCs w:val="28"/>
          <w:u w:val="single"/>
        </w:rPr>
        <w:t>　</w:t>
      </w:r>
      <w:r>
        <w:rPr>
          <w:rFonts w:hint="eastAsia" w:ascii="宋体" w:hAnsi="宋体" w:eastAsia="宋体" w:cs="宋体"/>
          <w:sz w:val="28"/>
          <w:szCs w:val="28"/>
        </w:rPr>
        <w:t>的违约金。</w:t>
      </w:r>
    </w:p>
    <w:p w14:paraId="5DF651E6">
      <w:pPr>
        <w:adjustRightInd w:val="0"/>
        <w:snapToGrid w:val="0"/>
        <w:spacing w:line="300" w:lineRule="auto"/>
        <w:ind w:firstLine="560" w:firstLineChars="200"/>
        <w:rPr>
          <w:rFonts w:hint="eastAsia" w:ascii="宋体" w:hAnsi="宋体" w:eastAsia="宋体" w:cs="宋体"/>
          <w:kern w:val="0"/>
          <w:sz w:val="28"/>
          <w:szCs w:val="28"/>
        </w:rPr>
      </w:pPr>
      <w:r>
        <w:rPr>
          <w:rFonts w:hint="eastAsia" w:ascii="宋体" w:hAnsi="宋体" w:eastAsia="宋体" w:cs="宋体"/>
          <w:sz w:val="28"/>
          <w:szCs w:val="28"/>
        </w:rPr>
        <w:t>6、乙方逾期交齐货物，或者因质量验收迟延而应视为逾期交货的，</w:t>
      </w:r>
      <w:r>
        <w:rPr>
          <w:rFonts w:hint="eastAsia" w:ascii="宋体" w:hAnsi="宋体" w:eastAsia="宋体" w:cs="宋体"/>
          <w:b/>
          <w:sz w:val="28"/>
          <w:szCs w:val="28"/>
        </w:rPr>
        <w:t>每逾期一天</w:t>
      </w:r>
      <w:r>
        <w:rPr>
          <w:rFonts w:hint="eastAsia" w:ascii="宋体" w:hAnsi="宋体" w:eastAsia="宋体" w:cs="宋体"/>
          <w:sz w:val="28"/>
          <w:szCs w:val="28"/>
        </w:rPr>
        <w:t>按合同总价的</w:t>
      </w:r>
      <w:r>
        <w:rPr>
          <w:rFonts w:hint="eastAsia" w:ascii="宋体" w:hAnsi="宋体" w:eastAsia="宋体" w:cs="宋体"/>
          <w:b/>
          <w:sz w:val="28"/>
          <w:szCs w:val="28"/>
          <w:u w:val="single"/>
        </w:rPr>
        <w:t>　万分之三</w:t>
      </w:r>
      <w:r>
        <w:rPr>
          <w:rFonts w:hint="eastAsia" w:ascii="宋体" w:hAnsi="宋体" w:eastAsia="宋体" w:cs="宋体"/>
          <w:sz w:val="28"/>
          <w:szCs w:val="28"/>
          <w:u w:val="single"/>
        </w:rPr>
        <w:t>　</w:t>
      </w:r>
      <w:r>
        <w:rPr>
          <w:rFonts w:hint="eastAsia" w:ascii="宋体" w:hAnsi="宋体" w:eastAsia="宋体" w:cs="宋体"/>
          <w:sz w:val="28"/>
          <w:szCs w:val="28"/>
        </w:rPr>
        <w:t>向甲方支付违约金，累计至交齐货物之日止</w:t>
      </w:r>
      <w:r>
        <w:rPr>
          <w:rFonts w:hint="eastAsia" w:ascii="宋体" w:hAnsi="宋体" w:eastAsia="宋体" w:cs="宋体"/>
          <w:kern w:val="0"/>
          <w:sz w:val="28"/>
          <w:szCs w:val="28"/>
        </w:rPr>
        <w:t>。</w:t>
      </w:r>
    </w:p>
    <w:p w14:paraId="18E493A4">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7、乙方超过三十天仍未交齐货物，或者因质量验收迟延而应视为逾期交货的，应按合同总价的</w:t>
      </w:r>
      <w:r>
        <w:rPr>
          <w:rFonts w:hint="eastAsia" w:ascii="宋体" w:hAnsi="宋体" w:eastAsia="宋体" w:cs="宋体"/>
          <w:b/>
          <w:sz w:val="28"/>
          <w:szCs w:val="28"/>
          <w:u w:val="single"/>
        </w:rPr>
        <w:t>　百分之二十　</w:t>
      </w:r>
      <w:r>
        <w:rPr>
          <w:rFonts w:hint="eastAsia" w:ascii="宋体" w:hAnsi="宋体" w:eastAsia="宋体" w:cs="宋体"/>
          <w:sz w:val="28"/>
          <w:szCs w:val="28"/>
        </w:rPr>
        <w:t>向甲方支付违约金。经催告后在合理期限内仍不能交齐货物的，甲方有权单方解除合同且该解除效果不影响违约金之支付。</w:t>
      </w:r>
    </w:p>
    <w:p w14:paraId="012D6ACD">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8、乙方未及时履行本合同第九条约定的义务，且经甲方书面催告后，拒不履行的，甲方有权扣除</w:t>
      </w:r>
      <w:r>
        <w:rPr>
          <w:rFonts w:hint="eastAsia" w:ascii="宋体" w:hAnsi="宋体" w:eastAsia="宋体" w:cs="宋体"/>
          <w:kern w:val="0"/>
          <w:sz w:val="28"/>
          <w:szCs w:val="28"/>
        </w:rPr>
        <w:t>履约保证金</w:t>
      </w:r>
      <w:r>
        <w:rPr>
          <w:rFonts w:hint="eastAsia" w:ascii="宋体" w:hAnsi="宋体" w:eastAsia="宋体" w:cs="宋体"/>
          <w:sz w:val="28"/>
          <w:szCs w:val="28"/>
        </w:rPr>
        <w:t>；无</w:t>
      </w:r>
      <w:r>
        <w:rPr>
          <w:rFonts w:hint="eastAsia" w:ascii="宋体" w:hAnsi="宋体" w:eastAsia="宋体" w:cs="宋体"/>
          <w:kern w:val="0"/>
          <w:sz w:val="28"/>
          <w:szCs w:val="28"/>
        </w:rPr>
        <w:t>履约保证金</w:t>
      </w:r>
      <w:r>
        <w:rPr>
          <w:rFonts w:hint="eastAsia" w:ascii="宋体" w:hAnsi="宋体" w:eastAsia="宋体" w:cs="宋体"/>
          <w:sz w:val="28"/>
          <w:szCs w:val="28"/>
        </w:rPr>
        <w:t>可扣除或</w:t>
      </w:r>
      <w:r>
        <w:rPr>
          <w:rFonts w:hint="eastAsia" w:ascii="宋体" w:hAnsi="宋体" w:eastAsia="宋体" w:cs="宋体"/>
          <w:kern w:val="0"/>
          <w:sz w:val="28"/>
          <w:szCs w:val="28"/>
        </w:rPr>
        <w:t>履约保证金</w:t>
      </w:r>
      <w:r>
        <w:rPr>
          <w:rFonts w:hint="eastAsia" w:ascii="宋体" w:hAnsi="宋体" w:eastAsia="宋体" w:cs="宋体"/>
          <w:sz w:val="28"/>
          <w:szCs w:val="28"/>
        </w:rPr>
        <w:t>已被甲方扣除了的，乙方应按</w:t>
      </w:r>
      <w:r>
        <w:rPr>
          <w:rFonts w:hint="eastAsia" w:ascii="宋体" w:hAnsi="宋体" w:eastAsia="宋体" w:cs="宋体"/>
          <w:b/>
          <w:sz w:val="28"/>
          <w:szCs w:val="28"/>
        </w:rPr>
        <w:t>合同总价的</w:t>
      </w:r>
      <w:r>
        <w:rPr>
          <w:rFonts w:hint="eastAsia" w:ascii="宋体" w:hAnsi="宋体" w:eastAsia="宋体" w:cs="宋体"/>
          <w:b/>
          <w:sz w:val="28"/>
          <w:szCs w:val="28"/>
          <w:u w:val="single"/>
        </w:rPr>
        <w:t xml:space="preserve"> 百分之五 </w:t>
      </w:r>
      <w:r>
        <w:rPr>
          <w:rFonts w:hint="eastAsia" w:ascii="宋体" w:hAnsi="宋体" w:eastAsia="宋体" w:cs="宋体"/>
          <w:sz w:val="28"/>
          <w:szCs w:val="28"/>
        </w:rPr>
        <w:t>支付违约金。</w:t>
      </w:r>
    </w:p>
    <w:p w14:paraId="68D6EC38">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9、乙方保证其出售的本合同项下的货物无任何权利瑕疵，包括货物在所有权、知识产权、许可销售权等方面的权利瑕疵。如果任何第三人被仲裁机构裁决或被法院判决有权对本合同项下的全部或部分货物主张权利，或货物被国家行政机关依法查处、查封、罚没，乙方除应赔偿甲方的实际损失外，还应</w:t>
      </w:r>
      <w:r>
        <w:rPr>
          <w:rFonts w:hint="eastAsia" w:ascii="宋体" w:hAnsi="宋体" w:eastAsia="宋体" w:cs="宋体"/>
          <w:b/>
          <w:sz w:val="28"/>
          <w:szCs w:val="28"/>
        </w:rPr>
        <w:t>另行按合同总价的</w:t>
      </w:r>
      <w:r>
        <w:rPr>
          <w:rFonts w:hint="eastAsia" w:ascii="宋体" w:hAnsi="宋体" w:eastAsia="宋体" w:cs="宋体"/>
          <w:b/>
          <w:sz w:val="28"/>
          <w:szCs w:val="28"/>
          <w:u w:val="single"/>
        </w:rPr>
        <w:t xml:space="preserve"> 　百分之二十　 </w:t>
      </w:r>
      <w:r>
        <w:rPr>
          <w:rFonts w:hint="eastAsia" w:ascii="宋体" w:hAnsi="宋体" w:eastAsia="宋体" w:cs="宋体"/>
          <w:b/>
          <w:sz w:val="28"/>
          <w:szCs w:val="28"/>
        </w:rPr>
        <w:t>向甲方支付惩罚性违约金</w:t>
      </w:r>
      <w:r>
        <w:rPr>
          <w:rFonts w:hint="eastAsia" w:ascii="宋体" w:hAnsi="宋体" w:eastAsia="宋体" w:cs="宋体"/>
          <w:sz w:val="28"/>
          <w:szCs w:val="28"/>
        </w:rPr>
        <w:t>。</w:t>
      </w:r>
    </w:p>
    <w:p w14:paraId="49EEBBB6">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10、</w:t>
      </w:r>
      <w:r>
        <w:rPr>
          <w:rFonts w:hint="eastAsia" w:ascii="宋体" w:hAnsi="宋体" w:eastAsia="宋体" w:cs="宋体"/>
          <w:snapToGrid w:val="0"/>
          <w:sz w:val="28"/>
          <w:szCs w:val="28"/>
        </w:rPr>
        <w:t>乙方擅自对本合同约定的货物进行替代的，视乙方不能交付，甲方除了有权解除合同外，同时有权按</w:t>
      </w:r>
      <w:r>
        <w:rPr>
          <w:rFonts w:hint="eastAsia" w:ascii="宋体" w:hAnsi="宋体" w:eastAsia="宋体" w:cs="宋体"/>
          <w:sz w:val="28"/>
          <w:szCs w:val="28"/>
        </w:rPr>
        <w:t>合同总价的</w:t>
      </w:r>
      <w:r>
        <w:rPr>
          <w:rFonts w:hint="eastAsia" w:ascii="宋体" w:hAnsi="宋体" w:eastAsia="宋体" w:cs="宋体"/>
          <w:b/>
          <w:sz w:val="28"/>
          <w:szCs w:val="28"/>
          <w:u w:val="single"/>
        </w:rPr>
        <w:t>　百分之三十　</w:t>
      </w:r>
      <w:r>
        <w:rPr>
          <w:rFonts w:hint="eastAsia" w:ascii="宋体" w:hAnsi="宋体" w:eastAsia="宋体" w:cs="宋体"/>
          <w:sz w:val="28"/>
          <w:szCs w:val="28"/>
        </w:rPr>
        <w:t>的标准要求乙方支付违约金</w:t>
      </w:r>
      <w:r>
        <w:rPr>
          <w:rFonts w:hint="eastAsia" w:ascii="宋体" w:hAnsi="宋体" w:eastAsia="宋体" w:cs="宋体"/>
          <w:snapToGrid w:val="0"/>
          <w:sz w:val="28"/>
          <w:szCs w:val="28"/>
        </w:rPr>
        <w:t>。</w:t>
      </w:r>
    </w:p>
    <w:p w14:paraId="00F19E93">
      <w:pPr>
        <w:widowControl/>
        <w:tabs>
          <w:tab w:val="left" w:pos="840"/>
          <w:tab w:val="left" w:pos="1365"/>
        </w:tabs>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kern w:val="0"/>
          <w:sz w:val="28"/>
          <w:szCs w:val="28"/>
        </w:rPr>
        <w:t>11、</w:t>
      </w:r>
      <w:r>
        <w:rPr>
          <w:rFonts w:hint="eastAsia" w:ascii="宋体" w:hAnsi="宋体" w:eastAsia="宋体" w:cs="宋体"/>
          <w:sz w:val="28"/>
          <w:szCs w:val="28"/>
        </w:rPr>
        <w:t>上述各项违约责任条款，属于《民法典》中的清算条款，故合同之</w:t>
      </w:r>
      <w:r>
        <w:rPr>
          <w:rFonts w:hint="eastAsia" w:ascii="宋体" w:hAnsi="宋体" w:eastAsia="宋体" w:cs="宋体"/>
          <w:snapToGrid w:val="0"/>
          <w:sz w:val="28"/>
          <w:szCs w:val="28"/>
        </w:rPr>
        <w:t>变更、中止或</w:t>
      </w:r>
      <w:r>
        <w:rPr>
          <w:rFonts w:hint="eastAsia" w:ascii="宋体" w:hAnsi="宋体" w:eastAsia="宋体" w:cs="宋体"/>
          <w:sz w:val="28"/>
          <w:szCs w:val="28"/>
        </w:rPr>
        <w:t>解除不影响据此追究违约方的违约责任。</w:t>
      </w:r>
    </w:p>
    <w:p w14:paraId="2B1C3AE6">
      <w:pPr>
        <w:adjustRightInd w:val="0"/>
        <w:snapToGrid w:val="0"/>
        <w:spacing w:before="156" w:beforeLines="50" w:line="30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第十三条</w:t>
      </w:r>
      <w:r>
        <w:rPr>
          <w:rFonts w:hint="eastAsia" w:ascii="宋体" w:hAnsi="宋体" w:eastAsia="宋体" w:cs="宋体"/>
          <w:b/>
          <w:kern w:val="0"/>
          <w:sz w:val="28"/>
          <w:szCs w:val="28"/>
        </w:rPr>
        <w:t>　</w:t>
      </w:r>
      <w:r>
        <w:rPr>
          <w:rFonts w:hint="eastAsia" w:ascii="宋体" w:hAnsi="宋体" w:eastAsia="宋体" w:cs="宋体"/>
          <w:b/>
          <w:sz w:val="28"/>
          <w:szCs w:val="28"/>
        </w:rPr>
        <w:t>补充协议</w:t>
      </w:r>
    </w:p>
    <w:p w14:paraId="09026D87">
      <w:pPr>
        <w:adjustRightInd w:val="0"/>
        <w:snapToGrid w:val="0"/>
        <w:spacing w:line="300" w:lineRule="auto"/>
        <w:ind w:firstLine="548" w:firstLineChars="196"/>
        <w:rPr>
          <w:rFonts w:hint="eastAsia" w:ascii="宋体" w:hAnsi="宋体" w:eastAsia="宋体" w:cs="宋体"/>
          <w:sz w:val="28"/>
          <w:szCs w:val="28"/>
        </w:rPr>
      </w:pPr>
      <w:r>
        <w:rPr>
          <w:rFonts w:hint="eastAsia" w:ascii="宋体" w:hAnsi="宋体" w:eastAsia="宋体" w:cs="宋体"/>
          <w:kern w:val="0"/>
          <w:sz w:val="28"/>
          <w:szCs w:val="28"/>
        </w:rPr>
        <w:t>1、</w:t>
      </w:r>
      <w:r>
        <w:rPr>
          <w:rFonts w:hint="eastAsia" w:ascii="宋体" w:hAnsi="宋体" w:eastAsia="宋体" w:cs="宋体"/>
          <w:sz w:val="28"/>
          <w:szCs w:val="28"/>
        </w:rPr>
        <w:t>本合同未尽事宜，由双方在协商一致的基础上另行签订书面形式的补充协议</w:t>
      </w:r>
      <w:r>
        <w:rPr>
          <w:rFonts w:hint="eastAsia" w:ascii="宋体" w:hAnsi="宋体" w:eastAsia="宋体" w:cs="宋体"/>
          <w:kern w:val="0"/>
          <w:sz w:val="28"/>
          <w:szCs w:val="28"/>
        </w:rPr>
        <w:t>确定</w:t>
      </w:r>
      <w:r>
        <w:rPr>
          <w:rFonts w:hint="eastAsia" w:ascii="宋体" w:hAnsi="宋体" w:eastAsia="宋体" w:cs="宋体"/>
          <w:sz w:val="28"/>
          <w:szCs w:val="28"/>
        </w:rPr>
        <w:t>。补充协议与本合同有关条款的内容相冲突者，视为对该条款内容的实质性变更。</w:t>
      </w:r>
    </w:p>
    <w:p w14:paraId="38F97042">
      <w:pPr>
        <w:adjustRightInd w:val="0"/>
        <w:snapToGrid w:val="0"/>
        <w:spacing w:before="156" w:beforeLines="50" w:line="30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2、补充协议包括承诺书、会议纪要、备忘录、往来函件等，但</w:t>
      </w:r>
      <w:r>
        <w:rPr>
          <w:rFonts w:hint="eastAsia" w:ascii="宋体" w:hAnsi="宋体" w:eastAsia="宋体" w:cs="宋体"/>
          <w:snapToGrid w:val="0"/>
          <w:sz w:val="28"/>
          <w:szCs w:val="28"/>
        </w:rPr>
        <w:t>均应以书面形式为之</w:t>
      </w:r>
      <w:r>
        <w:rPr>
          <w:rFonts w:hint="eastAsia" w:ascii="宋体" w:hAnsi="宋体" w:eastAsia="宋体" w:cs="宋体"/>
          <w:kern w:val="0"/>
          <w:sz w:val="28"/>
          <w:szCs w:val="28"/>
        </w:rPr>
        <w:t>。</w:t>
      </w:r>
    </w:p>
    <w:p w14:paraId="34D8D067">
      <w:pPr>
        <w:adjustRightInd w:val="0"/>
        <w:snapToGrid w:val="0"/>
        <w:spacing w:before="156" w:beforeLines="50" w:line="30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第十四条　争议解决方式</w:t>
      </w:r>
    </w:p>
    <w:p w14:paraId="7E770F63">
      <w:pPr>
        <w:adjustRightInd w:val="0"/>
        <w:snapToGrid w:val="0"/>
        <w:spacing w:line="300" w:lineRule="auto"/>
        <w:ind w:firstLine="560" w:firstLineChars="200"/>
        <w:rPr>
          <w:rFonts w:hint="eastAsia" w:ascii="宋体" w:hAnsi="宋体" w:eastAsia="宋体" w:cs="宋体"/>
          <w:b/>
          <w:bCs/>
          <w:sz w:val="28"/>
          <w:szCs w:val="28"/>
        </w:rPr>
      </w:pPr>
      <w:r>
        <w:rPr>
          <w:rFonts w:hint="eastAsia" w:ascii="宋体" w:hAnsi="宋体" w:eastAsia="宋体" w:cs="宋体"/>
          <w:snapToGrid w:val="0"/>
          <w:sz w:val="28"/>
          <w:szCs w:val="28"/>
        </w:rPr>
        <w:t>因本合同而发生的所有争议，应由各方协商解决；协商不成时，本合同的双方或三方均同意将争议(包括票据法上的争议)提交给西安市仲裁委员会进行仲裁解决。仲裁程序，适用该会的仲裁规则。</w:t>
      </w:r>
      <w:r>
        <w:rPr>
          <w:rFonts w:hint="eastAsia" w:ascii="宋体" w:hAnsi="宋体" w:eastAsia="宋体" w:cs="宋体"/>
          <w:sz w:val="28"/>
          <w:szCs w:val="28"/>
        </w:rPr>
        <w:t>该仲裁裁决是终局的，对当事人均有约束力。</w:t>
      </w:r>
    </w:p>
    <w:p w14:paraId="5882CEB8">
      <w:pPr>
        <w:widowControl/>
        <w:shd w:val="clear" w:color="auto" w:fill="FFFFFF"/>
        <w:adjustRightInd w:val="0"/>
        <w:snapToGrid w:val="0"/>
        <w:spacing w:line="300" w:lineRule="auto"/>
        <w:ind w:firstLine="534" w:firstLineChars="190"/>
        <w:jc w:val="left"/>
        <w:rPr>
          <w:rFonts w:hint="eastAsia" w:ascii="宋体" w:hAnsi="宋体" w:eastAsia="宋体" w:cs="宋体"/>
          <w:b/>
          <w:kern w:val="0"/>
          <w:sz w:val="28"/>
          <w:szCs w:val="28"/>
        </w:rPr>
      </w:pPr>
      <w:r>
        <w:rPr>
          <w:rFonts w:hint="eastAsia" w:ascii="宋体" w:hAnsi="宋体" w:eastAsia="宋体" w:cs="宋体"/>
          <w:b/>
          <w:sz w:val="28"/>
          <w:szCs w:val="28"/>
        </w:rPr>
        <w:t>第十五条　</w:t>
      </w:r>
      <w:r>
        <w:rPr>
          <w:rFonts w:hint="eastAsia" w:ascii="宋体" w:hAnsi="宋体" w:eastAsia="宋体" w:cs="宋体"/>
          <w:b/>
          <w:kern w:val="0"/>
          <w:sz w:val="28"/>
          <w:szCs w:val="28"/>
        </w:rPr>
        <w:t>合同生效与效力</w:t>
      </w:r>
    </w:p>
    <w:p w14:paraId="04647801">
      <w:pPr>
        <w:adjustRightInd w:val="0"/>
        <w:snapToGrid w:val="0"/>
        <w:spacing w:line="30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1、本合同经双方代表签字、盖章后即行生效。签字日期互异的，以后签日期为生效日。</w:t>
      </w:r>
    </w:p>
    <w:p w14:paraId="6DAF66B7">
      <w:pPr>
        <w:widowControl/>
        <w:shd w:val="clear" w:color="auto" w:fill="FFFFFF"/>
        <w:adjustRightInd w:val="0"/>
        <w:snapToGrid w:val="0"/>
        <w:spacing w:before="156" w:beforeLines="50" w:line="30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2、乙方作为联合体之代表人，一旦签字，本合同的效力即及于联合体内的全部成员。</w:t>
      </w:r>
    </w:p>
    <w:p w14:paraId="7A516214">
      <w:pPr>
        <w:widowControl/>
        <w:shd w:val="clear" w:color="auto" w:fill="FFFFFF"/>
        <w:adjustRightInd w:val="0"/>
        <w:snapToGrid w:val="0"/>
        <w:spacing w:before="156" w:beforeLines="50" w:line="300" w:lineRule="auto"/>
        <w:ind w:firstLine="562" w:firstLineChars="200"/>
        <w:jc w:val="left"/>
        <w:rPr>
          <w:rFonts w:hint="eastAsia" w:ascii="宋体" w:hAnsi="宋体" w:eastAsia="宋体" w:cs="宋体"/>
          <w:b/>
          <w:kern w:val="0"/>
          <w:sz w:val="28"/>
          <w:szCs w:val="28"/>
        </w:rPr>
      </w:pPr>
      <w:r>
        <w:rPr>
          <w:rFonts w:hint="eastAsia" w:ascii="宋体" w:hAnsi="宋体" w:eastAsia="宋体" w:cs="宋体"/>
          <w:b/>
          <w:bCs/>
          <w:sz w:val="28"/>
          <w:szCs w:val="28"/>
        </w:rPr>
        <w:t xml:space="preserve">第十六条  </w:t>
      </w:r>
      <w:r>
        <w:rPr>
          <w:rFonts w:hint="eastAsia" w:ascii="宋体" w:hAnsi="宋体" w:eastAsia="宋体" w:cs="宋体"/>
          <w:b/>
          <w:kern w:val="0"/>
          <w:sz w:val="28"/>
          <w:szCs w:val="28"/>
        </w:rPr>
        <w:t>合同文本</w:t>
      </w:r>
    </w:p>
    <w:p w14:paraId="4FAC0DE0">
      <w:pPr>
        <w:adjustRightInd w:val="0"/>
        <w:snapToGrid w:val="0"/>
        <w:spacing w:line="300" w:lineRule="auto"/>
        <w:ind w:firstLine="548" w:firstLineChars="196"/>
        <w:jc w:val="left"/>
        <w:rPr>
          <w:rFonts w:hint="eastAsia" w:ascii="宋体" w:hAnsi="宋体" w:eastAsia="宋体" w:cs="宋体"/>
          <w:sz w:val="28"/>
          <w:szCs w:val="28"/>
        </w:rPr>
      </w:pPr>
      <w:r>
        <w:rPr>
          <w:rFonts w:hint="eastAsia" w:ascii="宋体" w:hAnsi="宋体" w:eastAsia="宋体" w:cs="宋体"/>
          <w:sz w:val="28"/>
          <w:szCs w:val="28"/>
        </w:rPr>
        <w:t>1、本合同一式</w:t>
      </w:r>
      <w:r>
        <w:rPr>
          <w:rFonts w:hint="eastAsia" w:ascii="宋体" w:hAnsi="宋体" w:eastAsia="宋体" w:cs="宋体"/>
          <w:sz w:val="28"/>
          <w:szCs w:val="28"/>
          <w:u w:val="single"/>
        </w:rPr>
        <w:t>　6　</w:t>
      </w:r>
      <w:r>
        <w:rPr>
          <w:rFonts w:hint="eastAsia" w:ascii="宋体" w:hAnsi="宋体" w:eastAsia="宋体" w:cs="宋体"/>
          <w:sz w:val="28"/>
          <w:szCs w:val="28"/>
        </w:rPr>
        <w:t>份，甲方执4份, 乙方执</w:t>
      </w:r>
      <w:r>
        <w:rPr>
          <w:rFonts w:hint="eastAsia" w:ascii="宋体" w:hAnsi="宋体" w:eastAsia="宋体" w:cs="宋体"/>
          <w:sz w:val="28"/>
          <w:szCs w:val="28"/>
          <w:u w:val="single"/>
        </w:rPr>
        <w:t xml:space="preserve">　2 </w:t>
      </w:r>
      <w:r>
        <w:rPr>
          <w:rFonts w:hint="eastAsia" w:ascii="宋体" w:hAnsi="宋体" w:eastAsia="宋体" w:cs="宋体"/>
          <w:sz w:val="28"/>
          <w:szCs w:val="28"/>
        </w:rPr>
        <w:t>份。</w:t>
      </w:r>
    </w:p>
    <w:p w14:paraId="06F58D81">
      <w:pPr>
        <w:numPr>
          <w:ilvl w:val="0"/>
          <w:numId w:val="1"/>
        </w:numPr>
        <w:adjustRightInd w:val="0"/>
        <w:snapToGrid w:val="0"/>
        <w:spacing w:line="300" w:lineRule="auto"/>
        <w:jc w:val="left"/>
        <w:rPr>
          <w:rFonts w:hint="eastAsia" w:ascii="宋体" w:hAnsi="宋体" w:eastAsia="宋体" w:cs="宋体"/>
          <w:sz w:val="28"/>
          <w:szCs w:val="28"/>
        </w:rPr>
      </w:pPr>
      <w:r>
        <w:rPr>
          <w:rFonts w:hint="eastAsia" w:ascii="宋体" w:hAnsi="宋体" w:eastAsia="宋体" w:cs="宋体"/>
          <w:sz w:val="28"/>
          <w:szCs w:val="28"/>
        </w:rPr>
        <w:t>各式份具有同等法律效力。</w:t>
      </w:r>
    </w:p>
    <w:p w14:paraId="0460A544">
      <w:pPr>
        <w:adjustRightInd w:val="0"/>
        <w:snapToGrid w:val="0"/>
        <w:spacing w:line="300" w:lineRule="auto"/>
        <w:ind w:firstLine="562" w:firstLineChars="200"/>
        <w:rPr>
          <w:rFonts w:hint="eastAsia" w:ascii="宋体" w:hAnsi="宋体" w:eastAsia="宋体" w:cs="宋体"/>
          <w:b/>
          <w:sz w:val="28"/>
          <w:szCs w:val="28"/>
        </w:rPr>
      </w:pPr>
    </w:p>
    <w:tbl>
      <w:tblPr>
        <w:tblStyle w:val="11"/>
        <w:tblW w:w="0" w:type="auto"/>
        <w:tblCellSpacing w:w="0" w:type="dxa"/>
        <w:tblInd w:w="0" w:type="dxa"/>
        <w:tblLayout w:type="fixed"/>
        <w:tblCellMar>
          <w:top w:w="0" w:type="dxa"/>
          <w:left w:w="0" w:type="dxa"/>
          <w:bottom w:w="0" w:type="dxa"/>
          <w:right w:w="0" w:type="dxa"/>
        </w:tblCellMar>
      </w:tblPr>
      <w:tblGrid>
        <w:gridCol w:w="4678"/>
        <w:gridCol w:w="4322"/>
      </w:tblGrid>
      <w:tr w14:paraId="0194D117">
        <w:tblPrEx>
          <w:tblCellMar>
            <w:top w:w="0" w:type="dxa"/>
            <w:left w:w="0" w:type="dxa"/>
            <w:bottom w:w="0" w:type="dxa"/>
            <w:right w:w="0" w:type="dxa"/>
          </w:tblCellMar>
        </w:tblPrEx>
        <w:trPr>
          <w:trHeight w:val="327" w:hRule="atLeast"/>
          <w:tblCellSpacing w:w="0" w:type="dxa"/>
        </w:trPr>
        <w:tc>
          <w:tcPr>
            <w:tcW w:w="4678" w:type="dxa"/>
            <w:vAlign w:val="center"/>
          </w:tcPr>
          <w:p w14:paraId="1437AE5C">
            <w:pPr>
              <w:spacing w:line="300" w:lineRule="auto"/>
              <w:rPr>
                <w:rFonts w:hint="eastAsia" w:ascii="宋体" w:hAnsi="宋体" w:eastAsia="宋体" w:cs="宋体"/>
                <w:sz w:val="28"/>
                <w:szCs w:val="28"/>
              </w:rPr>
            </w:pPr>
            <w:r>
              <w:rPr>
                <w:rFonts w:hint="eastAsia" w:ascii="宋体" w:hAnsi="宋体" w:eastAsia="宋体" w:cs="宋体"/>
                <w:sz w:val="28"/>
                <w:szCs w:val="28"/>
              </w:rPr>
              <w:t xml:space="preserve">甲方：西安石油大学 </w:t>
            </w:r>
          </w:p>
        </w:tc>
        <w:tc>
          <w:tcPr>
            <w:tcW w:w="4322" w:type="dxa"/>
            <w:vAlign w:val="center"/>
          </w:tcPr>
          <w:p w14:paraId="7D69F8AA">
            <w:pPr>
              <w:spacing w:line="300" w:lineRule="auto"/>
              <w:rPr>
                <w:rFonts w:hint="eastAsia" w:ascii="宋体" w:hAnsi="宋体" w:eastAsia="宋体" w:cs="宋体"/>
                <w:sz w:val="28"/>
                <w:szCs w:val="28"/>
              </w:rPr>
            </w:pPr>
            <w:r>
              <w:rPr>
                <w:rFonts w:hint="eastAsia" w:ascii="宋体" w:hAnsi="宋体" w:eastAsia="宋体" w:cs="宋体"/>
                <w:sz w:val="28"/>
                <w:szCs w:val="28"/>
              </w:rPr>
              <w:t>乙方：</w:t>
            </w:r>
            <w:r>
              <w:rPr>
                <w:rFonts w:hint="eastAsia" w:ascii="宋体" w:hAnsi="宋体" w:eastAsia="宋体" w:cs="宋体"/>
                <w:b/>
                <w:bCs/>
                <w:sz w:val="28"/>
                <w:szCs w:val="28"/>
              </w:rPr>
              <w:t xml:space="preserve"> </w:t>
            </w:r>
          </w:p>
        </w:tc>
      </w:tr>
      <w:tr w14:paraId="0B6B7B86">
        <w:tblPrEx>
          <w:tblCellMar>
            <w:top w:w="0" w:type="dxa"/>
            <w:left w:w="0" w:type="dxa"/>
            <w:bottom w:w="0" w:type="dxa"/>
            <w:right w:w="0" w:type="dxa"/>
          </w:tblCellMar>
        </w:tblPrEx>
        <w:trPr>
          <w:trHeight w:val="269" w:hRule="atLeast"/>
          <w:tblCellSpacing w:w="0" w:type="dxa"/>
        </w:trPr>
        <w:tc>
          <w:tcPr>
            <w:tcW w:w="4678" w:type="dxa"/>
            <w:vAlign w:val="center"/>
          </w:tcPr>
          <w:p w14:paraId="3FC1F6E4">
            <w:pPr>
              <w:spacing w:line="300" w:lineRule="auto"/>
              <w:rPr>
                <w:rFonts w:hint="eastAsia" w:ascii="宋体" w:hAnsi="宋体" w:eastAsia="宋体" w:cs="宋体"/>
                <w:sz w:val="28"/>
                <w:szCs w:val="28"/>
              </w:rPr>
            </w:pPr>
            <w:r>
              <w:rPr>
                <w:rFonts w:hint="eastAsia" w:ascii="宋体" w:hAnsi="宋体" w:eastAsia="宋体" w:cs="宋体"/>
                <w:sz w:val="28"/>
                <w:szCs w:val="28"/>
              </w:rPr>
              <w:t xml:space="preserve">法定代表人： </w:t>
            </w:r>
          </w:p>
        </w:tc>
        <w:tc>
          <w:tcPr>
            <w:tcW w:w="4322" w:type="dxa"/>
            <w:vAlign w:val="center"/>
          </w:tcPr>
          <w:p w14:paraId="50713CE8">
            <w:pPr>
              <w:spacing w:line="300" w:lineRule="auto"/>
              <w:rPr>
                <w:rFonts w:hint="eastAsia" w:ascii="宋体" w:hAnsi="宋体" w:eastAsia="宋体" w:cs="宋体"/>
                <w:sz w:val="28"/>
                <w:szCs w:val="28"/>
              </w:rPr>
            </w:pPr>
            <w:r>
              <w:rPr>
                <w:rFonts w:hint="eastAsia" w:ascii="宋体" w:hAnsi="宋体" w:eastAsia="宋体" w:cs="宋体"/>
                <w:sz w:val="28"/>
                <w:szCs w:val="28"/>
              </w:rPr>
              <w:t xml:space="preserve">法定代表人： </w:t>
            </w:r>
          </w:p>
        </w:tc>
      </w:tr>
      <w:tr w14:paraId="6C4AF94B">
        <w:tblPrEx>
          <w:tblCellMar>
            <w:top w:w="0" w:type="dxa"/>
            <w:left w:w="0" w:type="dxa"/>
            <w:bottom w:w="0" w:type="dxa"/>
            <w:right w:w="0" w:type="dxa"/>
          </w:tblCellMar>
        </w:tblPrEx>
        <w:trPr>
          <w:trHeight w:val="367" w:hRule="atLeast"/>
          <w:tblCellSpacing w:w="0" w:type="dxa"/>
        </w:trPr>
        <w:tc>
          <w:tcPr>
            <w:tcW w:w="4678" w:type="dxa"/>
            <w:vAlign w:val="center"/>
          </w:tcPr>
          <w:p w14:paraId="6ABDCD03">
            <w:pPr>
              <w:spacing w:line="300" w:lineRule="auto"/>
              <w:rPr>
                <w:rFonts w:hint="eastAsia" w:ascii="宋体" w:hAnsi="宋体" w:eastAsia="宋体" w:cs="宋体"/>
                <w:sz w:val="28"/>
                <w:szCs w:val="28"/>
              </w:rPr>
            </w:pPr>
            <w:r>
              <w:rPr>
                <w:rFonts w:hint="eastAsia" w:ascii="宋体" w:hAnsi="宋体" w:eastAsia="宋体" w:cs="宋体"/>
                <w:sz w:val="28"/>
                <w:szCs w:val="28"/>
              </w:rPr>
              <w:t>委托代理人：</w:t>
            </w:r>
          </w:p>
        </w:tc>
        <w:tc>
          <w:tcPr>
            <w:tcW w:w="4322" w:type="dxa"/>
          </w:tcPr>
          <w:p w14:paraId="1B72D69F">
            <w:pPr>
              <w:spacing w:line="300" w:lineRule="auto"/>
              <w:rPr>
                <w:rFonts w:hint="eastAsia" w:ascii="宋体" w:hAnsi="宋体" w:eastAsia="宋体" w:cs="宋体"/>
                <w:sz w:val="28"/>
                <w:szCs w:val="28"/>
              </w:rPr>
            </w:pPr>
            <w:r>
              <w:rPr>
                <w:rFonts w:hint="eastAsia" w:ascii="宋体" w:hAnsi="宋体" w:eastAsia="宋体" w:cs="宋体"/>
                <w:sz w:val="28"/>
                <w:szCs w:val="28"/>
              </w:rPr>
              <w:t>委托代理人：</w:t>
            </w:r>
          </w:p>
        </w:tc>
      </w:tr>
      <w:tr w14:paraId="2FF7CFC5">
        <w:tblPrEx>
          <w:tblCellMar>
            <w:top w:w="0" w:type="dxa"/>
            <w:left w:w="0" w:type="dxa"/>
            <w:bottom w:w="0" w:type="dxa"/>
            <w:right w:w="0" w:type="dxa"/>
          </w:tblCellMar>
        </w:tblPrEx>
        <w:trPr>
          <w:trHeight w:val="430" w:hRule="atLeast"/>
          <w:tblCellSpacing w:w="0" w:type="dxa"/>
        </w:trPr>
        <w:tc>
          <w:tcPr>
            <w:tcW w:w="4678" w:type="dxa"/>
          </w:tcPr>
          <w:p w14:paraId="0C25FE7E">
            <w:pPr>
              <w:spacing w:line="300" w:lineRule="auto"/>
              <w:rPr>
                <w:rFonts w:hint="eastAsia" w:ascii="宋体" w:hAnsi="宋体" w:eastAsia="宋体" w:cs="宋体"/>
                <w:sz w:val="28"/>
                <w:szCs w:val="28"/>
              </w:rPr>
            </w:pPr>
            <w:r>
              <w:rPr>
                <w:rFonts w:hint="eastAsia" w:ascii="宋体" w:hAnsi="宋体" w:eastAsia="宋体" w:cs="宋体"/>
                <w:sz w:val="28"/>
                <w:szCs w:val="28"/>
              </w:rPr>
              <w:t>用户经办人：</w:t>
            </w:r>
          </w:p>
        </w:tc>
        <w:tc>
          <w:tcPr>
            <w:tcW w:w="4322" w:type="dxa"/>
          </w:tcPr>
          <w:p w14:paraId="165AA43E">
            <w:pPr>
              <w:spacing w:line="300" w:lineRule="auto"/>
              <w:rPr>
                <w:rFonts w:hint="eastAsia" w:ascii="宋体" w:hAnsi="宋体" w:eastAsia="宋体" w:cs="宋体"/>
                <w:sz w:val="28"/>
                <w:szCs w:val="28"/>
              </w:rPr>
            </w:pPr>
            <w:r>
              <w:rPr>
                <w:rFonts w:hint="eastAsia" w:ascii="宋体" w:hAnsi="宋体" w:eastAsia="宋体" w:cs="宋体"/>
                <w:sz w:val="28"/>
                <w:szCs w:val="28"/>
              </w:rPr>
              <w:t>经办人</w:t>
            </w:r>
            <w:r>
              <w:rPr>
                <w:rFonts w:hint="eastAsia" w:ascii="宋体" w:hAnsi="宋体" w:eastAsia="宋体" w:cs="宋体"/>
                <w:bCs/>
                <w:sz w:val="28"/>
                <w:szCs w:val="28"/>
              </w:rPr>
              <w:t>:</w:t>
            </w:r>
            <w:r>
              <w:rPr>
                <w:rFonts w:hint="eastAsia" w:ascii="宋体" w:hAnsi="宋体" w:eastAsia="宋体" w:cs="宋体"/>
                <w:sz w:val="28"/>
                <w:szCs w:val="28"/>
              </w:rPr>
              <w:t xml:space="preserve"> </w:t>
            </w:r>
          </w:p>
        </w:tc>
      </w:tr>
      <w:tr w14:paraId="0DDE21BF">
        <w:tblPrEx>
          <w:tblCellMar>
            <w:top w:w="0" w:type="dxa"/>
            <w:left w:w="0" w:type="dxa"/>
            <w:bottom w:w="0" w:type="dxa"/>
            <w:right w:w="0" w:type="dxa"/>
          </w:tblCellMar>
        </w:tblPrEx>
        <w:trPr>
          <w:trHeight w:val="238" w:hRule="atLeast"/>
          <w:tblCellSpacing w:w="0" w:type="dxa"/>
        </w:trPr>
        <w:tc>
          <w:tcPr>
            <w:tcW w:w="4678" w:type="dxa"/>
            <w:vAlign w:val="center"/>
          </w:tcPr>
          <w:p w14:paraId="657C634D">
            <w:pPr>
              <w:spacing w:line="300" w:lineRule="auto"/>
              <w:rPr>
                <w:rFonts w:hint="eastAsia" w:ascii="宋体" w:hAnsi="宋体" w:eastAsia="宋体" w:cs="宋体"/>
                <w:sz w:val="28"/>
                <w:szCs w:val="28"/>
              </w:rPr>
            </w:pPr>
            <w:r>
              <w:rPr>
                <w:rFonts w:hint="eastAsia" w:ascii="宋体" w:hAnsi="宋体" w:eastAsia="宋体" w:cs="宋体"/>
                <w:sz w:val="28"/>
                <w:szCs w:val="28"/>
              </w:rPr>
              <w:t xml:space="preserve">电话：  </w:t>
            </w:r>
          </w:p>
        </w:tc>
        <w:tc>
          <w:tcPr>
            <w:tcW w:w="4322" w:type="dxa"/>
            <w:vAlign w:val="center"/>
          </w:tcPr>
          <w:p w14:paraId="79BF2726">
            <w:pPr>
              <w:spacing w:line="300" w:lineRule="auto"/>
              <w:rPr>
                <w:rFonts w:hint="eastAsia" w:ascii="宋体" w:hAnsi="宋体" w:eastAsia="宋体" w:cs="宋体"/>
                <w:sz w:val="28"/>
                <w:szCs w:val="28"/>
              </w:rPr>
            </w:pPr>
            <w:r>
              <w:rPr>
                <w:rFonts w:hint="eastAsia" w:ascii="宋体" w:hAnsi="宋体" w:eastAsia="宋体" w:cs="宋体"/>
                <w:sz w:val="28"/>
                <w:szCs w:val="28"/>
              </w:rPr>
              <w:t xml:space="preserve">电话： </w:t>
            </w:r>
          </w:p>
        </w:tc>
      </w:tr>
      <w:tr w14:paraId="1BB44774">
        <w:tblPrEx>
          <w:tblCellMar>
            <w:top w:w="0" w:type="dxa"/>
            <w:left w:w="0" w:type="dxa"/>
            <w:bottom w:w="0" w:type="dxa"/>
            <w:right w:w="0" w:type="dxa"/>
          </w:tblCellMar>
        </w:tblPrEx>
        <w:trPr>
          <w:trHeight w:val="463" w:hRule="atLeast"/>
          <w:tblCellSpacing w:w="0" w:type="dxa"/>
        </w:trPr>
        <w:tc>
          <w:tcPr>
            <w:tcW w:w="4678" w:type="dxa"/>
            <w:vAlign w:val="center"/>
          </w:tcPr>
          <w:p w14:paraId="5F41FDE7">
            <w:pPr>
              <w:spacing w:line="300" w:lineRule="auto"/>
              <w:rPr>
                <w:rFonts w:hint="eastAsia" w:ascii="宋体" w:hAnsi="宋体" w:eastAsia="宋体" w:cs="宋体"/>
                <w:sz w:val="28"/>
                <w:szCs w:val="28"/>
              </w:rPr>
            </w:pPr>
            <w:r>
              <w:rPr>
                <w:rFonts w:hint="eastAsia" w:ascii="宋体" w:hAnsi="宋体" w:eastAsia="宋体" w:cs="宋体"/>
                <w:sz w:val="28"/>
                <w:szCs w:val="28"/>
              </w:rPr>
              <w:t xml:space="preserve">开户银行： </w:t>
            </w:r>
          </w:p>
          <w:p w14:paraId="79EFC115">
            <w:pPr>
              <w:spacing w:line="300" w:lineRule="auto"/>
              <w:rPr>
                <w:rFonts w:hint="eastAsia" w:ascii="宋体" w:hAnsi="宋体" w:eastAsia="宋体" w:cs="宋体"/>
                <w:sz w:val="28"/>
                <w:szCs w:val="28"/>
              </w:rPr>
            </w:pPr>
            <w:r>
              <w:rPr>
                <w:rFonts w:hint="eastAsia" w:ascii="宋体" w:hAnsi="宋体" w:eastAsia="宋体" w:cs="宋体"/>
                <w:sz w:val="28"/>
                <w:szCs w:val="28"/>
              </w:rPr>
              <w:t xml:space="preserve">开户名称： </w:t>
            </w:r>
          </w:p>
        </w:tc>
        <w:tc>
          <w:tcPr>
            <w:tcW w:w="4322" w:type="dxa"/>
            <w:vAlign w:val="center"/>
          </w:tcPr>
          <w:p w14:paraId="4955B6BD">
            <w:pPr>
              <w:spacing w:line="300" w:lineRule="auto"/>
              <w:rPr>
                <w:rFonts w:hint="eastAsia" w:ascii="宋体" w:hAnsi="宋体" w:eastAsia="宋体" w:cs="宋体"/>
                <w:sz w:val="28"/>
                <w:szCs w:val="28"/>
              </w:rPr>
            </w:pPr>
            <w:r>
              <w:rPr>
                <w:rFonts w:hint="eastAsia" w:ascii="宋体" w:hAnsi="宋体" w:eastAsia="宋体" w:cs="宋体"/>
                <w:sz w:val="28"/>
                <w:szCs w:val="28"/>
              </w:rPr>
              <w:t xml:space="preserve">开户银行： </w:t>
            </w:r>
          </w:p>
          <w:p w14:paraId="25EC4A15">
            <w:pPr>
              <w:spacing w:line="300" w:lineRule="auto"/>
              <w:rPr>
                <w:rFonts w:hint="eastAsia" w:ascii="宋体" w:hAnsi="宋体" w:eastAsia="宋体" w:cs="宋体"/>
                <w:sz w:val="28"/>
                <w:szCs w:val="28"/>
              </w:rPr>
            </w:pPr>
            <w:r>
              <w:rPr>
                <w:rFonts w:hint="eastAsia" w:ascii="宋体" w:hAnsi="宋体" w:eastAsia="宋体" w:cs="宋体"/>
                <w:sz w:val="28"/>
                <w:szCs w:val="28"/>
              </w:rPr>
              <w:t xml:space="preserve">开户名称： </w:t>
            </w:r>
          </w:p>
        </w:tc>
      </w:tr>
      <w:tr w14:paraId="514CD267">
        <w:tblPrEx>
          <w:tblCellMar>
            <w:top w:w="0" w:type="dxa"/>
            <w:left w:w="0" w:type="dxa"/>
            <w:bottom w:w="0" w:type="dxa"/>
            <w:right w:w="0" w:type="dxa"/>
          </w:tblCellMar>
        </w:tblPrEx>
        <w:trPr>
          <w:trHeight w:val="349" w:hRule="atLeast"/>
          <w:tblCellSpacing w:w="0" w:type="dxa"/>
        </w:trPr>
        <w:tc>
          <w:tcPr>
            <w:tcW w:w="4678" w:type="dxa"/>
            <w:vAlign w:val="center"/>
          </w:tcPr>
          <w:p w14:paraId="1A5ECCF5">
            <w:pPr>
              <w:spacing w:line="300" w:lineRule="auto"/>
              <w:rPr>
                <w:rFonts w:hint="eastAsia" w:ascii="宋体" w:hAnsi="宋体" w:eastAsia="宋体" w:cs="宋体"/>
                <w:sz w:val="28"/>
                <w:szCs w:val="28"/>
              </w:rPr>
            </w:pPr>
            <w:r>
              <w:rPr>
                <w:rFonts w:hint="eastAsia" w:ascii="宋体" w:hAnsi="宋体" w:eastAsia="宋体" w:cs="宋体"/>
                <w:sz w:val="28"/>
                <w:szCs w:val="28"/>
              </w:rPr>
              <w:t>账号：</w:t>
            </w:r>
          </w:p>
          <w:p w14:paraId="60E63B66">
            <w:pPr>
              <w:spacing w:line="300" w:lineRule="auto"/>
              <w:rPr>
                <w:rFonts w:hint="eastAsia" w:ascii="宋体" w:hAnsi="宋体" w:eastAsia="宋体" w:cs="宋体"/>
                <w:sz w:val="28"/>
                <w:szCs w:val="28"/>
              </w:rPr>
            </w:pPr>
            <w:r>
              <w:rPr>
                <w:rFonts w:hint="eastAsia" w:ascii="宋体" w:hAnsi="宋体" w:eastAsia="宋体" w:cs="宋体"/>
                <w:sz w:val="28"/>
                <w:szCs w:val="28"/>
              </w:rPr>
              <w:t>纳税人识别号:</w:t>
            </w:r>
          </w:p>
        </w:tc>
        <w:tc>
          <w:tcPr>
            <w:tcW w:w="4322" w:type="dxa"/>
            <w:vAlign w:val="center"/>
          </w:tcPr>
          <w:p w14:paraId="30436BE7">
            <w:pPr>
              <w:spacing w:line="300" w:lineRule="auto"/>
              <w:rPr>
                <w:rFonts w:hint="eastAsia" w:ascii="宋体" w:hAnsi="宋体" w:eastAsia="宋体" w:cs="宋体"/>
                <w:sz w:val="28"/>
                <w:szCs w:val="28"/>
              </w:rPr>
            </w:pPr>
            <w:r>
              <w:rPr>
                <w:rFonts w:hint="eastAsia" w:ascii="宋体" w:hAnsi="宋体" w:eastAsia="宋体" w:cs="宋体"/>
                <w:sz w:val="28"/>
                <w:szCs w:val="28"/>
              </w:rPr>
              <w:t xml:space="preserve">账号： </w:t>
            </w:r>
          </w:p>
          <w:p w14:paraId="030254F6">
            <w:pPr>
              <w:spacing w:line="300" w:lineRule="auto"/>
              <w:rPr>
                <w:rFonts w:hint="eastAsia" w:ascii="宋体" w:hAnsi="宋体" w:eastAsia="宋体" w:cs="宋体"/>
                <w:sz w:val="28"/>
                <w:szCs w:val="28"/>
              </w:rPr>
            </w:pPr>
            <w:r>
              <w:rPr>
                <w:rFonts w:hint="eastAsia" w:ascii="宋体" w:hAnsi="宋体" w:eastAsia="宋体" w:cs="宋体"/>
                <w:sz w:val="28"/>
                <w:szCs w:val="28"/>
              </w:rPr>
              <w:t>纳税人识别号:</w:t>
            </w:r>
          </w:p>
        </w:tc>
      </w:tr>
      <w:tr w14:paraId="620FEF14">
        <w:tblPrEx>
          <w:tblCellMar>
            <w:top w:w="0" w:type="dxa"/>
            <w:left w:w="0" w:type="dxa"/>
            <w:bottom w:w="0" w:type="dxa"/>
            <w:right w:w="0" w:type="dxa"/>
          </w:tblCellMar>
        </w:tblPrEx>
        <w:trPr>
          <w:trHeight w:val="470" w:hRule="atLeast"/>
          <w:tblCellSpacing w:w="0" w:type="dxa"/>
        </w:trPr>
        <w:tc>
          <w:tcPr>
            <w:tcW w:w="4678" w:type="dxa"/>
            <w:vAlign w:val="center"/>
          </w:tcPr>
          <w:p w14:paraId="4164E975">
            <w:pPr>
              <w:spacing w:line="300" w:lineRule="auto"/>
              <w:rPr>
                <w:rFonts w:hint="eastAsia" w:ascii="宋体" w:hAnsi="宋体" w:eastAsia="宋体" w:cs="宋体"/>
                <w:sz w:val="28"/>
                <w:szCs w:val="28"/>
              </w:rPr>
            </w:pPr>
            <w:r>
              <w:rPr>
                <w:rFonts w:hint="eastAsia" w:ascii="宋体" w:hAnsi="宋体" w:eastAsia="宋体" w:cs="宋体"/>
                <w:sz w:val="28"/>
                <w:szCs w:val="28"/>
              </w:rPr>
              <w:t>地址与邮政编码：</w:t>
            </w:r>
          </w:p>
          <w:p w14:paraId="5C6AA160">
            <w:pPr>
              <w:spacing w:line="300" w:lineRule="auto"/>
              <w:rPr>
                <w:rFonts w:hint="eastAsia" w:ascii="宋体" w:hAnsi="宋体" w:eastAsia="宋体" w:cs="宋体"/>
                <w:sz w:val="28"/>
                <w:szCs w:val="28"/>
              </w:rPr>
            </w:pPr>
            <w:r>
              <w:rPr>
                <w:rFonts w:hint="eastAsia" w:ascii="宋体" w:hAnsi="宋体" w:eastAsia="宋体" w:cs="宋体"/>
                <w:sz w:val="28"/>
                <w:szCs w:val="28"/>
              </w:rPr>
              <w:t>签约时间：    年     月     日</w:t>
            </w:r>
          </w:p>
        </w:tc>
        <w:tc>
          <w:tcPr>
            <w:tcW w:w="4322" w:type="dxa"/>
            <w:vAlign w:val="center"/>
          </w:tcPr>
          <w:p w14:paraId="2732778A">
            <w:pPr>
              <w:spacing w:line="300" w:lineRule="auto"/>
              <w:rPr>
                <w:rFonts w:hint="eastAsia" w:ascii="宋体" w:hAnsi="宋体" w:eastAsia="宋体" w:cs="宋体"/>
                <w:sz w:val="28"/>
                <w:szCs w:val="28"/>
              </w:rPr>
            </w:pPr>
            <w:r>
              <w:rPr>
                <w:rFonts w:hint="eastAsia" w:ascii="宋体" w:hAnsi="宋体" w:eastAsia="宋体" w:cs="宋体"/>
                <w:sz w:val="28"/>
                <w:szCs w:val="28"/>
              </w:rPr>
              <w:t xml:space="preserve">地址与邮政编码： </w:t>
            </w:r>
          </w:p>
          <w:p w14:paraId="723ADE5E">
            <w:pPr>
              <w:spacing w:line="300" w:lineRule="auto"/>
              <w:rPr>
                <w:rFonts w:hint="eastAsia" w:ascii="宋体" w:hAnsi="宋体" w:eastAsia="宋体" w:cs="宋体"/>
                <w:sz w:val="28"/>
                <w:szCs w:val="28"/>
              </w:rPr>
            </w:pPr>
            <w:r>
              <w:rPr>
                <w:rFonts w:hint="eastAsia" w:ascii="宋体" w:hAnsi="宋体" w:eastAsia="宋体" w:cs="宋体"/>
                <w:sz w:val="28"/>
                <w:szCs w:val="28"/>
              </w:rPr>
              <w:t>签约时间：    年　 　 月　   日</w:t>
            </w:r>
          </w:p>
        </w:tc>
      </w:tr>
    </w:tbl>
    <w:p w14:paraId="4891BB72">
      <w:pPr>
        <w:adjustRightInd w:val="0"/>
        <w:snapToGrid w:val="0"/>
        <w:spacing w:line="300" w:lineRule="auto"/>
        <w:rPr>
          <w:rFonts w:hint="eastAsia" w:ascii="宋体" w:hAnsi="宋体" w:eastAsia="宋体" w:cs="宋体"/>
          <w:sz w:val="28"/>
          <w:szCs w:val="28"/>
        </w:rPr>
      </w:pPr>
    </w:p>
    <w:p w14:paraId="3A0D55D6">
      <w:pPr>
        <w:adjustRightInd w:val="0"/>
        <w:snapToGrid w:val="0"/>
        <w:spacing w:line="300" w:lineRule="auto"/>
        <w:rPr>
          <w:rFonts w:hint="eastAsia" w:ascii="宋体" w:hAnsi="宋体" w:eastAsia="宋体" w:cs="宋体"/>
          <w:sz w:val="28"/>
          <w:szCs w:val="28"/>
        </w:rPr>
      </w:pPr>
    </w:p>
    <w:p w14:paraId="2F0499C6">
      <w:pPr>
        <w:spacing w:line="300" w:lineRule="auto"/>
        <w:rPr>
          <w:rFonts w:hint="eastAsia" w:ascii="宋体" w:hAnsi="宋体" w:eastAsia="宋体" w:cs="宋体"/>
          <w:sz w:val="28"/>
          <w:szCs w:val="28"/>
        </w:rPr>
      </w:pPr>
      <w:r>
        <w:rPr>
          <w:rFonts w:hint="eastAsia" w:ascii="宋体" w:hAnsi="宋体" w:eastAsia="宋体" w:cs="宋体"/>
          <w:sz w:val="28"/>
          <w:szCs w:val="28"/>
        </w:rPr>
        <w:t>鉴证方（招标代理机构）：</w:t>
      </w:r>
    </w:p>
    <w:p w14:paraId="24648467">
      <w:pPr>
        <w:spacing w:line="300" w:lineRule="auto"/>
        <w:rPr>
          <w:rFonts w:hint="eastAsia" w:ascii="宋体" w:hAnsi="宋体" w:eastAsia="宋体" w:cs="宋体"/>
          <w:sz w:val="28"/>
          <w:szCs w:val="28"/>
        </w:rPr>
      </w:pPr>
      <w:r>
        <w:rPr>
          <w:rFonts w:hint="eastAsia" w:ascii="宋体" w:hAnsi="宋体" w:eastAsia="宋体" w:cs="宋体"/>
          <w:sz w:val="28"/>
          <w:szCs w:val="28"/>
        </w:rPr>
        <w:t>经办人：</w:t>
      </w:r>
    </w:p>
    <w:p w14:paraId="375B6DDC">
      <w:pPr>
        <w:spacing w:line="300" w:lineRule="auto"/>
        <w:rPr>
          <w:rFonts w:hint="eastAsia" w:ascii="宋体" w:hAnsi="宋体" w:eastAsia="宋体" w:cs="宋体"/>
          <w:sz w:val="28"/>
          <w:szCs w:val="28"/>
        </w:rPr>
      </w:pPr>
      <w:r>
        <w:rPr>
          <w:rFonts w:hint="eastAsia" w:ascii="宋体" w:hAnsi="宋体" w:eastAsia="宋体" w:cs="宋体"/>
          <w:sz w:val="28"/>
          <w:szCs w:val="28"/>
        </w:rPr>
        <w:t>电话：</w:t>
      </w:r>
    </w:p>
    <w:p w14:paraId="21D70DEB">
      <w:pPr>
        <w:spacing w:line="300" w:lineRule="auto"/>
        <w:rPr>
          <w:rFonts w:hint="eastAsia" w:ascii="宋体" w:hAnsi="宋体" w:eastAsia="宋体" w:cs="宋体"/>
          <w:sz w:val="28"/>
          <w:szCs w:val="28"/>
        </w:rPr>
      </w:pPr>
      <w:r>
        <w:rPr>
          <w:rFonts w:hint="eastAsia" w:ascii="宋体" w:hAnsi="宋体" w:eastAsia="宋体" w:cs="宋体"/>
          <w:sz w:val="28"/>
          <w:szCs w:val="28"/>
        </w:rPr>
        <w:t>地址：</w:t>
      </w:r>
    </w:p>
    <w:p w14:paraId="6C7D5D16">
      <w:pPr>
        <w:adjustRightInd w:val="0"/>
        <w:snapToGrid w:val="0"/>
        <w:spacing w:line="300" w:lineRule="auto"/>
        <w:rPr>
          <w:rFonts w:hint="eastAsia" w:ascii="宋体" w:hAnsi="宋体" w:eastAsia="宋体" w:cs="宋体"/>
          <w:sz w:val="28"/>
          <w:szCs w:val="28"/>
        </w:rPr>
      </w:pPr>
    </w:p>
    <w:p w14:paraId="28433C63">
      <w:pPr>
        <w:rPr>
          <w:rFonts w:hint="eastAsia" w:ascii="宋体" w:hAnsi="宋体" w:eastAsia="宋体" w:cs="宋体"/>
          <w:b/>
          <w:bCs/>
          <w:sz w:val="28"/>
          <w:szCs w:val="28"/>
        </w:rPr>
      </w:pPr>
      <w:r>
        <w:rPr>
          <w:rFonts w:hint="eastAsia" w:ascii="宋体" w:hAnsi="宋体" w:eastAsia="宋体" w:cs="宋体"/>
          <w:b/>
          <w:sz w:val="28"/>
          <w:szCs w:val="28"/>
        </w:rPr>
        <w:t>附件：货物配置清单及技术指标</w:t>
      </w:r>
      <w:r>
        <w:rPr>
          <w:rFonts w:hint="eastAsia" w:ascii="宋体" w:hAnsi="宋体" w:eastAsia="宋体" w:cs="宋体"/>
          <w:b/>
          <w:bCs/>
          <w:sz w:val="28"/>
          <w:szCs w:val="28"/>
        </w:rPr>
        <w:t>：</w:t>
      </w:r>
    </w:p>
    <w:tbl>
      <w:tblPr>
        <w:tblStyle w:val="11"/>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5"/>
        <w:gridCol w:w="1846"/>
        <w:gridCol w:w="5909"/>
      </w:tblGrid>
      <w:tr w14:paraId="46110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9" w:type="pct"/>
            <w:tcBorders>
              <w:top w:val="single" w:color="auto" w:sz="4" w:space="0"/>
              <w:left w:val="single" w:color="auto" w:sz="4" w:space="0"/>
              <w:bottom w:val="single" w:color="auto" w:sz="4" w:space="0"/>
              <w:right w:val="single" w:color="auto" w:sz="4" w:space="0"/>
            </w:tcBorders>
            <w:vAlign w:val="center"/>
          </w:tcPr>
          <w:p w14:paraId="0FB88D65">
            <w:pPr>
              <w:snapToGrid w:val="0"/>
              <w:jc w:val="center"/>
              <w:rPr>
                <w:rFonts w:hint="eastAsia" w:ascii="宋体" w:hAnsi="宋体" w:eastAsia="宋体" w:cs="宋体"/>
                <w:b/>
                <w:sz w:val="28"/>
                <w:szCs w:val="28"/>
              </w:rPr>
            </w:pPr>
            <w:r>
              <w:rPr>
                <w:rFonts w:hint="eastAsia" w:ascii="宋体" w:hAnsi="宋体" w:eastAsia="宋体" w:cs="宋体"/>
                <w:b/>
                <w:sz w:val="28"/>
                <w:szCs w:val="28"/>
              </w:rPr>
              <w:t>序号</w:t>
            </w:r>
          </w:p>
        </w:tc>
        <w:tc>
          <w:tcPr>
            <w:tcW w:w="1083" w:type="pct"/>
            <w:tcBorders>
              <w:top w:val="single" w:color="auto" w:sz="4" w:space="0"/>
              <w:left w:val="single" w:color="auto" w:sz="4" w:space="0"/>
              <w:bottom w:val="single" w:color="auto" w:sz="4" w:space="0"/>
              <w:right w:val="single" w:color="auto" w:sz="4" w:space="0"/>
            </w:tcBorders>
            <w:vAlign w:val="center"/>
          </w:tcPr>
          <w:p w14:paraId="5E95DAA0">
            <w:pPr>
              <w:snapToGrid w:val="0"/>
              <w:jc w:val="center"/>
              <w:rPr>
                <w:rFonts w:hint="eastAsia" w:ascii="宋体" w:hAnsi="宋体" w:eastAsia="宋体" w:cs="宋体"/>
                <w:b/>
                <w:sz w:val="28"/>
                <w:szCs w:val="28"/>
              </w:rPr>
            </w:pPr>
            <w:r>
              <w:rPr>
                <w:rFonts w:hint="eastAsia" w:ascii="宋体" w:hAnsi="宋体" w:eastAsia="宋体" w:cs="宋体"/>
                <w:b/>
                <w:sz w:val="28"/>
                <w:szCs w:val="28"/>
              </w:rPr>
              <w:t>货物名称</w:t>
            </w:r>
          </w:p>
        </w:tc>
        <w:tc>
          <w:tcPr>
            <w:tcW w:w="3466" w:type="pct"/>
            <w:tcBorders>
              <w:top w:val="single" w:color="auto" w:sz="4" w:space="0"/>
              <w:left w:val="single" w:color="auto" w:sz="4" w:space="0"/>
              <w:bottom w:val="single" w:color="auto" w:sz="4" w:space="0"/>
              <w:right w:val="single" w:color="auto" w:sz="4" w:space="0"/>
            </w:tcBorders>
            <w:vAlign w:val="center"/>
          </w:tcPr>
          <w:p w14:paraId="089D8FC7">
            <w:pPr>
              <w:snapToGrid w:val="0"/>
              <w:jc w:val="center"/>
              <w:rPr>
                <w:rFonts w:hint="eastAsia" w:ascii="宋体" w:hAnsi="宋体" w:eastAsia="宋体" w:cs="宋体"/>
                <w:b/>
                <w:sz w:val="28"/>
                <w:szCs w:val="28"/>
              </w:rPr>
            </w:pPr>
            <w:r>
              <w:rPr>
                <w:rFonts w:hint="eastAsia" w:ascii="宋体" w:hAnsi="宋体" w:eastAsia="宋体" w:cs="宋体"/>
                <w:b/>
                <w:sz w:val="28"/>
                <w:szCs w:val="28"/>
              </w:rPr>
              <w:t>配置清单及技术指标</w:t>
            </w:r>
          </w:p>
        </w:tc>
      </w:tr>
      <w:tr w14:paraId="75EFE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9" w:type="pct"/>
            <w:tcBorders>
              <w:top w:val="single" w:color="auto" w:sz="4" w:space="0"/>
              <w:left w:val="single" w:color="auto" w:sz="4" w:space="0"/>
              <w:bottom w:val="single" w:color="auto" w:sz="4" w:space="0"/>
              <w:right w:val="single" w:color="auto" w:sz="4" w:space="0"/>
            </w:tcBorders>
            <w:vAlign w:val="center"/>
          </w:tcPr>
          <w:p w14:paraId="4BCA2DFD">
            <w:pPr>
              <w:jc w:val="center"/>
              <w:rPr>
                <w:rFonts w:hint="eastAsia" w:ascii="宋体" w:hAnsi="宋体" w:eastAsia="宋体" w:cs="宋体"/>
                <w:sz w:val="28"/>
                <w:szCs w:val="28"/>
              </w:rPr>
            </w:pPr>
          </w:p>
        </w:tc>
        <w:tc>
          <w:tcPr>
            <w:tcW w:w="1083" w:type="pct"/>
            <w:tcBorders>
              <w:top w:val="single" w:color="auto" w:sz="4" w:space="0"/>
              <w:left w:val="single" w:color="auto" w:sz="4" w:space="0"/>
              <w:bottom w:val="single" w:color="auto" w:sz="4" w:space="0"/>
              <w:right w:val="single" w:color="auto" w:sz="4" w:space="0"/>
            </w:tcBorders>
            <w:vAlign w:val="center"/>
          </w:tcPr>
          <w:p w14:paraId="37B6E110">
            <w:pPr>
              <w:spacing w:line="276" w:lineRule="auto"/>
              <w:jc w:val="center"/>
              <w:rPr>
                <w:rFonts w:hint="eastAsia" w:ascii="宋体" w:hAnsi="宋体" w:eastAsia="宋体" w:cs="宋体"/>
                <w:sz w:val="28"/>
                <w:szCs w:val="28"/>
              </w:rPr>
            </w:pPr>
          </w:p>
        </w:tc>
        <w:tc>
          <w:tcPr>
            <w:tcW w:w="3466" w:type="pct"/>
            <w:tcBorders>
              <w:top w:val="single" w:color="auto" w:sz="4" w:space="0"/>
              <w:left w:val="single" w:color="auto" w:sz="4" w:space="0"/>
              <w:bottom w:val="single" w:color="auto" w:sz="4" w:space="0"/>
              <w:right w:val="single" w:color="auto" w:sz="4" w:space="0"/>
            </w:tcBorders>
          </w:tcPr>
          <w:p w14:paraId="3B49BBB3">
            <w:pPr>
              <w:tabs>
                <w:tab w:val="left" w:pos="430"/>
                <w:tab w:val="left" w:pos="680"/>
              </w:tabs>
              <w:snapToGrid w:val="0"/>
              <w:spacing w:line="320" w:lineRule="exact"/>
              <w:rPr>
                <w:rFonts w:hint="eastAsia" w:ascii="宋体" w:hAnsi="宋体" w:eastAsia="宋体" w:cs="宋体"/>
                <w:spacing w:val="-2"/>
                <w:sz w:val="28"/>
                <w:szCs w:val="28"/>
              </w:rPr>
            </w:pPr>
          </w:p>
        </w:tc>
      </w:tr>
      <w:tr w14:paraId="390BF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9" w:type="pct"/>
            <w:tcBorders>
              <w:top w:val="single" w:color="auto" w:sz="4" w:space="0"/>
              <w:left w:val="single" w:color="auto" w:sz="4" w:space="0"/>
              <w:bottom w:val="single" w:color="auto" w:sz="4" w:space="0"/>
              <w:right w:val="single" w:color="auto" w:sz="4" w:space="0"/>
            </w:tcBorders>
            <w:vAlign w:val="center"/>
          </w:tcPr>
          <w:p w14:paraId="04B24987">
            <w:pPr>
              <w:jc w:val="center"/>
              <w:rPr>
                <w:rFonts w:hint="eastAsia" w:ascii="宋体" w:hAnsi="宋体" w:eastAsia="宋体" w:cs="宋体"/>
                <w:sz w:val="28"/>
                <w:szCs w:val="28"/>
              </w:rPr>
            </w:pPr>
          </w:p>
        </w:tc>
        <w:tc>
          <w:tcPr>
            <w:tcW w:w="1083" w:type="pct"/>
            <w:tcBorders>
              <w:top w:val="single" w:color="auto" w:sz="4" w:space="0"/>
              <w:left w:val="single" w:color="auto" w:sz="4" w:space="0"/>
              <w:bottom w:val="single" w:color="auto" w:sz="4" w:space="0"/>
              <w:right w:val="single" w:color="auto" w:sz="4" w:space="0"/>
            </w:tcBorders>
            <w:vAlign w:val="center"/>
          </w:tcPr>
          <w:p w14:paraId="02DC2316">
            <w:pPr>
              <w:spacing w:line="276" w:lineRule="auto"/>
              <w:jc w:val="center"/>
              <w:rPr>
                <w:rFonts w:hint="eastAsia" w:ascii="宋体" w:hAnsi="宋体" w:eastAsia="宋体" w:cs="宋体"/>
                <w:sz w:val="28"/>
                <w:szCs w:val="28"/>
              </w:rPr>
            </w:pPr>
          </w:p>
        </w:tc>
        <w:tc>
          <w:tcPr>
            <w:tcW w:w="3466" w:type="pct"/>
            <w:tcBorders>
              <w:top w:val="single" w:color="auto" w:sz="4" w:space="0"/>
              <w:left w:val="single" w:color="auto" w:sz="4" w:space="0"/>
              <w:bottom w:val="single" w:color="auto" w:sz="4" w:space="0"/>
              <w:right w:val="single" w:color="auto" w:sz="4" w:space="0"/>
            </w:tcBorders>
          </w:tcPr>
          <w:p w14:paraId="66314303">
            <w:pPr>
              <w:tabs>
                <w:tab w:val="left" w:pos="430"/>
                <w:tab w:val="left" w:pos="680"/>
              </w:tabs>
              <w:snapToGrid w:val="0"/>
              <w:spacing w:line="320" w:lineRule="exact"/>
              <w:rPr>
                <w:rFonts w:hint="eastAsia" w:ascii="宋体" w:hAnsi="宋体" w:eastAsia="宋体" w:cs="宋体"/>
                <w:spacing w:val="-2"/>
                <w:sz w:val="28"/>
                <w:szCs w:val="28"/>
              </w:rPr>
            </w:pPr>
          </w:p>
        </w:tc>
      </w:tr>
      <w:tr w14:paraId="38835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9" w:type="pct"/>
            <w:tcBorders>
              <w:top w:val="single" w:color="auto" w:sz="4" w:space="0"/>
              <w:left w:val="single" w:color="auto" w:sz="4" w:space="0"/>
              <w:bottom w:val="single" w:color="auto" w:sz="4" w:space="0"/>
              <w:right w:val="single" w:color="auto" w:sz="4" w:space="0"/>
            </w:tcBorders>
            <w:vAlign w:val="center"/>
          </w:tcPr>
          <w:p w14:paraId="4689D818">
            <w:pPr>
              <w:jc w:val="center"/>
              <w:rPr>
                <w:rFonts w:hint="eastAsia" w:ascii="宋体" w:hAnsi="宋体" w:eastAsia="宋体" w:cs="宋体"/>
                <w:sz w:val="28"/>
                <w:szCs w:val="28"/>
              </w:rPr>
            </w:pPr>
          </w:p>
        </w:tc>
        <w:tc>
          <w:tcPr>
            <w:tcW w:w="1083" w:type="pct"/>
            <w:tcBorders>
              <w:top w:val="single" w:color="auto" w:sz="4" w:space="0"/>
              <w:left w:val="single" w:color="auto" w:sz="4" w:space="0"/>
              <w:bottom w:val="single" w:color="auto" w:sz="4" w:space="0"/>
              <w:right w:val="single" w:color="auto" w:sz="4" w:space="0"/>
            </w:tcBorders>
            <w:vAlign w:val="center"/>
          </w:tcPr>
          <w:p w14:paraId="61B4D492">
            <w:pPr>
              <w:spacing w:line="276" w:lineRule="auto"/>
              <w:jc w:val="center"/>
              <w:rPr>
                <w:rFonts w:hint="eastAsia" w:ascii="宋体" w:hAnsi="宋体" w:eastAsia="宋体" w:cs="宋体"/>
                <w:sz w:val="28"/>
                <w:szCs w:val="28"/>
              </w:rPr>
            </w:pPr>
          </w:p>
        </w:tc>
        <w:tc>
          <w:tcPr>
            <w:tcW w:w="3466" w:type="pct"/>
            <w:tcBorders>
              <w:top w:val="single" w:color="auto" w:sz="4" w:space="0"/>
              <w:left w:val="single" w:color="auto" w:sz="4" w:space="0"/>
              <w:bottom w:val="single" w:color="auto" w:sz="4" w:space="0"/>
              <w:right w:val="single" w:color="auto" w:sz="4" w:space="0"/>
            </w:tcBorders>
          </w:tcPr>
          <w:p w14:paraId="7B8E3F78">
            <w:pPr>
              <w:tabs>
                <w:tab w:val="left" w:pos="430"/>
                <w:tab w:val="left" w:pos="680"/>
              </w:tabs>
              <w:snapToGrid w:val="0"/>
              <w:spacing w:line="320" w:lineRule="exact"/>
              <w:rPr>
                <w:rFonts w:hint="eastAsia" w:ascii="宋体" w:hAnsi="宋体" w:eastAsia="宋体" w:cs="宋体"/>
                <w:spacing w:val="-2"/>
                <w:sz w:val="28"/>
                <w:szCs w:val="28"/>
              </w:rPr>
            </w:pPr>
          </w:p>
        </w:tc>
      </w:tr>
    </w:tbl>
    <w:p w14:paraId="64AEC2D1">
      <w:pPr>
        <w:rPr>
          <w:sz w:val="24"/>
          <w:lang w:eastAsia="zh-Hans"/>
        </w:rPr>
      </w:pPr>
      <w:r>
        <w:rPr>
          <w:rFonts w:hint="eastAsia" w:ascii="宋体" w:hAnsi="宋体" w:eastAsia="宋体" w:cs="宋体"/>
          <w:i/>
          <w:iCs/>
          <w:sz w:val="28"/>
          <w:szCs w:val="28"/>
        </w:rPr>
        <w:t>**以下空白**</w:t>
      </w:r>
    </w:p>
    <w:p w14:paraId="71E36F89">
      <w:pPr>
        <w:rPr>
          <w:color w:val="auto"/>
          <w:highlight w:val="none"/>
        </w:rPr>
      </w:pPr>
      <w:bookmarkStart w:id="2" w:name="_GoBack"/>
      <w:bookmarkEnd w:id="2"/>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99168C"/>
    <w:multiLevelType w:val="multilevel"/>
    <w:tmpl w:val="1A99168C"/>
    <w:lvl w:ilvl="0" w:tentative="0">
      <w:start w:val="2"/>
      <w:numFmt w:val="decimal"/>
      <w:lvlText w:val="%1、"/>
      <w:lvlJc w:val="left"/>
      <w:pPr>
        <w:tabs>
          <w:tab w:val="left" w:pos="772"/>
        </w:tabs>
        <w:ind w:left="772" w:hanging="360"/>
      </w:pPr>
    </w:lvl>
    <w:lvl w:ilvl="1" w:tentative="0">
      <w:start w:val="1"/>
      <w:numFmt w:val="lowerLetter"/>
      <w:lvlText w:val="%2)"/>
      <w:lvlJc w:val="left"/>
      <w:pPr>
        <w:tabs>
          <w:tab w:val="left" w:pos="1252"/>
        </w:tabs>
        <w:ind w:left="1252" w:hanging="420"/>
      </w:pPr>
    </w:lvl>
    <w:lvl w:ilvl="2" w:tentative="0">
      <w:start w:val="1"/>
      <w:numFmt w:val="lowerRoman"/>
      <w:lvlText w:val="%3."/>
      <w:lvlJc w:val="right"/>
      <w:pPr>
        <w:tabs>
          <w:tab w:val="left" w:pos="1672"/>
        </w:tabs>
        <w:ind w:left="1672" w:hanging="420"/>
      </w:pPr>
    </w:lvl>
    <w:lvl w:ilvl="3" w:tentative="0">
      <w:start w:val="1"/>
      <w:numFmt w:val="decimal"/>
      <w:lvlText w:val="%4."/>
      <w:lvlJc w:val="left"/>
      <w:pPr>
        <w:tabs>
          <w:tab w:val="left" w:pos="2092"/>
        </w:tabs>
        <w:ind w:left="2092" w:hanging="420"/>
      </w:pPr>
    </w:lvl>
    <w:lvl w:ilvl="4" w:tentative="0">
      <w:start w:val="1"/>
      <w:numFmt w:val="lowerLetter"/>
      <w:lvlText w:val="%5)"/>
      <w:lvlJc w:val="left"/>
      <w:pPr>
        <w:tabs>
          <w:tab w:val="left" w:pos="2512"/>
        </w:tabs>
        <w:ind w:left="2512" w:hanging="420"/>
      </w:pPr>
    </w:lvl>
    <w:lvl w:ilvl="5" w:tentative="0">
      <w:start w:val="1"/>
      <w:numFmt w:val="lowerRoman"/>
      <w:lvlText w:val="%6."/>
      <w:lvlJc w:val="right"/>
      <w:pPr>
        <w:tabs>
          <w:tab w:val="left" w:pos="2932"/>
        </w:tabs>
        <w:ind w:left="2932" w:hanging="420"/>
      </w:pPr>
    </w:lvl>
    <w:lvl w:ilvl="6" w:tentative="0">
      <w:start w:val="1"/>
      <w:numFmt w:val="decimal"/>
      <w:lvlText w:val="%7."/>
      <w:lvlJc w:val="left"/>
      <w:pPr>
        <w:tabs>
          <w:tab w:val="left" w:pos="3352"/>
        </w:tabs>
        <w:ind w:left="3352" w:hanging="420"/>
      </w:pPr>
    </w:lvl>
    <w:lvl w:ilvl="7" w:tentative="0">
      <w:start w:val="1"/>
      <w:numFmt w:val="lowerLetter"/>
      <w:lvlText w:val="%8)"/>
      <w:lvlJc w:val="left"/>
      <w:pPr>
        <w:tabs>
          <w:tab w:val="left" w:pos="3772"/>
        </w:tabs>
        <w:ind w:left="3772" w:hanging="420"/>
      </w:pPr>
    </w:lvl>
    <w:lvl w:ilvl="8" w:tentative="0">
      <w:start w:val="1"/>
      <w:numFmt w:val="lowerRoman"/>
      <w:lvlText w:val="%9."/>
      <w:lvlJc w:val="right"/>
      <w:pPr>
        <w:tabs>
          <w:tab w:val="left" w:pos="4192"/>
        </w:tabs>
        <w:ind w:left="4192" w:hanging="42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64F0079"/>
    <w:rsid w:val="36DE2219"/>
    <w:rsid w:val="403B217E"/>
    <w:rsid w:val="4AA86BE1"/>
    <w:rsid w:val="58BC239B"/>
    <w:rsid w:val="64DF3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2">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3">
    <w:name w:val="heading 3"/>
    <w:basedOn w:val="1"/>
    <w:next w:val="1"/>
    <w:qFormat/>
    <w:uiPriority w:val="1"/>
    <w:pPr>
      <w:ind w:left="726" w:hanging="489"/>
      <w:outlineLvl w:val="2"/>
    </w:pPr>
    <w:rPr>
      <w:rFonts w:ascii="宋体" w:hAnsi="宋体" w:eastAsia="宋体" w:cs="宋体"/>
      <w:sz w:val="28"/>
      <w:szCs w:val="28"/>
    </w:rPr>
  </w:style>
  <w:style w:type="paragraph" w:styleId="4">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ordWrap/>
      <w:autoSpaceDE/>
      <w:autoSpaceDN/>
      <w:ind w:firstLine="420" w:firstLineChars="200"/>
    </w:pPr>
    <w:rPr>
      <w:rFonts w:ascii="Times New Roman"/>
      <w:sz w:val="21"/>
    </w:rPr>
  </w:style>
  <w:style w:type="paragraph" w:styleId="6">
    <w:name w:val="Body Text"/>
    <w:basedOn w:val="1"/>
    <w:qFormat/>
    <w:uiPriority w:val="1"/>
    <w:rPr>
      <w:rFonts w:ascii="宋体" w:hAnsi="宋体" w:eastAsia="宋体" w:cs="宋体"/>
      <w:sz w:val="21"/>
      <w:szCs w:val="21"/>
    </w:rPr>
  </w:style>
  <w:style w:type="paragraph" w:styleId="7">
    <w:name w:val="Plain Text"/>
    <w:basedOn w:val="1"/>
    <w:qFormat/>
    <w:uiPriority w:val="0"/>
    <w:rPr>
      <w:rFonts w:ascii="宋体" w:hAnsi="Courier New"/>
    </w:rPr>
  </w:style>
  <w:style w:type="paragraph" w:styleId="8">
    <w:name w:val="Body Text Indent 2"/>
    <w:basedOn w:val="1"/>
    <w:qFormat/>
    <w:uiPriority w:val="0"/>
    <w:pPr>
      <w:ind w:left="555"/>
    </w:pPr>
    <w:rPr>
      <w:sz w:val="28"/>
      <w:szCs w:val="20"/>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4">
    <w:name w:val="List Paragraph"/>
    <w:basedOn w:val="1"/>
    <w:qFormat/>
    <w:uiPriority w:val="1"/>
    <w:pPr>
      <w:ind w:left="100" w:firstLine="420"/>
    </w:pPr>
    <w:rPr>
      <w:rFonts w:ascii="宋体" w:hAnsi="宋体" w:eastAsia="宋体" w:cs="宋体"/>
    </w:rPr>
  </w:style>
  <w:style w:type="paragraph" w:customStyle="1" w:styleId="15">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2901</Words>
  <Characters>3122</Characters>
  <Lines>0</Lines>
  <Paragraphs>0</Paragraphs>
  <TotalTime>0</TotalTime>
  <ScaleCrop>false</ScaleCrop>
  <LinksUpToDate>false</LinksUpToDate>
  <CharactersWithSpaces>3216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acer</cp:lastModifiedBy>
  <dcterms:modified xsi:type="dcterms:W3CDTF">2025-08-14T08:37:22Z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1C5C188EE19943F0A7F30E53E3656961_12</vt:lpwstr>
  </property>
  <property fmtid="{D5CDD505-2E9C-101B-9397-08002B2CF9AE}" pid="4" name="KSOTemplateDocerSaveRecord">
    <vt:lpwstr>eyJoZGlkIjoiZGY4NjQ1YTM1ODdjNWViOTZlZDJjZDg3OTRiOWIxYTgiLCJ1c2VySWQiOiIzMzkyNTMxMTAifQ==</vt:lpwstr>
  </property>
</Properties>
</file>