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版本号：HQX-2025(046)20250815001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宝鸡监狱老残犯监区改造工程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HQX-2025(046)</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陕西恒谦行工程管理咨询有限公司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陕西恒谦行工程管理咨询有限公司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宝鸡监狱老残犯监区改造工程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HQX-2025(046)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宝鸡监狱老残犯监区改造工程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宝鸡监狱老残犯监区改造工程。施工内容:铲除原监区墙面及天棚；新做乳胶漆墙面及环保型乳胶漆(半亚）天棚；新做PVC卷材地面，水泥自流平地面；新做SBS防水卷材屋面，EPS保温板屋面；更换监舍防盗门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采购包1（宝鸡监狱老残犯监区改造工程）：属于专门面向中小企业采购。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3、供应商须具有健全的财务会计制度：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6、具有依法缴纳社会保障资金的良好记录：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7、没有重大违法记录的书面声明：提供参加本次政府采购活动前三年内在经营活动中没有重大违法记录的书面声明，供应商需在项目电子化交易系统中按要求提供证明资料并进行电子签章；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8、供应商施工资质要求：供应商须具备【建筑工程】施工总承包三级及以上资质，或【建筑装修装饰工程】专业承包二级及以上资质并具有建设行政主管部门核发的有效安全生产许可证；供应商需在项目电子化交易系统中按要求提供证明资料并进行电子签章；</w:t>
      </w:r>
    </w:p>
    <w:p>
      <w:pPr>
        <w:pStyle w:val="null3"/>
      </w:pPr>
      <w:r>
        <w:rPr>
          <w:rFonts w:ascii="仿宋_GB2312" w:hAnsi="仿宋_GB2312" w:cs="仿宋_GB2312" w:eastAsia="仿宋_GB2312"/>
        </w:rPr>
        <w:t>9、拟派项目经理要求：拟派项目经理具有【建筑工程】专业二级及以上注册建造师资格，具有合格有效的安全生产考核合格证（B证），且无在建项目，供应商需在项目电子化交易系统中按要求提供证明资料并进行电子签章；</w:t>
      </w:r>
    </w:p>
    <w:p>
      <w:pPr>
        <w:pStyle w:val="null3"/>
      </w:pPr>
      <w:r>
        <w:rPr>
          <w:rFonts w:ascii="仿宋_GB2312" w:hAnsi="仿宋_GB2312" w:cs="仿宋_GB2312" w:eastAsia="仿宋_GB2312"/>
        </w:rPr>
        <w:t>10、官方网站可查询：供应商及拟派项目经理须在“陕西省建筑市场监管与诚信信息发布平台”官方网站可查询，供应商需在项目电子化交易系统中按要求提供证明资料并进行电子签章；</w:t>
      </w:r>
    </w:p>
    <w:p>
      <w:pPr>
        <w:pStyle w:val="null3"/>
      </w:pPr>
      <w:r>
        <w:rPr>
          <w:rFonts w:ascii="仿宋_GB2312" w:hAnsi="仿宋_GB2312" w:cs="仿宋_GB2312" w:eastAsia="仿宋_GB2312"/>
        </w:rPr>
        <w:t>11、控股关系：单位负责人为同一人或者存在直接控股、管理关系的不同供应商，不得参加同一合同项下的磋商活动，供应商需在项目电子化交易系统中按要求提供证明资料并进行电子签章；</w:t>
      </w:r>
    </w:p>
    <w:p>
      <w:pPr>
        <w:pStyle w:val="null3"/>
      </w:pPr>
      <w:r>
        <w:rPr>
          <w:rFonts w:ascii="仿宋_GB2312" w:hAnsi="仿宋_GB2312" w:cs="仿宋_GB2312" w:eastAsia="仿宋_GB2312"/>
        </w:rPr>
        <w:t>12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13、非联合体磋商声明：本项目不接受联合体磋商，供应商需在项目电子化交易系统中按要求提供证明资料并进行电子签章。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陕西恒谦行工程管理咨询有限公司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陕西省西咸新区沣西新城沣西国际大厦 1 号楼 1004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马梅、梁乐乐、马青青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开户名称：陕西恒谦行工程管理咨询有限公司</w:t>
            </w:r>
          </w:p>
          <w:p>
            <w:pPr>
              <w:pStyle w:val="null3"/>
            </w:pPr>
            <w:r>
              <w:rPr>
                <w:rFonts w:ascii="仿宋_GB2312" w:hAnsi="仿宋_GB2312" w:cs="仿宋_GB2312" w:eastAsia="仿宋_GB2312"/>
              </w:rPr>
              <w:t>开户银行：中国建设银行股份有限公司咸阳分行</w:t>
            </w:r>
          </w:p>
          <w:p>
            <w:pPr>
              <w:pStyle w:val="null3"/>
            </w:pPr>
            <w:r>
              <w:rPr>
                <w:rFonts w:ascii="仿宋_GB2312" w:hAnsi="仿宋_GB2312" w:cs="仿宋_GB2312" w:eastAsia="仿宋_GB2312"/>
              </w:rPr>
              <w:t>银行账号：61050163530800000695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代理服务费收费标准：代理服务费用收取对象：采购人和成交人 代理服务费收费标准： 本项目招标代理服务费在参照国家有关收费标准国家计委关于印发《招标代理服务收费管理暂行办法》的通知（计价格[2002]1980号）文件的基础上下浮5%计取。 造价咨询费按照关于我省工程造价咨询服务收费标准有关问题的通知陕价行发〔2014〕88号文件下浮5%收取。 采购人承担40%的招标代理服务费与造价咨询费，成交供应商承担60%的招标代理服务费与造价咨询费。成交供应商承担的招标代理服务费与造价咨询费在领取成交通知书时向采购代理机构支付，此费用已包含在投标报价中，采购人不再单独支付。采购人承担的招标代理服务费与造价咨询费在项目完成后向采购代理公司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陕西恒谦行工程管理咨询有限公司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陕西恒谦行工程管理咨询有限公司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陕西恒谦行工程管理咨询有限公司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按照施工合同执行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联系人：马梅、梁乐乐、马青青</w:t>
      </w:r>
    </w:p>
    <w:p>
      <w:pPr>
        <w:pStyle w:val="null3"/>
      </w:pPr>
      <w:r>
        <w:rPr>
          <w:rFonts w:ascii="仿宋_GB2312" w:hAnsi="仿宋_GB2312" w:cs="仿宋_GB2312" w:eastAsia="仿宋_GB2312"/>
        </w:rPr>
        <w:t>联系电话：029-38016903</w:t>
      </w:r>
    </w:p>
    <w:p>
      <w:pPr>
        <w:pStyle w:val="null3"/>
      </w:pPr>
      <w:r>
        <w:rPr>
          <w:rFonts w:ascii="仿宋_GB2312" w:hAnsi="仿宋_GB2312" w:cs="仿宋_GB2312" w:eastAsia="仿宋_GB2312"/>
        </w:rPr>
        <w:t>地址：陕西省西咸新区沣西新城沣西国际大厦 1 号楼 1004 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1,139,932.92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60</w:t>
            </w:r>
            <w:r>
              <w:rPr>
                <w:rFonts w:ascii="仿宋_GB2312" w:hAnsi="仿宋_GB2312" w:cs="仿宋_GB2312" w:eastAsia="仿宋_GB2312"/>
                <w:sz w:val="24"/>
                <w:color w:val="000000"/>
              </w:rPr>
              <w:t>日历天。</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、质量要求：达到国家强制性合格标准。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、缺陷责任期：</w:t>
            </w:r>
            <w:r>
              <w:rPr>
                <w:rFonts w:ascii="仿宋_GB2312" w:hAnsi="仿宋_GB2312" w:cs="仿宋_GB2312" w:eastAsia="仿宋_GB2312"/>
                <w:sz w:val="24"/>
                <w:color w:val="000000"/>
              </w:rPr>
              <w:t>24</w:t>
            </w:r>
            <w:r>
              <w:rPr>
                <w:rFonts w:ascii="仿宋_GB2312" w:hAnsi="仿宋_GB2312" w:cs="仿宋_GB2312" w:eastAsia="仿宋_GB2312"/>
                <w:sz w:val="24"/>
                <w:color w:val="000000"/>
              </w:rPr>
              <w:t>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满足磋商文件、工程量清单等要求。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1、付款方式如下： 1.1 成交人与采购人签订合同后，采购人向成交人支付签订合同价款的30%作为预付款（其预付款中已包含安全文明施工措施费），成交人按采购人要求开具增值税发票； 1.2工程竣工后，采购人向成交人支付签订合同价款的30%作为施工进度款，成交人按采购人要求开具增值税发票； 1.3工程验收合格后，采购人向成交人支付签订合同价款的20%作为施工进度款，成交人按采购人要求开具增值税发票； 1.4工程结算审计后，采购人向成交人支付至结算价款的97% ，扣留3%作为质量保证金，成交人按采购人要求开具增值税发票； 1.5 缺陷责任期满后，采购人向成交供应商退还扣留的质量保证金，成交人按采购人要求开具增值税发票。 2、本项目在电子化交易系统最终磋商报价时，需填报磋商总报价，并在附件上传与最终磋商总报价相对应的已标价工程量清单报价表，已标价工程量清单报价表符合磋商文件要求，此表将作为签订合同的附件。 3、本项目采用固定综合单价方式，工程量据实结算，供应商应充分考虑施工过程中价格的风险因素并包含在此次磋商报价中，若因承包方原因产生额外费用，承包方自行承担。 4、中小企业说明： 本项目专门面向中小企业采购，总体预留比例为100.00%，不再执行价格折扣优惠政策。 5、供应商的磋商总报价不得高于此最高投标限价，否则按照无效标处理。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供应商施工资质要求</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并具有建设行政主管部门核发的有效安全生产许可证；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拟派项目经理具有【建筑工程】专业二级及以上注册建造师资格，具有合格有效的安全生产考核合格证（B证），且无在建项目，供应商需在项目电子化交易系统中按要求提供证明资料并进行电子签章；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官方网站可查询</w:t>
            </w:r>
          </w:p>
        </w:tc>
        <w:tc>
          <w:tcPr>
            <w:tcW w:type="dxa" w:w="3322"/>
          </w:tcPr>
          <w:p>
            <w:pPr>
              <w:pStyle w:val="null3"/>
            </w:pPr>
            <w:r>
              <w:rPr>
                <w:rFonts w:ascii="仿宋_GB2312" w:hAnsi="仿宋_GB2312" w:cs="仿宋_GB2312" w:eastAsia="仿宋_GB2312"/>
              </w:rPr>
              <w:t>供应商及拟派项目经理须在“陕西省建筑市场监管与诚信信息发布平台”官方网站可查询，供应商需在项目电子化交易系统中按要求提供证明资料并进行电子签章；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单位负责人为同一人或者存在直接控股、管理关系的不同供应商，不得参加同一合同项下的磋商活动，供应商需在项目电子化交易系统中按要求提供证明资料并进行电子签章；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响应文件需在项目电子化交易系统中按竞争性磋商文件要求签署并进行电子签章。</w:t>
            </w:r>
          </w:p>
        </w:tc>
        <w:tc>
          <w:tcPr>
            <w:tcW w:type="dxa" w:w="1661"/>
          </w:tcPr>
          <w:p>
            <w:pPr>
              <w:pStyle w:val="null3"/>
            </w:pPr>
            <w:r>
              <w:rPr>
                <w:rFonts w:ascii="仿宋_GB2312" w:hAnsi="仿宋_GB2312" w:cs="仿宋_GB2312" w:eastAsia="仿宋_GB2312"/>
              </w:rPr>
              <w:t>响应文件封面 已标价工程量清单 报价函 商务、技术偏离表.docx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供应商每次报价只能有一个有效报价，原则上二次报价为最后报价，且一次报价不得超过最高投标限价，二次报价不得超过一次报价和最高投标限价。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供应商应按照竞争性磋商文件的规定缴纳磋商保证金。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 商务、技术偏离表.docx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响应文件中未含有采购人不能接受的附加条件的或其他情形。</w:t>
            </w:r>
          </w:p>
        </w:tc>
        <w:tc>
          <w:tcPr>
            <w:tcW w:type="dxa" w:w="1661"/>
          </w:tcPr>
          <w:p>
            <w:pPr>
              <w:pStyle w:val="null3"/>
            </w:pPr>
            <w:r>
              <w:rPr>
                <w:rFonts w:ascii="仿宋_GB2312" w:hAnsi="仿宋_GB2312" w:cs="仿宋_GB2312" w:eastAsia="仿宋_GB2312"/>
              </w:rPr>
              <w:t>响应文件封面 供应商认为需要提交的其他资料.docx 报价函 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评审得分相同的，按照最后报价由低到高的顺序推荐。评审得分且最后报价相同的，按照施工方案、近年完成类似项目业绩、项目组人员构成单项得分高者优先，决定中标候选顺序。</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近年完成类似项目业绩</w:t>
            </w:r>
          </w:p>
        </w:tc>
        <w:tc>
          <w:tcPr>
            <w:tcW w:type="dxa" w:w="2492"/>
          </w:tcPr>
          <w:p>
            <w:pPr>
              <w:pStyle w:val="null3"/>
            </w:pPr>
            <w:r>
              <w:rPr>
                <w:rFonts w:ascii="仿宋_GB2312" w:hAnsi="仿宋_GB2312" w:cs="仿宋_GB2312" w:eastAsia="仿宋_GB2312"/>
              </w:rPr>
              <w:t>供应商提供自2022年8月至本项目响应文件递交截止时间前的类似项目业绩证明材料，每提供1项得1分，最多得3分。未提供的不得分。 评审依据：提供中标/成交通知书或合同协议书的复印件或扫描件加盖公章，时间以合同签订时间为准。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企业近年完成的类似项目业绩汇总表.docx</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拟派项目经理具备高级职称得2分；中级职称得1分；其余情况不得分。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供应商提供自2022年8月至本项目响应文件递交截止时间前类似项目业绩证明材料，每提供1项得1分，最多得2分。未提供的不得分。 评审依据：提供中标/成交通知书或合同协议书的复印件或扫描件加盖公章，时间以合同签订时间为准。上述证明文件中须体现项目经理的姓名。（拟派项目经理业绩与企业业绩可重复计分）。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p>
            <w:pPr>
              <w:pStyle w:val="null3"/>
            </w:pPr>
            <w:r>
              <w:rPr>
                <w:rFonts w:ascii="仿宋_GB2312" w:hAnsi="仿宋_GB2312" w:cs="仿宋_GB2312" w:eastAsia="仿宋_GB2312"/>
              </w:rPr>
              <w:t>企业近年完成的类似项目业绩汇总表.docx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1）项目部组织机构设置合理，配备了相应的管理人员，管理人员包含项目经理、技术负责人、施工员、质量员、安全员、材料员、资料员、财务人员，管理人员均具有相应的岗位证书，满足以上配置要求的得8分； 2）管理人员至少有 1名项目经理、1名技术负责人、1名质量员，1名安全员，其他管理人员（施工员、材料员、资料员、财务人员）缺少一个在满分的基础上扣1分；评审依据：提供身份证和相应岗位证书，评审时以供应商提供加盖公章的证书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项目部人员岗位职责</w:t>
            </w:r>
          </w:p>
        </w:tc>
        <w:tc>
          <w:tcPr>
            <w:tcW w:type="dxa" w:w="2492"/>
          </w:tcPr>
          <w:p>
            <w:pPr>
              <w:pStyle w:val="null3"/>
            </w:pPr>
            <w:r>
              <w:rPr>
                <w:rFonts w:ascii="仿宋_GB2312" w:hAnsi="仿宋_GB2312" w:cs="仿宋_GB2312" w:eastAsia="仿宋_GB2312"/>
              </w:rPr>
              <w:t>岗位职责明确，得(2.5-5]分； 岗位职责模糊，得(0-2.5]分；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方案全面、具体、可行、科学合理，得(10-15]分； 方案较为合理、规范，得(5-10]分； 方案简单，得(0-5]分。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施工进度及确保工期的技术组织措施</w:t>
            </w:r>
          </w:p>
        </w:tc>
        <w:tc>
          <w:tcPr>
            <w:tcW w:type="dxa" w:w="2492"/>
          </w:tcPr>
          <w:p>
            <w:pPr>
              <w:pStyle w:val="null3"/>
            </w:pPr>
            <w:r>
              <w:rPr>
                <w:rFonts w:ascii="仿宋_GB2312" w:hAnsi="仿宋_GB2312" w:cs="仿宋_GB2312" w:eastAsia="仿宋_GB2312"/>
              </w:rPr>
              <w:t>进度计划全面、科学、合理，措施内容科学具体，有针对性，得(3-6]分； 进度计划不够全面、科学、合理，措施内容不够具体，得(0-3]分；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措施内容科学可行，有针对性且内容丰富，得(5-10]分； 措施内容较为科学可行，有针对性，得(0-5]分；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措施内容全面、具体，得(4-7]分； 措施内容不够全面，得(0-4]分；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措施内容科学具体，有针对性，得(3-5]分； 措施内容不够具体，得(0-3]分。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劳动力安排计划情况表</w:t>
            </w:r>
          </w:p>
        </w:tc>
        <w:tc>
          <w:tcPr>
            <w:tcW w:type="dxa" w:w="2492"/>
          </w:tcPr>
          <w:p>
            <w:pPr>
              <w:pStyle w:val="null3"/>
            </w:pPr>
            <w:r>
              <w:rPr>
                <w:rFonts w:ascii="仿宋_GB2312" w:hAnsi="仿宋_GB2312" w:cs="仿宋_GB2312" w:eastAsia="仿宋_GB2312"/>
              </w:rPr>
              <w:t>劳动力安排计划等全面、科学、合理，得(1.5-3]分； 劳动力安排计划等不够全面、科学、合理，得(0-1.5]分；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施工机械配备全面、具体、可行、科学合理，得(2-4]分； 施工机械配备简单，得(0-2]分。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 磋商报价得分=（评审基准价/最后磋商总报价）×30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详见附件：企业近年完成的类似项目业绩汇总表.docx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详见附件：项目组人员构成汇总表.docx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