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FB4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p>
    <w:p w14:paraId="0BDFEE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p>
    <w:p w14:paraId="12C23B1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p>
    <w:p w14:paraId="0FC061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r>
        <w:rPr>
          <w:rFonts w:hint="eastAsia" w:ascii="仿宋" w:hAnsi="仿宋" w:eastAsia="仿宋" w:cs="仿宋"/>
          <w:b/>
          <w:bCs/>
          <w:color w:val="auto"/>
          <w:kern w:val="0"/>
          <w:sz w:val="48"/>
          <w:szCs w:val="48"/>
          <w:highlight w:val="none"/>
          <w:lang w:eastAsia="zh-CN"/>
        </w:rPr>
        <w:t>西北妇女儿童医院</w:t>
      </w:r>
    </w:p>
    <w:p w14:paraId="5A931B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48"/>
          <w:szCs w:val="48"/>
          <w:highlight w:val="none"/>
          <w:lang w:eastAsia="zh-CN"/>
        </w:rPr>
      </w:pPr>
      <w:r>
        <w:rPr>
          <w:rFonts w:hint="eastAsia" w:ascii="仿宋" w:hAnsi="仿宋" w:eastAsia="仿宋" w:cs="仿宋"/>
          <w:b/>
          <w:bCs/>
          <w:color w:val="auto"/>
          <w:kern w:val="0"/>
          <w:sz w:val="48"/>
          <w:szCs w:val="48"/>
          <w:highlight w:val="none"/>
          <w:lang w:eastAsia="zh-CN"/>
        </w:rPr>
        <w:t>两院区中央空调外包服务合同</w:t>
      </w:r>
    </w:p>
    <w:p w14:paraId="68233BE5">
      <w:pPr>
        <w:jc w:val="center"/>
        <w:rPr>
          <w:rFonts w:hint="eastAsia" w:ascii="仿宋" w:hAnsi="仿宋" w:eastAsia="仿宋" w:cs="仿宋"/>
          <w:b/>
          <w:color w:val="auto"/>
          <w:sz w:val="52"/>
          <w:szCs w:val="52"/>
          <w:highlight w:val="none"/>
        </w:rPr>
      </w:pPr>
    </w:p>
    <w:p w14:paraId="6918F0A6">
      <w:pPr>
        <w:jc w:val="center"/>
        <w:rPr>
          <w:rFonts w:hint="eastAsia" w:ascii="仿宋" w:hAnsi="仿宋" w:eastAsia="仿宋" w:cs="仿宋"/>
          <w:color w:val="auto"/>
          <w:sz w:val="30"/>
          <w:szCs w:val="30"/>
          <w:highlight w:val="none"/>
        </w:rPr>
      </w:pPr>
    </w:p>
    <w:p w14:paraId="69640287">
      <w:pPr>
        <w:pStyle w:val="2"/>
        <w:rPr>
          <w:rFonts w:hint="eastAsia" w:ascii="仿宋" w:hAnsi="仿宋" w:eastAsia="仿宋" w:cs="仿宋"/>
          <w:color w:val="auto"/>
          <w:sz w:val="30"/>
          <w:szCs w:val="30"/>
          <w:highlight w:val="none"/>
        </w:rPr>
      </w:pPr>
    </w:p>
    <w:p w14:paraId="2C46D8C3">
      <w:pPr>
        <w:rPr>
          <w:rFonts w:hint="eastAsia" w:ascii="仿宋" w:hAnsi="仿宋" w:eastAsia="仿宋" w:cs="仿宋"/>
          <w:color w:val="auto"/>
          <w:highlight w:val="none"/>
        </w:rPr>
      </w:pPr>
    </w:p>
    <w:p w14:paraId="17139FC9">
      <w:pPr>
        <w:jc w:val="center"/>
        <w:rPr>
          <w:rFonts w:hint="eastAsia" w:ascii="仿宋" w:hAnsi="仿宋" w:eastAsia="仿宋" w:cs="仿宋"/>
          <w:color w:val="auto"/>
          <w:sz w:val="30"/>
          <w:szCs w:val="30"/>
          <w:highlight w:val="none"/>
        </w:rPr>
      </w:pPr>
    </w:p>
    <w:p w14:paraId="63074594">
      <w:pPr>
        <w:jc w:val="center"/>
        <w:rPr>
          <w:rFonts w:hint="eastAsia" w:ascii="仿宋" w:hAnsi="仿宋" w:eastAsia="仿宋" w:cs="仿宋"/>
          <w:color w:val="auto"/>
          <w:sz w:val="30"/>
          <w:szCs w:val="30"/>
          <w:highlight w:val="none"/>
        </w:rPr>
      </w:pPr>
    </w:p>
    <w:p w14:paraId="3A26A926">
      <w:pPr>
        <w:jc w:val="center"/>
        <w:rPr>
          <w:rFonts w:hint="eastAsia" w:ascii="仿宋" w:hAnsi="仿宋" w:eastAsia="仿宋" w:cs="仿宋"/>
          <w:color w:val="auto"/>
          <w:sz w:val="30"/>
          <w:szCs w:val="30"/>
          <w:highlight w:val="none"/>
        </w:rPr>
      </w:pPr>
    </w:p>
    <w:p w14:paraId="49D610C4">
      <w:pPr>
        <w:jc w:val="center"/>
        <w:rPr>
          <w:rFonts w:hint="eastAsia" w:ascii="仿宋" w:hAnsi="仿宋" w:eastAsia="仿宋" w:cs="仿宋"/>
          <w:color w:val="auto"/>
          <w:sz w:val="30"/>
          <w:szCs w:val="30"/>
          <w:highlight w:val="none"/>
        </w:rPr>
      </w:pPr>
    </w:p>
    <w:p w14:paraId="79344547">
      <w:pPr>
        <w:jc w:val="center"/>
        <w:rPr>
          <w:rFonts w:hint="eastAsia" w:ascii="仿宋" w:hAnsi="仿宋" w:eastAsia="仿宋" w:cs="仿宋"/>
          <w:color w:val="auto"/>
          <w:sz w:val="28"/>
          <w:szCs w:val="28"/>
          <w:highlight w:val="none"/>
        </w:rPr>
      </w:pPr>
    </w:p>
    <w:p w14:paraId="405EE32F">
      <w:pPr>
        <w:jc w:val="center"/>
        <w:rPr>
          <w:rFonts w:hint="eastAsia" w:ascii="仿宋" w:hAnsi="仿宋" w:eastAsia="仿宋" w:cs="仿宋"/>
          <w:color w:val="auto"/>
          <w:sz w:val="30"/>
          <w:szCs w:val="30"/>
          <w:highlight w:val="none"/>
        </w:rPr>
      </w:pPr>
    </w:p>
    <w:p w14:paraId="005A7E37">
      <w:pPr>
        <w:jc w:val="center"/>
        <w:rPr>
          <w:rFonts w:hint="eastAsia" w:ascii="仿宋" w:hAnsi="仿宋" w:eastAsia="仿宋" w:cs="仿宋"/>
          <w:color w:val="auto"/>
          <w:sz w:val="30"/>
          <w:szCs w:val="30"/>
          <w:highlight w:val="none"/>
        </w:rPr>
      </w:pPr>
    </w:p>
    <w:p w14:paraId="534FB71D">
      <w:pPr>
        <w:spacing w:line="360" w:lineRule="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br w:type="textWrapping"/>
      </w:r>
    </w:p>
    <w:p w14:paraId="6583CED6">
      <w:pPr>
        <w:pStyle w:val="2"/>
        <w:rPr>
          <w:rFonts w:hint="eastAsia" w:ascii="仿宋" w:hAnsi="仿宋" w:eastAsia="仿宋" w:cs="仿宋"/>
          <w:color w:val="auto"/>
          <w:sz w:val="32"/>
          <w:szCs w:val="32"/>
          <w:highlight w:val="none"/>
        </w:rPr>
      </w:pPr>
    </w:p>
    <w:p w14:paraId="014D1E0D">
      <w:pPr>
        <w:rPr>
          <w:rFonts w:hint="eastAsia" w:ascii="仿宋" w:hAnsi="仿宋" w:eastAsia="仿宋" w:cs="仿宋"/>
          <w:color w:val="auto"/>
          <w:sz w:val="32"/>
          <w:szCs w:val="32"/>
          <w:highlight w:val="none"/>
        </w:rPr>
      </w:pPr>
    </w:p>
    <w:p w14:paraId="54B35AAB">
      <w:pPr>
        <w:pStyle w:val="2"/>
        <w:rPr>
          <w:rFonts w:hint="eastAsia"/>
        </w:rPr>
      </w:pPr>
    </w:p>
    <w:p w14:paraId="065E7CF7">
      <w:pPr>
        <w:spacing w:line="360" w:lineRule="auto"/>
        <w:ind w:firstLine="567"/>
        <w:rPr>
          <w:rFonts w:hint="eastAsia" w:ascii="仿宋" w:hAnsi="仿宋" w:eastAsia="仿宋" w:cs="仿宋"/>
          <w:color w:val="auto"/>
          <w:sz w:val="32"/>
          <w:szCs w:val="32"/>
          <w:highlight w:val="none"/>
        </w:rPr>
      </w:pPr>
    </w:p>
    <w:p w14:paraId="3A68C9B8">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甲  方：西北妇女儿童医院 </w:t>
      </w:r>
    </w:p>
    <w:p w14:paraId="5231C921">
      <w:pPr>
        <w:spacing w:line="360" w:lineRule="auto"/>
        <w:ind w:firstLine="567"/>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乙  方：</w:t>
      </w:r>
    </w:p>
    <w:p w14:paraId="306B4314">
      <w:pPr>
        <w:rPr>
          <w:rFonts w:hint="eastAsia" w:ascii="仿宋" w:hAnsi="仿宋" w:eastAsia="仿宋" w:cs="仿宋"/>
          <w:color w:val="auto"/>
          <w:sz w:val="32"/>
          <w:szCs w:val="32"/>
          <w:highlight w:val="none"/>
        </w:rPr>
      </w:pPr>
    </w:p>
    <w:p w14:paraId="548A19EC">
      <w:pPr>
        <w:jc w:val="center"/>
        <w:rPr>
          <w:rFonts w:hint="eastAsia" w:ascii="仿宋" w:hAnsi="仿宋" w:eastAsia="仿宋" w:cs="仿宋"/>
          <w:color w:val="auto"/>
          <w:sz w:val="32"/>
          <w:szCs w:val="32"/>
          <w:highlight w:val="none"/>
        </w:rPr>
      </w:pPr>
    </w:p>
    <w:p w14:paraId="1AF1E56F">
      <w:pPr>
        <w:jc w:val="center"/>
        <w:rPr>
          <w:rFonts w:hint="eastAsia" w:ascii="仿宋" w:hAnsi="仿宋" w:eastAsia="仿宋" w:cs="仿宋"/>
          <w:b/>
          <w:color w:val="auto"/>
          <w:sz w:val="52"/>
          <w:szCs w:val="52"/>
          <w:highlight w:val="none"/>
        </w:rPr>
        <w:sectPr>
          <w:pgSz w:w="11906" w:h="16838"/>
          <w:pgMar w:top="1418" w:right="1418" w:bottom="1418" w:left="1418" w:header="851" w:footer="992" w:gutter="0"/>
          <w:pgBorders>
            <w:top w:val="none" w:sz="0" w:space="0"/>
            <w:left w:val="none" w:sz="0" w:space="0"/>
            <w:bottom w:val="none" w:sz="0" w:space="0"/>
            <w:right w:val="none" w:sz="0" w:space="0"/>
          </w:pgBorders>
          <w:pgNumType w:fmt="numberInDash"/>
          <w:cols w:space="720" w:num="1"/>
          <w:titlePg/>
          <w:docGrid w:linePitch="312" w:charSpace="0"/>
        </w:sectPr>
      </w:pPr>
    </w:p>
    <w:p w14:paraId="4D835D16">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甲方：西北妇女儿童医院</w:t>
      </w:r>
    </w:p>
    <w:p w14:paraId="2464D217">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7AEDEB7C">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依据《中华人民共和国政府采购法》、《中华人民共和国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》及其他有关法律、行政法规，遵循平等、自愿、公平和诚实信用的原则，双方就本</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协</w:t>
      </w:r>
      <w:r>
        <w:rPr>
          <w:rFonts w:hint="eastAsia" w:ascii="仿宋" w:hAnsi="仿宋" w:eastAsia="仿宋" w:cs="仿宋"/>
          <w:color w:val="auto"/>
          <w:sz w:val="24"/>
          <w:szCs w:val="24"/>
          <w:highlight w:val="none"/>
          <w:lang w:val="en-US" w:eastAsia="zh-CN"/>
        </w:rPr>
        <w:t>商一致，订立本合同。</w:t>
      </w:r>
    </w:p>
    <w:p w14:paraId="3E88EDE0">
      <w:pPr>
        <w:pStyle w:val="24"/>
        <w:keepNext w:val="0"/>
        <w:keepLines w:val="0"/>
        <w:pageBreakBefore w:val="0"/>
        <w:widowControl w:val="0"/>
        <w:kinsoku/>
        <w:wordWrap/>
        <w:overflowPunct w:val="0"/>
        <w:topLinePunct w:val="0"/>
        <w:autoSpaceDE/>
        <w:autoSpaceDN/>
        <w:bidi w:val="0"/>
        <w:adjustRightInd/>
        <w:snapToGrid/>
        <w:spacing w:line="460" w:lineRule="exact"/>
        <w:textAlignment w:val="auto"/>
        <w:rPr>
          <w:rFonts w:hint="eastAsia" w:ascii="仿宋" w:hAnsi="仿宋" w:eastAsia="仿宋" w:cs="仿宋"/>
          <w:b/>
          <w:bCs/>
          <w:color w:val="auto"/>
          <w:sz w:val="24"/>
          <w:szCs w:val="24"/>
          <w:highlight w:val="none"/>
          <w:lang w:val="en-US" w:eastAsia="zh-CN"/>
        </w:rPr>
      </w:pPr>
      <w:bookmarkStart w:id="0" w:name="_Toc17778"/>
      <w:r>
        <w:rPr>
          <w:rFonts w:hint="eastAsia" w:ascii="仿宋" w:hAnsi="仿宋" w:eastAsia="仿宋" w:cs="仿宋"/>
          <w:b/>
          <w:bCs/>
          <w:color w:val="auto"/>
          <w:sz w:val="24"/>
          <w:szCs w:val="24"/>
          <w:highlight w:val="none"/>
          <w:lang w:val="en-US" w:eastAsia="zh-CN"/>
        </w:rPr>
        <w:t>一、服务内容</w:t>
      </w:r>
      <w:bookmarkEnd w:id="0"/>
    </w:p>
    <w:p w14:paraId="2B40DF0F">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服务范围</w:t>
      </w:r>
    </w:p>
    <w:p w14:paraId="3901B7F5">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中央空调系统的日常运行和维护；</w:t>
      </w:r>
    </w:p>
    <w:p w14:paraId="5A63E695">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多联机、分体空调日常运行、管理及维护。</w:t>
      </w:r>
    </w:p>
    <w:p w14:paraId="55ED5748">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（二）服务要求</w:t>
      </w:r>
    </w:p>
    <w:p w14:paraId="1847B379">
      <w:pPr>
        <w:spacing w:line="360" w:lineRule="auto"/>
        <w:ind w:right="28"/>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总体要求：</w:t>
      </w:r>
    </w:p>
    <w:p w14:paraId="5930A2D8">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1.负责服务范围内所有项目的值班、运行操作、现场巡检、日常维保等管理工作,配合医院做好相关项目的年检工作，确保空调系统正常运行，并满足医院使用要求,同时又能做好各项节能工作。</w:t>
      </w:r>
    </w:p>
    <w:p w14:paraId="3790DD50">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2.工作人员必须有专业上岗证，具有丰富的技术经验。</w:t>
      </w:r>
    </w:p>
    <w:p w14:paraId="524147D7">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具体要求：</w:t>
      </w:r>
    </w:p>
    <w:p w14:paraId="0F0B70BB">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（1）主要负责中央空调机组、冷却塔等设备的启停和调节,并做好相应的运行记录，建档备案；</w:t>
      </w:r>
    </w:p>
    <w:p w14:paraId="4C16E7B3">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（2）供冷供热运行前设备设施的检查与准备、故障检修和排除工作等；</w:t>
      </w:r>
    </w:p>
    <w:p w14:paraId="3A6F2AC5">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（3）制定运行调节方案和节能措施,根据外界天气变化及时进行空调调节，保证中央空调系统安全、经济、正常运行；</w:t>
      </w:r>
    </w:p>
    <w:p w14:paraId="6A837DE1">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（4）设备维护保养：按设备保养标准进行每日、每周、每季度、每年度维护保养（包括冷水机、所有泵组、冷却塔、水管系统、风管系统、水质管理、组合式空调箱、风机盘管等）。</w:t>
      </w:r>
    </w:p>
    <w:p w14:paraId="56A937EB">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（5）所有的风机盘管、组合式空调机组、风道等设施的日常运行的维护维修工作。每年至少两次风机盘管和末端滤网清洗。完成日常运行保养工作，使所有设备运行处于安全、高效的状态下；</w:t>
      </w:r>
    </w:p>
    <w:p w14:paraId="6FBA31C6">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（6）运营管理服务：空调系统安全管理及监督，提供制冷（热）系统设备的能源计量管理及数据记录分析。</w:t>
      </w:r>
    </w:p>
    <w:p w14:paraId="74AAFD90">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系统设备机房进行管理，提供制冷、采暖运行并保障系统设备在服务期内稳定运行（冷水机、所有泵组、冷却塔、水管系统、风管系统、水质管理、组合式空调箱、风机盘管）；运行管理过程中，夏季室温控制在26℃±2℃，冬季室温控制在20℃±2℃；运行中保证设备效率不低于设备额定能效的90%，服务期满后设备完好，各项性能指标达到标准。</w:t>
      </w:r>
    </w:p>
    <w:p w14:paraId="6B460CB7">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（8）系统水质管理：管道清洗、预膜、保养、缓蚀、阻垢、杀菌、灭藻、日常水质处理、清洗主管路Y型过滤阀。</w:t>
      </w:r>
    </w:p>
    <w:p w14:paraId="010B2F17">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巡查管理：制定巡查管理制度，及时解决项目存在的问题；安排人员每日至少3次巡视系统运行状况；换季期间（4月1日至5月15日；10月1日至11月15日）必须做到：对系统管道进行药物清洗，确保畅通无垢。必须对末端叶轮、过滤网进行除尘处理，并对电机进行检测、维保，确保风机、风柜正常运行。</w:t>
      </w:r>
    </w:p>
    <w:p w14:paraId="58AF89FD">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其他：根据运行情况，对空调系统及其附属设施进行清洁、保养和维护；对冷却、冷冻管道每年至少清洗1次，对末端空调过滤网清洁2次，对主机房消防设备每季度检查，对控制柜内线路每月吸尘1次，对末端风机盘管每年至少清洗两次，保证系统内无粘泥、无锈蚀。</w:t>
      </w:r>
    </w:p>
    <w:p w14:paraId="65E1AE8B">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（11）多联机：末端多联机空调的正常开停机运行以及分体空调维护保养维修工作。</w:t>
      </w:r>
    </w:p>
    <w:p w14:paraId="1CDE9004">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（12）机房值班室24小时专人接听电话，对接收的问题及时分类处理。</w:t>
      </w:r>
    </w:p>
    <w:p w14:paraId="062FA8DC">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（三）服务质量考核</w:t>
      </w:r>
    </w:p>
    <w:p w14:paraId="0182466F">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甲方每月按照《西北妇女儿童医院两院区中央空调维保服务考核办法》(见附件1)对乙方进行综合考核，并做好考核记录。</w:t>
      </w:r>
    </w:p>
    <w:p w14:paraId="321DEB76">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服务期限：</w:t>
      </w:r>
    </w:p>
    <w:tbl>
      <w:tblPr>
        <w:tblStyle w:val="17"/>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608"/>
        <w:gridCol w:w="4784"/>
        <w:gridCol w:w="902"/>
      </w:tblGrid>
      <w:tr w14:paraId="000C7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78F1A5D">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08" w:type="dxa"/>
            <w:tcBorders>
              <w:top w:val="single" w:color="auto" w:sz="4" w:space="0"/>
              <w:left w:val="single" w:color="auto" w:sz="4" w:space="0"/>
              <w:bottom w:val="single" w:color="auto" w:sz="4" w:space="0"/>
              <w:right w:val="single" w:color="auto" w:sz="4" w:space="0"/>
            </w:tcBorders>
            <w:noWrap w:val="0"/>
            <w:vAlign w:val="center"/>
          </w:tcPr>
          <w:p w14:paraId="1E22BCFB">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服务名称</w:t>
            </w:r>
          </w:p>
        </w:tc>
        <w:tc>
          <w:tcPr>
            <w:tcW w:w="4784" w:type="dxa"/>
            <w:tcBorders>
              <w:top w:val="single" w:color="auto" w:sz="4" w:space="0"/>
              <w:left w:val="single" w:color="auto" w:sz="4" w:space="0"/>
              <w:bottom w:val="single" w:color="auto" w:sz="4" w:space="0"/>
              <w:right w:val="single" w:color="auto" w:sz="4" w:space="0"/>
            </w:tcBorders>
            <w:noWrap w:val="0"/>
            <w:vAlign w:val="center"/>
          </w:tcPr>
          <w:p w14:paraId="4C545670">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服务期限</w:t>
            </w:r>
          </w:p>
        </w:tc>
        <w:tc>
          <w:tcPr>
            <w:tcW w:w="902" w:type="dxa"/>
            <w:tcBorders>
              <w:top w:val="single" w:color="auto" w:sz="4" w:space="0"/>
              <w:left w:val="single" w:color="auto" w:sz="4" w:space="0"/>
              <w:bottom w:val="single" w:color="auto" w:sz="4" w:space="0"/>
              <w:right w:val="single" w:color="auto" w:sz="4" w:space="0"/>
            </w:tcBorders>
            <w:noWrap w:val="0"/>
            <w:vAlign w:val="top"/>
          </w:tcPr>
          <w:p w14:paraId="279C084E">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0D307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7665A83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2608" w:type="dxa"/>
            <w:tcBorders>
              <w:top w:val="single" w:color="auto" w:sz="4" w:space="0"/>
              <w:left w:val="single" w:color="auto" w:sz="4" w:space="0"/>
              <w:bottom w:val="single" w:color="auto" w:sz="4" w:space="0"/>
              <w:right w:val="single" w:color="auto" w:sz="4" w:space="0"/>
            </w:tcBorders>
            <w:noWrap w:val="0"/>
            <w:vAlign w:val="center"/>
          </w:tcPr>
          <w:p w14:paraId="724053C5">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西北妇女儿童医院两院区中央空调外包服务</w:t>
            </w:r>
          </w:p>
        </w:tc>
        <w:tc>
          <w:tcPr>
            <w:tcW w:w="4784" w:type="dxa"/>
            <w:tcBorders>
              <w:top w:val="single" w:color="auto" w:sz="4" w:space="0"/>
              <w:left w:val="single" w:color="auto" w:sz="4" w:space="0"/>
              <w:bottom w:val="single" w:color="auto" w:sz="4" w:space="0"/>
              <w:right w:val="single" w:color="auto" w:sz="4" w:space="0"/>
            </w:tcBorders>
            <w:noWrap w:val="0"/>
            <w:vAlign w:val="center"/>
          </w:tcPr>
          <w:p w14:paraId="233A72E1">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服务期一年</w:t>
            </w:r>
          </w:p>
          <w:p w14:paraId="58306D39">
            <w:pPr>
              <w:pStyle w:val="2"/>
              <w:ind w:left="240" w:hanging="240" w:hangingChars="100"/>
              <w:rPr>
                <w:rFonts w:hint="eastAsia" w:ascii="仿宋" w:hAnsi="仿宋" w:eastAsia="仿宋" w:cs="仿宋"/>
                <w:color w:val="auto"/>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自2025年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日至2026年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r>
              <w:rPr>
                <w:rFonts w:hint="eastAsia" w:ascii="仿宋" w:hAnsi="仿宋" w:eastAsia="仿宋" w:cs="仿宋"/>
                <w:color w:val="auto"/>
                <w:sz w:val="24"/>
                <w:szCs w:val="24"/>
                <w:highlight w:val="none"/>
                <w:lang w:eastAsia="zh-CN"/>
              </w:rPr>
              <w:t>）</w:t>
            </w:r>
          </w:p>
        </w:tc>
        <w:tc>
          <w:tcPr>
            <w:tcW w:w="902" w:type="dxa"/>
            <w:tcBorders>
              <w:top w:val="single" w:color="auto" w:sz="4" w:space="0"/>
              <w:left w:val="single" w:color="auto" w:sz="4" w:space="0"/>
              <w:bottom w:val="single" w:color="auto" w:sz="4" w:space="0"/>
              <w:right w:val="single" w:color="auto" w:sz="4" w:space="0"/>
            </w:tcBorders>
            <w:noWrap w:val="0"/>
            <w:vAlign w:val="center"/>
          </w:tcPr>
          <w:p w14:paraId="4FD96158">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center"/>
              <w:textAlignment w:val="auto"/>
              <w:outlineLvl w:val="9"/>
              <w:rPr>
                <w:rFonts w:hint="eastAsia" w:ascii="仿宋" w:hAnsi="仿宋" w:eastAsia="仿宋" w:cs="仿宋"/>
                <w:color w:val="auto"/>
                <w:sz w:val="24"/>
                <w:szCs w:val="24"/>
                <w:highlight w:val="none"/>
              </w:rPr>
            </w:pPr>
          </w:p>
        </w:tc>
      </w:tr>
    </w:tbl>
    <w:p w14:paraId="67AB54B5">
      <w:pPr>
        <w:tabs>
          <w:tab w:val="left" w:pos="480"/>
        </w:tabs>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 xml:space="preserve"> </w:t>
      </w:r>
      <w:bookmarkStart w:id="1" w:name="_Toc11704"/>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、合同价款</w:t>
      </w:r>
      <w:r>
        <w:rPr>
          <w:rFonts w:hint="eastAsia" w:ascii="仿宋" w:hAnsi="仿宋" w:eastAsia="仿宋" w:cs="仿宋"/>
          <w:b/>
          <w:color w:val="auto"/>
          <w:sz w:val="24"/>
          <w:szCs w:val="24"/>
          <w:highlight w:val="none"/>
          <w:lang w:val="en-US" w:eastAsia="zh-CN"/>
        </w:rPr>
        <w:t>及支付方式</w:t>
      </w:r>
      <w:bookmarkEnd w:id="1"/>
    </w:p>
    <w:p w14:paraId="3DB654EC">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合同总价款为（大写）人民币</w:t>
      </w:r>
      <w:r>
        <w:rPr>
          <w:rFonts w:hint="eastAsia" w:ascii="仿宋" w:hAnsi="仿宋" w:eastAsia="仿宋" w:cs="仿宋"/>
          <w:b w:val="0"/>
          <w:color w:val="auto"/>
          <w:spacing w:val="0"/>
          <w:w w:val="100"/>
          <w:kern w:val="0"/>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b w:val="0"/>
          <w:color w:val="auto"/>
          <w:spacing w:val="0"/>
          <w:w w:val="100"/>
          <w:kern w:val="0"/>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E8A02EF">
      <w:pPr>
        <w:pStyle w:val="24"/>
        <w:keepNext w:val="0"/>
        <w:keepLines w:val="0"/>
        <w:pageBreakBefore w:val="0"/>
        <w:widowControl w:val="0"/>
        <w:kinsoku/>
        <w:wordWrap/>
        <w:overflowPunct w:val="0"/>
        <w:topLinePunct w:val="0"/>
        <w:autoSpaceDE/>
        <w:autoSpaceDN/>
        <w:bidi w:val="0"/>
        <w:adjustRightInd/>
        <w:snapToGrid/>
        <w:spacing w:line="460" w:lineRule="exact"/>
        <w:textAlignment w:val="auto"/>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sz w:val="24"/>
          <w:szCs w:val="24"/>
          <w:highlight w:val="none"/>
        </w:rPr>
        <w:t>（二）合同总价包括：完成维保工作内容所需的基本工资、绩效工资、福利、社</w:t>
      </w:r>
      <w:r>
        <w:rPr>
          <w:rFonts w:hint="eastAsia" w:ascii="仿宋" w:hAnsi="仿宋" w:eastAsia="仿宋" w:cs="仿宋"/>
          <w:color w:val="auto"/>
          <w:sz w:val="24"/>
          <w:szCs w:val="24"/>
          <w:highlight w:val="none"/>
          <w:lang w:val="en-US" w:eastAsia="zh-CN"/>
        </w:rPr>
        <w:t>会保险费用、培训、服装、办公费用、利润、税金、政策性文件规定的费用、检测费用（日常免费维修清单-管材院方储备。其他材料、备件，乙方必须建立并严格执行设备的运行安全操作规程。在正常维保的前提下，如设备故障需要维修，设备零部件单次或单个零配件价值1000元以内(含1000元)的设备维修费用由乙方承担，乙方提出可行方案，甲方审核并同意后进行实施;设备零部件单次或单个零配件价值1000元以上的，由乙方提出可行方案及费用，书面报告甲方，甲方组织市场论证，甲方在设备及零配件费用不得高出市场价的基础上，由成甲方负责更换维修。只计算配件材料费，人工费不予计算。</w:t>
      </w:r>
    </w:p>
    <w:p w14:paraId="06C1F02F">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（三）合同总价一次性包死，不受市场价格变化因素的影响。</w:t>
      </w:r>
    </w:p>
    <w:p w14:paraId="31774329">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（四）支付方式：银行转账，按月支付，两院区每月分别考核，根据考核情况支付月服务费用，每次付款前，供应商开具符合税法规定的等额正规发票，采购人以银行转账的方式向供应商支付相应金额的服务费。</w:t>
      </w:r>
    </w:p>
    <w:p w14:paraId="5DE1BBE1">
      <w:pPr>
        <w:tabs>
          <w:tab w:val="left" w:pos="480"/>
        </w:tabs>
        <w:spacing w:line="360" w:lineRule="auto"/>
        <w:rPr>
          <w:rFonts w:hint="eastAsia" w:ascii="仿宋" w:hAnsi="仿宋" w:eastAsia="仿宋" w:cs="仿宋"/>
          <w:b/>
          <w:color w:val="auto"/>
          <w:sz w:val="24"/>
          <w:szCs w:val="24"/>
          <w:highlight w:val="none"/>
          <w:lang w:val="en-US" w:eastAsia="zh-CN"/>
        </w:rPr>
      </w:pPr>
      <w:bookmarkStart w:id="2" w:name="_Toc30678"/>
      <w:r>
        <w:rPr>
          <w:rFonts w:hint="eastAsia" w:ascii="仿宋" w:hAnsi="仿宋" w:eastAsia="仿宋" w:cs="仿宋"/>
          <w:b/>
          <w:color w:val="auto"/>
          <w:sz w:val="24"/>
          <w:szCs w:val="24"/>
          <w:highlight w:val="none"/>
          <w:lang w:val="en-US" w:eastAsia="zh-CN"/>
        </w:rPr>
        <w:t>四、双方的权利和义务</w:t>
      </w:r>
      <w:bookmarkEnd w:id="2"/>
    </w:p>
    <w:p w14:paraId="09D2C705">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（一）甲方的权利和义务</w:t>
      </w:r>
    </w:p>
    <w:p w14:paraId="31DCE804">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有权依据合同约定及招标文件要求对乙方的服务项目进行月、季、年度考核：有关部门每月对后勤服务考核评定，考核方法按《西北妇女儿童医院两院区中央空调维保服务考核办法》（见附件1）执行。如因乙方管理不善未能达到有关议定的服务质量指标，甲方应以书面通知书方式通知乙方，乙方于收到通知后7日内整改，若乙方未能按时整改或是整改达不到甲方预期的效果，甲方可按照《西北妇女儿童医院两院区中央空调维保服务考核办法》（见附件1）进行惩罚。</w:t>
      </w:r>
    </w:p>
    <w:p w14:paraId="599228EA">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2、乙方的年度管理计划需经甲方审议通过。否则，由此造成的一切后果由乙方自行承担。</w:t>
      </w:r>
    </w:p>
    <w:p w14:paraId="46375814">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3、合同执行期间甲方对乙方工作人员不承担安全管理责任。乙方工作人员因履行本合同向甲方主张任何权利的，乙方负责解决，与甲方无关，甲方由此产生任何损失由乙方承担。</w:t>
      </w:r>
    </w:p>
    <w:p w14:paraId="3BE8290E">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4、甲方在本合同生效之日起十个工作日内向乙方提供服务项目相关档案资料，并在乙方服务期满后予以收回。</w:t>
      </w:r>
    </w:p>
    <w:p w14:paraId="1D10CA40">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5、甲方有权向乙方提出具体问题的意见和建议。</w:t>
      </w:r>
    </w:p>
    <w:p w14:paraId="2D6F27AE">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6、甲方有义务向乙方提供办公场所。</w:t>
      </w:r>
    </w:p>
    <w:p w14:paraId="78B55C2A">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7、如甲方认定乙方人员不按合同履行其职责，甲方有权要求乙方更换相关管理人员，且乙方应在五个工作日内更换相关人员。否则，乙方应承担由此给甲方造成的全部损失，并按当月服务费的10%支付违约金。</w:t>
      </w:r>
    </w:p>
    <w:p w14:paraId="68290F51">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（二）乙方权利和义务</w:t>
      </w:r>
    </w:p>
    <w:p w14:paraId="38F69E2F">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1.根据有关法律、法规及本合同的约定，制订各项服务管理办法及实施细则，并报甲方审核通过之后，方可开展各项管理活动。</w:t>
      </w:r>
    </w:p>
    <w:p w14:paraId="2DEBE076">
      <w:pPr>
        <w:pStyle w:val="24"/>
        <w:keepNext w:val="0"/>
        <w:keepLines w:val="0"/>
        <w:pageBreakBefore w:val="0"/>
        <w:kinsoku/>
        <w:wordWrap/>
        <w:topLinePunct w:val="0"/>
        <w:autoSpaceDE/>
        <w:autoSpaceDN/>
        <w:bidi w:val="0"/>
        <w:adjustRightInd/>
        <w:snapToGrid/>
        <w:spacing w:line="460" w:lineRule="exact"/>
        <w:textAlignment w:val="auto"/>
        <w:outlineLvl w:val="2"/>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工作人员应自觉遵守甲方各项规章制度否则，每发现一次，扣除乙方当月服务费用的3%；2个月内累计发现5次的，视乙方根本违约，甲方有权解除合同（合同自书面解除通知到达乙方之日起解除），并按本合同第五条第（二）款之约定承担违约责任。</w:t>
      </w:r>
    </w:p>
    <w:p w14:paraId="0CAD9B2A">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3.因乙方原因给甲方造成损失，乙方应向甲方承担全部赔偿责任。</w:t>
      </w:r>
    </w:p>
    <w:p w14:paraId="407CC820">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4.乙方的机构设置及人员配备、调整应提前7日与甲方协商，并得到甲方的</w:t>
      </w:r>
    </w:p>
    <w:p w14:paraId="7CD4130A">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书面认可后方可实施。否则，由此造成的一切后果由乙方自行承担。</w:t>
      </w:r>
    </w:p>
    <w:p w14:paraId="49983E59">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5.乙方提供所有维修及运行使用的工具。</w:t>
      </w:r>
    </w:p>
    <w:p w14:paraId="569F72BC">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6.乙方提供24小时后勤保障服务工作。</w:t>
      </w:r>
    </w:p>
    <w:p w14:paraId="2B733EA8">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7.乙方接受甲方主管部门及医院相关部门的监督。</w:t>
      </w:r>
    </w:p>
    <w:p w14:paraId="1A8B22C4">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8.乙方应当严格保守甲方的商业秘密，不得向第三方透露相关信息，若因乙方泄露信息导致甲方损失，乙方承担全部责任，并双倍赔偿损失。</w:t>
      </w:r>
    </w:p>
    <w:p w14:paraId="741A9C59">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9.乙方的工作人员在服务过程中发生的人身损害或经济损失，由乙方负责；乙方与第三方发生纠纷，均与甲方无关，甲方因此受到任何损失的，由乙方负责全额赔偿。</w:t>
      </w:r>
    </w:p>
    <w:p w14:paraId="780B5B87">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乙方必须与委派或更换到甲方服务的工作人员签订劳动合同，并依法为工作人员缴纳相应的社会保险，同时必须将相应的合同文本及足额缴纳的各项社会保险的凭证加盖乙方公章如实在甲方处备案。乙方委派或更换到甲方服务的工作人员工资、福利由乙方足额支付，如存在拖欠工资或福利的情形，乙方应及时协商解决，如协商不成，甲方有权拒绝向乙方支付相应服务费。</w:t>
      </w:r>
    </w:p>
    <w:p w14:paraId="495A968A">
      <w:pPr>
        <w:pStyle w:val="24"/>
        <w:keepNext w:val="0"/>
        <w:keepLines w:val="0"/>
        <w:pageBreakBefore w:val="0"/>
        <w:widowControl w:val="0"/>
        <w:kinsoku/>
        <w:wordWrap/>
        <w:overflowPunct w:val="0"/>
        <w:topLinePunct w:val="0"/>
        <w:autoSpaceDE/>
        <w:autoSpaceDN/>
        <w:bidi w:val="0"/>
        <w:adjustRightInd/>
        <w:snapToGrid/>
        <w:spacing w:line="460" w:lineRule="exact"/>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甲方与乙方委派或更换到甲方服务的工作人员之间不能存在任何劳动关系，若乙方服务人员因劳动争议等与乙方发生任何纠纷的，由乙方负责解决，与甲方无关。若因此给甲方造成任何损失的，由乙方负责全额赔</w:t>
      </w:r>
      <w:r>
        <w:rPr>
          <w:rFonts w:hint="eastAsia" w:ascii="仿宋" w:hAnsi="仿宋" w:eastAsia="仿宋" w:cs="仿宋"/>
          <w:color w:val="auto"/>
          <w:sz w:val="24"/>
          <w:szCs w:val="24"/>
          <w:highlight w:val="none"/>
        </w:rPr>
        <w:t>偿。</w:t>
      </w:r>
    </w:p>
    <w:p w14:paraId="2CA51852">
      <w:pPr>
        <w:tabs>
          <w:tab w:val="left" w:pos="480"/>
        </w:tabs>
        <w:spacing w:line="360" w:lineRule="auto"/>
        <w:rPr>
          <w:rFonts w:hint="eastAsia" w:ascii="仿宋" w:hAnsi="仿宋" w:eastAsia="仿宋" w:cs="仿宋"/>
          <w:b/>
          <w:color w:val="auto"/>
          <w:sz w:val="24"/>
          <w:szCs w:val="24"/>
          <w:highlight w:val="none"/>
          <w:lang w:val="en-US" w:eastAsia="zh-CN"/>
        </w:rPr>
      </w:pPr>
      <w:bookmarkStart w:id="3" w:name="_Toc2644"/>
      <w:r>
        <w:rPr>
          <w:rFonts w:hint="eastAsia" w:ascii="仿宋" w:hAnsi="仿宋" w:eastAsia="仿宋" w:cs="仿宋"/>
          <w:b/>
          <w:color w:val="auto"/>
          <w:sz w:val="24"/>
          <w:szCs w:val="24"/>
          <w:highlight w:val="none"/>
          <w:lang w:val="en-US" w:eastAsia="zh-CN"/>
        </w:rPr>
        <w:t>五 、违约责任</w:t>
      </w:r>
      <w:bookmarkEnd w:id="3"/>
    </w:p>
    <w:p w14:paraId="6EF3832C">
      <w:pPr>
        <w:tabs>
          <w:tab w:val="left" w:pos="480"/>
        </w:tabs>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（一）双方按《中华人民共和国民法典》中的相关条款执行。</w:t>
      </w:r>
    </w:p>
    <w:p w14:paraId="7D63CD47">
      <w:pPr>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二）因乙方原因未能完成管理目标，甲方有权要求乙方限期整改，如在10日内未能达标，甲方书面通知乙方终止合同，合同自书面解除通知书送达乙方之日起解除，因此给甲方造成的损失，乙方应全额赔偿。并按照合同总金额的3%追究乙方违约责任。</w:t>
      </w:r>
    </w:p>
    <w:p w14:paraId="1ABEEDF2">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因乙方原因对甲方房屋建筑、设施设备造成损坏，乙方承担全部赔偿责任并进行善后处理；乙方对甲方设施不得擅自占用和改变使用功能，否则甲方有权要求其恢复原状并赔偿相应损失。乙方应在接到甲方通知后5日恢复原状并赔偿甲方损失。如乙方拒绝或怠于恢复原状的，甲方有权指定第三方予以恢复原状，所有费用均由乙方承担。</w:t>
      </w:r>
    </w:p>
    <w:p w14:paraId="60C4B415">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（四）甲乙双方发生争议，乙方应在继续保证甲方设备正常运转的基础上，协商解决，在发生争议期间乙方不按合同要求提供服务，造成的损失由乙方全额赔偿。</w:t>
      </w:r>
    </w:p>
    <w:p w14:paraId="393CCB85">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（五）乙方原因造成的合同终止,在甲方按程序取得第三方服务之前，乙方继续按合同标准提供服务，否则造成一切损失由乙方承担。</w:t>
      </w:r>
    </w:p>
    <w:p w14:paraId="083B7D12">
      <w:pPr>
        <w:shd w:val="clear" w:fill="FFFFFF" w:themeFill="background1"/>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六）乙方在履行合同过程中遇相关检查，有转包合同的行为，甲方有权终止合同，合同自书面解除通知送达乙方之日起解除。甲方扣除全部质保金作为违约赔偿。在甲方按程序取得第三方服务之前，乙方继续按合同标准提供服务，否则造成一切损失由乙方承担。</w:t>
      </w:r>
    </w:p>
    <w:p w14:paraId="2647C238">
      <w:pPr>
        <w:shd w:val="clear" w:fill="FFFFFF" w:themeFill="background1"/>
        <w:spacing w:line="360" w:lineRule="auto"/>
        <w:rPr>
          <w:rFonts w:hint="eastAsia"/>
          <w:color w:val="auto"/>
          <w:highlight w:val="none"/>
          <w:lang w:val="en-US" w:eastAsia="zh-CN"/>
        </w:rPr>
      </w:pPr>
      <w:r>
        <w:rPr>
          <w:rFonts w:hint="eastAsia" w:ascii="仿宋" w:hAnsi="仿宋" w:eastAsia="仿宋" w:cs="仿宋"/>
          <w:color w:val="auto"/>
          <w:kern w:val="0"/>
          <w:sz w:val="24"/>
          <w:szCs w:val="24"/>
          <w:highlight w:val="none"/>
          <w:lang w:val="en-US" w:eastAsia="zh-CN"/>
        </w:rPr>
        <w:t>（七）合同期内服务公司及服务人员均为乙方直接所属，乙方不得采用挂靠或外包方式再次委托其他单位承担此项目。如甲方发现有违约情形，可直接终止合同执行，违约责任由乙方全部承担。</w:t>
      </w:r>
    </w:p>
    <w:p w14:paraId="47CFAC02">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 合同争议解决的方式</w:t>
      </w:r>
    </w:p>
    <w:p w14:paraId="7D728F90">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本合同在履行过程中发生的争议，由甲、乙双方当事人协商解决，协商不成任一方有权向甲方所在地人民法院提起诉讼。</w:t>
      </w:r>
    </w:p>
    <w:p w14:paraId="09355CBB">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 xml:space="preserve"> 合同生效</w:t>
      </w:r>
    </w:p>
    <w:p w14:paraId="5031CCFF">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本合同甲、乙双方法定代表人签字或加盖公章后生效。（含附件1）一式肆份，甲方执叁份，乙方执壹份，合同执行完毕后，自动终止（合同的服务承诺则长期有效）。</w:t>
      </w:r>
    </w:p>
    <w:p w14:paraId="0826B05D">
      <w:pPr>
        <w:tabs>
          <w:tab w:val="left" w:pos="480"/>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 xml:space="preserve"> 其他事项</w:t>
      </w:r>
    </w:p>
    <w:p w14:paraId="76ECBC1B">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（一）招标文件、投标文件、合同附件均为合同不可分割的部分。</w:t>
      </w:r>
    </w:p>
    <w:p w14:paraId="4BB3D43B">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（二）合同未尽事宜，由甲、乙双方协商，作为合同补充，与原合同具有同等法律效力。补充合同与本合同约定不一致的，以补充合同为准。</w:t>
      </w:r>
    </w:p>
    <w:p w14:paraId="5EA5C028">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（三）合同一经签订，不得擅自变更、中止或终止合同。对确需变更、调整或中止、终止合同的，应按规定履行相应的手续。</w:t>
      </w:r>
    </w:p>
    <w:p w14:paraId="6A53582B">
      <w:pPr>
        <w:tabs>
          <w:tab w:val="left" w:pos="480"/>
        </w:tabs>
        <w:spacing w:line="360" w:lineRule="auto"/>
        <w:ind w:firstLine="480" w:firstLineChars="20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（四）本合同按照中华人民共和国的现行法律进行解释。</w:t>
      </w:r>
    </w:p>
    <w:p w14:paraId="3A7C818B">
      <w:pPr>
        <w:rPr>
          <w:rFonts w:hint="eastAsia" w:ascii="仿宋" w:hAnsi="仿宋" w:eastAsia="仿宋" w:cs="仿宋"/>
          <w:color w:val="auto"/>
          <w:kern w:val="0"/>
          <w:sz w:val="24"/>
          <w:szCs w:val="24"/>
          <w:highlight w:val="none"/>
          <w:lang w:val="en-US" w:eastAsia="zh-CN"/>
        </w:rPr>
      </w:pPr>
    </w:p>
    <w:tbl>
      <w:tblPr>
        <w:tblStyle w:val="17"/>
        <w:tblW w:w="97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60"/>
        <w:gridCol w:w="4665"/>
      </w:tblGrid>
      <w:tr w14:paraId="6C560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5060" w:type="dxa"/>
            <w:noWrap w:val="0"/>
            <w:vAlign w:val="center"/>
          </w:tcPr>
          <w:p w14:paraId="572A68A3">
            <w:pPr>
              <w:autoSpaceDE w:val="0"/>
              <w:autoSpaceDN w:val="0"/>
              <w:adjustRightInd w:val="0"/>
              <w:jc w:val="both"/>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甲  方</w:t>
            </w:r>
          </w:p>
        </w:tc>
        <w:tc>
          <w:tcPr>
            <w:tcW w:w="4665" w:type="dxa"/>
            <w:noWrap w:val="0"/>
            <w:vAlign w:val="center"/>
          </w:tcPr>
          <w:p w14:paraId="7F127D15">
            <w:pPr>
              <w:autoSpaceDE w:val="0"/>
              <w:autoSpaceDN w:val="0"/>
              <w:adjustRightInd w:val="0"/>
              <w:jc w:val="both"/>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乙  方</w:t>
            </w:r>
          </w:p>
        </w:tc>
      </w:tr>
      <w:tr w14:paraId="424E1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jc w:val="center"/>
        </w:trPr>
        <w:tc>
          <w:tcPr>
            <w:tcW w:w="5060" w:type="dxa"/>
            <w:noWrap w:val="0"/>
            <w:vAlign w:val="center"/>
          </w:tcPr>
          <w:p w14:paraId="3803FF8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西北妇女儿童医院</w:t>
            </w:r>
            <w:r>
              <w:rPr>
                <w:rFonts w:hint="eastAsia" w:ascii="仿宋" w:hAnsi="仿宋" w:eastAsia="仿宋" w:cs="仿宋"/>
                <w:color w:val="auto"/>
                <w:sz w:val="24"/>
                <w:szCs w:val="24"/>
                <w:highlight w:val="none"/>
              </w:rPr>
              <w:t>（盖章）</w:t>
            </w:r>
          </w:p>
        </w:tc>
        <w:tc>
          <w:tcPr>
            <w:tcW w:w="4665" w:type="dxa"/>
            <w:noWrap w:val="0"/>
            <w:vAlign w:val="center"/>
          </w:tcPr>
          <w:p w14:paraId="1A0024F6">
            <w:pPr>
              <w:autoSpaceDE w:val="0"/>
              <w:autoSpaceDN w:val="0"/>
              <w:adjustRightInd w:val="0"/>
              <w:jc w:val="left"/>
              <w:rPr>
                <w:rFonts w:hint="eastAsia" w:ascii="仿宋" w:hAnsi="仿宋" w:eastAsia="仿宋" w:cs="仿宋"/>
                <w:color w:val="auto"/>
                <w:sz w:val="24"/>
                <w:szCs w:val="24"/>
                <w:highlight w:val="none"/>
              </w:rPr>
            </w:pPr>
            <w:r>
              <w:rPr>
                <w:rFonts w:hint="eastAsia" w:ascii="仿宋" w:hAnsi="仿宋" w:eastAsia="仿宋" w:cs="仿宋"/>
                <w:b w:val="0"/>
                <w:color w:val="auto"/>
                <w:spacing w:val="0"/>
                <w:w w:val="100"/>
                <w:sz w:val="24"/>
                <w:szCs w:val="24"/>
                <w:highlight w:val="none"/>
                <w:lang w:val="en-US" w:eastAsia="zh-CN"/>
              </w:rPr>
              <w:t xml:space="preserve"> </w:t>
            </w:r>
            <w:r>
              <w:rPr>
                <w:rFonts w:hint="eastAsia" w:ascii="仿宋" w:hAnsi="仿宋" w:eastAsia="仿宋" w:cs="仿宋"/>
                <w:color w:val="auto"/>
                <w:sz w:val="24"/>
                <w:szCs w:val="24"/>
                <w:highlight w:val="none"/>
              </w:rPr>
              <w:t>（盖章）</w:t>
            </w:r>
          </w:p>
        </w:tc>
      </w:tr>
      <w:tr w14:paraId="4CAEC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5060" w:type="dxa"/>
            <w:noWrap w:val="0"/>
            <w:vAlign w:val="center"/>
          </w:tcPr>
          <w:p w14:paraId="4EBE0A60">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地址：</w:t>
            </w:r>
            <w:r>
              <w:rPr>
                <w:rFonts w:hint="eastAsia" w:ascii="仿宋" w:hAnsi="仿宋" w:eastAsia="仿宋" w:cs="仿宋"/>
                <w:color w:val="auto"/>
                <w:sz w:val="24"/>
                <w:szCs w:val="24"/>
                <w:highlight w:val="none"/>
                <w:lang w:val="zh-CN"/>
              </w:rPr>
              <w:t>西安市雁翔路1616号</w:t>
            </w:r>
          </w:p>
        </w:tc>
        <w:tc>
          <w:tcPr>
            <w:tcW w:w="4665" w:type="dxa"/>
            <w:noWrap w:val="0"/>
            <w:vAlign w:val="center"/>
          </w:tcPr>
          <w:p w14:paraId="61029285">
            <w:pPr>
              <w:keepNext w:val="0"/>
              <w:keepLines w:val="0"/>
              <w:pageBreakBefore w:val="0"/>
              <w:widowControl w:val="0"/>
              <w:kinsoku/>
              <w:wordWrap/>
              <w:overflowPunct/>
              <w:topLinePunct w:val="0"/>
              <w:autoSpaceDE w:val="0"/>
              <w:autoSpaceDN w:val="0"/>
              <w:bidi w:val="0"/>
              <w:adjustRightInd w:val="0"/>
              <w:snapToGrid/>
              <w:spacing w:line="500" w:lineRule="exact"/>
              <w:textAlignment w:val="auto"/>
              <w:rPr>
                <w:rFonts w:hint="eastAsia" w:ascii="仿宋" w:hAnsi="仿宋" w:eastAsia="仿宋" w:cs="仿宋"/>
                <w:b w:val="0"/>
                <w:bCs/>
                <w:color w:val="auto"/>
                <w:spacing w:val="0"/>
                <w:w w:val="100"/>
                <w:kern w:val="0"/>
                <w:sz w:val="24"/>
                <w:szCs w:val="24"/>
                <w:highlight w:val="none"/>
                <w:lang w:val="en-US" w:eastAsia="zh-CN" w:bidi="ar-SA"/>
              </w:rPr>
            </w:pPr>
            <w:r>
              <w:rPr>
                <w:rFonts w:hint="eastAsia" w:ascii="仿宋" w:hAnsi="仿宋" w:eastAsia="仿宋" w:cs="仿宋"/>
                <w:color w:val="auto"/>
                <w:spacing w:val="-20"/>
                <w:sz w:val="24"/>
                <w:szCs w:val="24"/>
                <w:highlight w:val="none"/>
              </w:rPr>
              <w:t>地址：</w:t>
            </w:r>
            <w:r>
              <w:rPr>
                <w:rFonts w:hint="eastAsia" w:ascii="仿宋" w:hAnsi="仿宋" w:eastAsia="仿宋" w:cs="仿宋"/>
                <w:b w:val="0"/>
                <w:bCs/>
                <w:color w:val="auto"/>
                <w:spacing w:val="0"/>
                <w:w w:val="100"/>
                <w:kern w:val="0"/>
                <w:sz w:val="24"/>
                <w:szCs w:val="24"/>
                <w:highlight w:val="none"/>
                <w:lang w:val="en-US" w:eastAsia="zh-CN" w:bidi="ar-SA"/>
              </w:rPr>
              <w:t xml:space="preserve"> </w:t>
            </w:r>
          </w:p>
          <w:p w14:paraId="54F649E4">
            <w:pPr>
              <w:autoSpaceDE w:val="0"/>
              <w:autoSpaceDN w:val="0"/>
              <w:adjustRightInd w:val="0"/>
              <w:ind w:left="720" w:hanging="600" w:hangingChars="300"/>
              <w:jc w:val="left"/>
              <w:rPr>
                <w:rFonts w:hint="eastAsia" w:ascii="仿宋" w:hAnsi="仿宋" w:eastAsia="仿宋" w:cs="仿宋"/>
                <w:color w:val="auto"/>
                <w:spacing w:val="-20"/>
                <w:sz w:val="24"/>
                <w:szCs w:val="24"/>
                <w:highlight w:val="none"/>
              </w:rPr>
            </w:pPr>
          </w:p>
        </w:tc>
      </w:tr>
      <w:tr w14:paraId="7DDB5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7DDB02C7">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w:t>
            </w:r>
          </w:p>
        </w:tc>
        <w:tc>
          <w:tcPr>
            <w:tcW w:w="4665" w:type="dxa"/>
            <w:noWrap w:val="0"/>
            <w:vAlign w:val="center"/>
          </w:tcPr>
          <w:p w14:paraId="7EDB0331">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w:t>
            </w:r>
          </w:p>
        </w:tc>
      </w:tr>
      <w:tr w14:paraId="64E03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455C0C72">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pacing w:val="-20"/>
                <w:sz w:val="24"/>
                <w:szCs w:val="24"/>
                <w:highlight w:val="none"/>
                <w:lang w:val="en-US" w:eastAsia="zh-CN"/>
              </w:rPr>
              <w:t>联系人：</w:t>
            </w:r>
          </w:p>
        </w:tc>
        <w:tc>
          <w:tcPr>
            <w:tcW w:w="4665" w:type="dxa"/>
            <w:noWrap w:val="0"/>
            <w:vAlign w:val="center"/>
          </w:tcPr>
          <w:p w14:paraId="12C84AF0">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lang w:val="en-US" w:eastAsia="zh-CN"/>
              </w:rPr>
              <w:t>联系人：</w:t>
            </w:r>
          </w:p>
        </w:tc>
      </w:tr>
      <w:tr w14:paraId="3B658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6D9BCB5E">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pacing w:val="-20"/>
                <w:sz w:val="24"/>
                <w:szCs w:val="24"/>
                <w:highlight w:val="none"/>
              </w:rPr>
              <w:t>电话：</w:t>
            </w:r>
            <w:r>
              <w:rPr>
                <w:rFonts w:hint="eastAsia" w:ascii="仿宋" w:hAnsi="仿宋" w:eastAsia="仿宋" w:cs="仿宋"/>
                <w:color w:val="auto"/>
                <w:sz w:val="24"/>
                <w:szCs w:val="24"/>
                <w:highlight w:val="none"/>
                <w:lang w:val="zh-CN"/>
              </w:rPr>
              <w:t>029-89550</w:t>
            </w:r>
            <w:r>
              <w:rPr>
                <w:rFonts w:hint="eastAsia" w:ascii="仿宋" w:hAnsi="仿宋" w:eastAsia="仿宋" w:cs="仿宋"/>
                <w:color w:val="auto"/>
                <w:sz w:val="24"/>
                <w:szCs w:val="24"/>
                <w:highlight w:val="none"/>
                <w:lang w:val="en-US" w:eastAsia="zh-CN"/>
              </w:rPr>
              <w:t>195</w:t>
            </w:r>
          </w:p>
        </w:tc>
        <w:tc>
          <w:tcPr>
            <w:tcW w:w="4665" w:type="dxa"/>
            <w:noWrap w:val="0"/>
            <w:vAlign w:val="center"/>
          </w:tcPr>
          <w:p w14:paraId="5681D64F">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r>
              <w:rPr>
                <w:rFonts w:hint="eastAsia" w:ascii="仿宋" w:hAnsi="仿宋" w:eastAsia="仿宋" w:cs="仿宋"/>
                <w:b w:val="0"/>
                <w:color w:val="auto"/>
                <w:spacing w:val="0"/>
                <w:w w:val="100"/>
                <w:kern w:val="0"/>
                <w:sz w:val="24"/>
                <w:szCs w:val="24"/>
                <w:highlight w:val="none"/>
                <w:lang w:val="en-US" w:eastAsia="zh-CN"/>
              </w:rPr>
              <w:t xml:space="preserve"> </w:t>
            </w:r>
          </w:p>
        </w:tc>
      </w:tr>
      <w:tr w14:paraId="33336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37E985F2">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r>
              <w:rPr>
                <w:rFonts w:hint="eastAsia" w:ascii="仿宋" w:hAnsi="仿宋" w:eastAsia="仿宋" w:cs="仿宋"/>
                <w:color w:val="auto"/>
                <w:sz w:val="24"/>
                <w:szCs w:val="22"/>
                <w:highlight w:val="none"/>
                <w:lang w:val="zh-CN" w:eastAsia="zh-CN"/>
              </w:rPr>
              <w:t>中国银行北大街支行</w:t>
            </w:r>
            <w:r>
              <w:rPr>
                <w:rFonts w:hint="eastAsia" w:ascii="仿宋" w:hAnsi="仿宋" w:eastAsia="仿宋" w:cs="仿宋"/>
                <w:color w:val="auto"/>
                <w:spacing w:val="-20"/>
                <w:sz w:val="24"/>
                <w:szCs w:val="24"/>
                <w:highlight w:val="none"/>
              </w:rPr>
              <w:t xml:space="preserve"> </w:t>
            </w:r>
          </w:p>
        </w:tc>
        <w:tc>
          <w:tcPr>
            <w:tcW w:w="4665" w:type="dxa"/>
            <w:noWrap w:val="0"/>
            <w:vAlign w:val="center"/>
          </w:tcPr>
          <w:p w14:paraId="0AC4D892">
            <w:pPr>
              <w:autoSpaceDE w:val="0"/>
              <w:autoSpaceDN w:val="0"/>
              <w:adjustRightInd w:val="0"/>
              <w:jc w:val="left"/>
              <w:rPr>
                <w:rFonts w:hint="eastAsia" w:ascii="仿宋" w:hAnsi="仿宋" w:eastAsia="仿宋" w:cs="仿宋"/>
                <w:color w:val="auto"/>
                <w:spacing w:val="-20"/>
                <w:sz w:val="24"/>
                <w:szCs w:val="24"/>
                <w:highlight w:val="none"/>
                <w:lang w:eastAsia="zh-CN"/>
              </w:rPr>
            </w:pPr>
            <w:r>
              <w:rPr>
                <w:rFonts w:hint="eastAsia" w:ascii="仿宋" w:hAnsi="仿宋" w:eastAsia="仿宋" w:cs="仿宋"/>
                <w:color w:val="auto"/>
                <w:spacing w:val="-20"/>
                <w:sz w:val="24"/>
                <w:szCs w:val="24"/>
                <w:highlight w:val="none"/>
              </w:rPr>
              <w:t>开户银行：</w:t>
            </w:r>
            <w:r>
              <w:rPr>
                <w:rFonts w:hint="eastAsia" w:ascii="仿宋" w:hAnsi="仿宋" w:eastAsia="仿宋" w:cs="仿宋"/>
                <w:color w:val="auto"/>
                <w:spacing w:val="-20"/>
                <w:sz w:val="24"/>
                <w:szCs w:val="24"/>
                <w:highlight w:val="none"/>
                <w:lang w:val="en-US" w:eastAsia="zh-CN"/>
              </w:rPr>
              <w:t xml:space="preserve"> </w:t>
            </w:r>
          </w:p>
        </w:tc>
      </w:tr>
      <w:tr w14:paraId="07B08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44D39829">
            <w:pPr>
              <w:autoSpaceDE w:val="0"/>
              <w:autoSpaceDN w:val="0"/>
              <w:adjustRightInd w:val="0"/>
              <w:jc w:val="left"/>
              <w:rPr>
                <w:rFonts w:hint="eastAsia" w:ascii="仿宋" w:hAnsi="仿宋" w:eastAsia="仿宋" w:cs="仿宋"/>
                <w:color w:val="auto"/>
                <w:spacing w:val="-20"/>
                <w:sz w:val="24"/>
                <w:szCs w:val="24"/>
                <w:highlight w:val="none"/>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2"/>
                <w:highlight w:val="none"/>
                <w:lang w:val="en-US" w:eastAsia="zh-CN"/>
              </w:rPr>
              <w:t>103208712015</w:t>
            </w:r>
            <w:r>
              <w:rPr>
                <w:rFonts w:hint="eastAsia" w:ascii="仿宋" w:hAnsi="仿宋" w:eastAsia="仿宋" w:cs="仿宋"/>
                <w:color w:val="auto"/>
                <w:sz w:val="24"/>
                <w:szCs w:val="22"/>
                <w:highlight w:val="none"/>
                <w:lang w:eastAsia="zh-CN"/>
              </w:rPr>
              <w:t xml:space="preserve"> </w:t>
            </w:r>
          </w:p>
        </w:tc>
        <w:tc>
          <w:tcPr>
            <w:tcW w:w="4665" w:type="dxa"/>
            <w:noWrap w:val="0"/>
            <w:vAlign w:val="center"/>
          </w:tcPr>
          <w:p w14:paraId="59E3F082">
            <w:pPr>
              <w:autoSpaceDE w:val="0"/>
              <w:autoSpaceDN w:val="0"/>
              <w:adjustRightInd w:val="0"/>
              <w:jc w:val="left"/>
              <w:rPr>
                <w:rFonts w:hint="eastAsia" w:ascii="仿宋" w:hAnsi="仿宋" w:eastAsia="仿宋" w:cs="仿宋"/>
                <w:color w:val="auto"/>
                <w:spacing w:val="-20"/>
                <w:sz w:val="24"/>
                <w:szCs w:val="24"/>
                <w:highlight w:val="none"/>
                <w:lang w:val="en-US" w:eastAsia="zh-CN"/>
              </w:rPr>
            </w:pPr>
            <w:r>
              <w:rPr>
                <w:rFonts w:hint="eastAsia" w:ascii="仿宋" w:hAnsi="仿宋" w:eastAsia="仿宋" w:cs="仿宋"/>
                <w:color w:val="auto"/>
                <w:sz w:val="24"/>
                <w:szCs w:val="24"/>
                <w:highlight w:val="none"/>
              </w:rPr>
              <w:t>账号：</w:t>
            </w:r>
            <w:r>
              <w:rPr>
                <w:rFonts w:hint="eastAsia" w:ascii="仿宋" w:hAnsi="仿宋" w:eastAsia="仿宋" w:cs="仿宋"/>
                <w:color w:val="auto"/>
                <w:sz w:val="24"/>
                <w:szCs w:val="24"/>
                <w:highlight w:val="none"/>
                <w:lang w:val="en-US" w:eastAsia="zh-CN"/>
              </w:rPr>
              <w:t xml:space="preserve"> </w:t>
            </w:r>
          </w:p>
        </w:tc>
      </w:tr>
      <w:tr w14:paraId="6AABF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5060" w:type="dxa"/>
            <w:noWrap w:val="0"/>
            <w:vAlign w:val="center"/>
          </w:tcPr>
          <w:p w14:paraId="6CF80A58">
            <w:pPr>
              <w:autoSpaceDE w:val="0"/>
              <w:autoSpaceDN w:val="0"/>
              <w:adjustRightInd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纳锐人识别号：126100000881820988 </w:t>
            </w:r>
          </w:p>
        </w:tc>
        <w:tc>
          <w:tcPr>
            <w:tcW w:w="4665" w:type="dxa"/>
            <w:noWrap w:val="0"/>
            <w:vAlign w:val="center"/>
          </w:tcPr>
          <w:p w14:paraId="1FB647B5">
            <w:pPr>
              <w:autoSpaceDE w:val="0"/>
              <w:autoSpaceDN w:val="0"/>
              <w:adjustRightInd w:val="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p>
        </w:tc>
      </w:tr>
      <w:tr w14:paraId="17CD1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jc w:val="center"/>
        </w:trPr>
        <w:tc>
          <w:tcPr>
            <w:tcW w:w="9725" w:type="dxa"/>
            <w:gridSpan w:val="2"/>
            <w:noWrap w:val="0"/>
            <w:vAlign w:val="center"/>
          </w:tcPr>
          <w:p w14:paraId="2BFF700D">
            <w:pPr>
              <w:autoSpaceDE w:val="0"/>
              <w:autoSpaceDN w:val="0"/>
              <w:adjustRightInd w:val="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20"/>
                <w:sz w:val="24"/>
                <w:szCs w:val="24"/>
                <w:highlight w:val="none"/>
              </w:rPr>
              <w:t xml:space="preserve">日期：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年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月  </w:t>
            </w:r>
            <w:r>
              <w:rPr>
                <w:rFonts w:hint="eastAsia" w:ascii="仿宋" w:hAnsi="仿宋" w:eastAsia="仿宋" w:cs="仿宋"/>
                <w:color w:val="auto"/>
                <w:spacing w:val="-20"/>
                <w:sz w:val="24"/>
                <w:szCs w:val="24"/>
                <w:highlight w:val="none"/>
                <w:lang w:val="en-US" w:eastAsia="zh-CN"/>
              </w:rPr>
              <w:t xml:space="preserve"> </w:t>
            </w:r>
            <w:r>
              <w:rPr>
                <w:rFonts w:hint="eastAsia" w:ascii="仿宋" w:hAnsi="仿宋" w:eastAsia="仿宋" w:cs="仿宋"/>
                <w:color w:val="auto"/>
                <w:spacing w:val="-20"/>
                <w:sz w:val="24"/>
                <w:szCs w:val="24"/>
                <w:highlight w:val="none"/>
              </w:rPr>
              <w:t xml:space="preserve"> 日</w:t>
            </w:r>
          </w:p>
        </w:tc>
      </w:tr>
      <w:tr w14:paraId="41BAD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665" w:type="dxa"/>
          <w:trHeight w:val="756" w:hRule="atLeast"/>
          <w:jc w:val="center"/>
        </w:trPr>
        <w:tc>
          <w:tcPr>
            <w:tcW w:w="5060" w:type="dxa"/>
            <w:noWrap w:val="0"/>
            <w:vAlign w:val="center"/>
          </w:tcPr>
          <w:p w14:paraId="0A0F735F">
            <w:pPr>
              <w:autoSpaceDE w:val="0"/>
              <w:autoSpaceDN w:val="0"/>
              <w:adjustRightInd w:val="0"/>
              <w:jc w:val="center"/>
              <w:rPr>
                <w:rFonts w:hint="eastAsia" w:ascii="仿宋" w:hAnsi="仿宋" w:eastAsia="仿宋" w:cs="仿宋"/>
                <w:color w:val="auto"/>
                <w:spacing w:val="-20"/>
                <w:sz w:val="24"/>
                <w:szCs w:val="24"/>
                <w:highlight w:val="none"/>
              </w:rPr>
            </w:pPr>
          </w:p>
        </w:tc>
      </w:tr>
    </w:tbl>
    <w:p w14:paraId="0D350293">
      <w:pPr>
        <w:spacing w:line="360" w:lineRule="auto"/>
        <w:rPr>
          <w:rFonts w:hint="eastAsia" w:ascii="仿宋" w:hAnsi="仿宋" w:eastAsia="仿宋" w:cs="仿宋"/>
          <w:color w:val="auto"/>
          <w:sz w:val="24"/>
          <w:szCs w:val="24"/>
          <w:highlight w:val="none"/>
        </w:rPr>
      </w:pPr>
    </w:p>
    <w:p w14:paraId="439A07DC">
      <w:pPr>
        <w:spacing w:line="360" w:lineRule="auto"/>
        <w:rPr>
          <w:rFonts w:hint="eastAsia" w:ascii="仿宋" w:hAnsi="仿宋" w:eastAsia="仿宋" w:cs="仿宋"/>
          <w:color w:val="auto"/>
          <w:sz w:val="24"/>
          <w:szCs w:val="24"/>
          <w:highlight w:val="none"/>
        </w:rPr>
      </w:pPr>
    </w:p>
    <w:p w14:paraId="2966DC27">
      <w:pPr>
        <w:spacing w:line="360" w:lineRule="auto"/>
        <w:rPr>
          <w:rFonts w:hint="eastAsia" w:ascii="仿宋" w:hAnsi="仿宋" w:eastAsia="仿宋" w:cs="仿宋"/>
          <w:color w:val="auto"/>
          <w:sz w:val="24"/>
          <w:szCs w:val="24"/>
          <w:highlight w:val="none"/>
        </w:rPr>
      </w:pPr>
    </w:p>
    <w:p w14:paraId="06BD750A">
      <w:pPr>
        <w:spacing w:line="360" w:lineRule="auto"/>
        <w:rPr>
          <w:rFonts w:hint="eastAsia" w:ascii="仿宋" w:hAnsi="仿宋" w:eastAsia="仿宋" w:cs="仿宋"/>
          <w:color w:val="auto"/>
          <w:sz w:val="24"/>
          <w:szCs w:val="24"/>
          <w:highlight w:val="none"/>
        </w:rPr>
      </w:pPr>
    </w:p>
    <w:p w14:paraId="3DDB3801">
      <w:pPr>
        <w:spacing w:line="360" w:lineRule="auto"/>
        <w:rPr>
          <w:rFonts w:hint="eastAsia" w:ascii="仿宋" w:hAnsi="仿宋" w:eastAsia="仿宋" w:cs="仿宋"/>
          <w:color w:val="auto"/>
          <w:sz w:val="24"/>
          <w:szCs w:val="24"/>
          <w:highlight w:val="none"/>
        </w:rPr>
      </w:pPr>
    </w:p>
    <w:p w14:paraId="0946F51F">
      <w:pPr>
        <w:spacing w:line="360" w:lineRule="auto"/>
        <w:rPr>
          <w:rFonts w:hint="eastAsia" w:ascii="仿宋" w:hAnsi="仿宋" w:eastAsia="仿宋" w:cs="仿宋"/>
          <w:color w:val="auto"/>
          <w:sz w:val="24"/>
          <w:szCs w:val="24"/>
          <w:highlight w:val="none"/>
        </w:rPr>
      </w:pPr>
    </w:p>
    <w:p w14:paraId="6FCD3FDD">
      <w:pPr>
        <w:spacing w:line="360" w:lineRule="auto"/>
        <w:rPr>
          <w:rFonts w:hint="eastAsia" w:ascii="仿宋" w:hAnsi="仿宋" w:eastAsia="仿宋" w:cs="仿宋"/>
          <w:color w:val="auto"/>
          <w:sz w:val="24"/>
          <w:szCs w:val="24"/>
          <w:highlight w:val="none"/>
        </w:rPr>
      </w:pPr>
    </w:p>
    <w:p w14:paraId="4556FBB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42FE750F">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1</w:t>
      </w:r>
    </w:p>
    <w:p w14:paraId="067CF287">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西北妇女儿童医院</w:t>
      </w:r>
      <w:r>
        <w:rPr>
          <w:rFonts w:hint="eastAsia" w:ascii="仿宋" w:hAnsi="仿宋" w:eastAsia="仿宋" w:cs="仿宋"/>
          <w:b/>
          <w:color w:val="auto"/>
          <w:sz w:val="24"/>
          <w:szCs w:val="24"/>
          <w:highlight w:val="none"/>
          <w:lang w:val="en-US" w:eastAsia="zh-CN"/>
        </w:rPr>
        <w:t>两院区中央空调维保</w:t>
      </w:r>
      <w:r>
        <w:rPr>
          <w:rFonts w:hint="eastAsia" w:ascii="仿宋" w:hAnsi="仿宋" w:eastAsia="仿宋" w:cs="仿宋"/>
          <w:b/>
          <w:color w:val="auto"/>
          <w:sz w:val="24"/>
          <w:szCs w:val="24"/>
          <w:highlight w:val="none"/>
        </w:rPr>
        <w:t>服务考核办法</w:t>
      </w:r>
    </w:p>
    <w:p w14:paraId="00B7D95C">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第一章  总则</w:t>
      </w:r>
    </w:p>
    <w:p w14:paraId="56A4915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第一条  为加强医院科学管理，切实提高工作效率，确保各项工作落实到位，促进医院快速、健康、可持续发展，使外包服务单位能够更好地为医院提供优质服务，特制订本办法。</w:t>
      </w:r>
    </w:p>
    <w:p w14:paraId="4548B4BD">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第二条适用范围：</w:t>
      </w:r>
      <w:r>
        <w:rPr>
          <w:rFonts w:hint="eastAsia" w:ascii="仿宋" w:hAnsi="仿宋" w:eastAsia="仿宋" w:cs="仿宋"/>
          <w:color w:val="auto"/>
          <w:sz w:val="24"/>
          <w:szCs w:val="24"/>
          <w:highlight w:val="none"/>
          <w:lang w:val="en-US" w:eastAsia="zh-CN"/>
        </w:rPr>
        <w:t>中央空调维保服务单位。</w:t>
      </w:r>
    </w:p>
    <w:p w14:paraId="0019DD8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第三条考核原则</w:t>
      </w:r>
    </w:p>
    <w:p w14:paraId="57A285B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(一)客观考评原则。考核者应以客观事实为考核依据。</w:t>
      </w:r>
    </w:p>
    <w:p w14:paraId="34D37A2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(二)公正考评原则。考核者不能被个人情感支配，应公正评价被考核者。</w:t>
      </w:r>
    </w:p>
    <w:p w14:paraId="53049DC8">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第二章   考核内容及评分标准</w:t>
      </w:r>
    </w:p>
    <w:p w14:paraId="2E82E4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第四条  考核实行月扣分制，每月基础分为100分，月末根据当月职责履行情况、工作效率、</w:t>
      </w:r>
      <w:r>
        <w:rPr>
          <w:rFonts w:hint="eastAsia" w:ascii="仿宋" w:hAnsi="仿宋" w:eastAsia="仿宋" w:cs="仿宋"/>
          <w:color w:val="auto"/>
          <w:sz w:val="24"/>
          <w:szCs w:val="24"/>
          <w:highlight w:val="none"/>
          <w:lang w:val="en-US" w:eastAsia="zh-CN"/>
        </w:rPr>
        <w:t>服务质量</w:t>
      </w:r>
      <w:r>
        <w:rPr>
          <w:rFonts w:hint="eastAsia" w:ascii="仿宋" w:hAnsi="仿宋" w:eastAsia="仿宋" w:cs="仿宋"/>
          <w:color w:val="auto"/>
          <w:sz w:val="24"/>
          <w:szCs w:val="24"/>
          <w:highlight w:val="none"/>
        </w:rPr>
        <w:t>等方面的表现，结合评分标准评定当月得分。</w:t>
      </w:r>
    </w:p>
    <w:p w14:paraId="7BF3706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第五条：考核标准（</w:t>
      </w:r>
      <w:r>
        <w:rPr>
          <w:rFonts w:hint="eastAsia" w:ascii="仿宋" w:hAnsi="仿宋" w:eastAsia="仿宋" w:cs="仿宋"/>
          <w:color w:val="auto"/>
          <w:sz w:val="24"/>
          <w:szCs w:val="24"/>
          <w:highlight w:val="none"/>
          <w:lang w:val="en-US" w:eastAsia="zh-CN"/>
        </w:rPr>
        <w:t>后附</w:t>
      </w:r>
      <w:r>
        <w:rPr>
          <w:rFonts w:hint="eastAsia" w:ascii="仿宋" w:hAnsi="仿宋" w:eastAsia="仿宋" w:cs="仿宋"/>
          <w:color w:val="auto"/>
          <w:sz w:val="24"/>
          <w:szCs w:val="24"/>
          <w:highlight w:val="none"/>
        </w:rPr>
        <w:t>）</w:t>
      </w:r>
    </w:p>
    <w:p w14:paraId="55F6C705">
      <w:pPr>
        <w:widowControl/>
        <w:shd w:val="clear" w:color="auto" w:fill="FFFFFF"/>
        <w:spacing w:line="360" w:lineRule="auto"/>
        <w:ind w:right="300"/>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第三章 考核程序</w:t>
      </w:r>
    </w:p>
    <w:p w14:paraId="230DCEE3">
      <w:pPr>
        <w:widowControl/>
        <w:shd w:val="clear" w:color="auto" w:fill="FFFFFF"/>
        <w:spacing w:line="360" w:lineRule="auto"/>
        <w:ind w:right="3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第六条 考核方法</w:t>
      </w:r>
    </w:p>
    <w:p w14:paraId="6468EB62">
      <w:pPr>
        <w:widowControl/>
        <w:shd w:val="clear" w:color="auto" w:fill="FFFFFF"/>
        <w:spacing w:line="360" w:lineRule="auto"/>
        <w:ind w:right="300"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定期与不定期相结合方式。定期：</w:t>
      </w:r>
      <w:r>
        <w:rPr>
          <w:rFonts w:hint="eastAsia" w:ascii="仿宋" w:hAnsi="仿宋" w:eastAsia="仿宋" w:cs="仿宋"/>
          <w:color w:val="auto"/>
          <w:kern w:val="0"/>
          <w:sz w:val="24"/>
          <w:szCs w:val="24"/>
          <w:highlight w:val="none"/>
          <w:lang w:eastAsia="zh-CN"/>
        </w:rPr>
        <w:t>院方相关部门</w:t>
      </w:r>
      <w:r>
        <w:rPr>
          <w:rFonts w:hint="eastAsia" w:ascii="仿宋" w:hAnsi="仿宋" w:eastAsia="仿宋" w:cs="仿宋"/>
          <w:color w:val="auto"/>
          <w:kern w:val="0"/>
          <w:sz w:val="24"/>
          <w:szCs w:val="24"/>
          <w:highlight w:val="none"/>
        </w:rPr>
        <w:t>每月最后一周</w:t>
      </w:r>
      <w:r>
        <w:rPr>
          <w:rFonts w:hint="eastAsia" w:ascii="仿宋" w:hAnsi="仿宋" w:eastAsia="仿宋" w:cs="仿宋"/>
          <w:color w:val="auto"/>
          <w:kern w:val="0"/>
          <w:sz w:val="24"/>
          <w:szCs w:val="24"/>
          <w:highlight w:val="none"/>
          <w:lang w:eastAsia="zh-CN"/>
        </w:rPr>
        <w:t>或不定期</w:t>
      </w:r>
      <w:r>
        <w:rPr>
          <w:rFonts w:hint="eastAsia" w:ascii="仿宋" w:hAnsi="仿宋" w:eastAsia="仿宋" w:cs="仿宋"/>
          <w:color w:val="auto"/>
          <w:kern w:val="0"/>
          <w:sz w:val="24"/>
          <w:szCs w:val="24"/>
          <w:highlight w:val="none"/>
        </w:rPr>
        <w:t>进行；行政后勤管理人员不定期巡查外包公司工作情况，发现问题，立即通知责任人改正，并视情况扣分，记入月底考评。</w:t>
      </w:r>
    </w:p>
    <w:p w14:paraId="1E5AA29D">
      <w:pPr>
        <w:widowControl/>
        <w:shd w:val="clear" w:color="auto" w:fill="FFFFFF"/>
        <w:spacing w:line="360" w:lineRule="auto"/>
        <w:ind w:right="300"/>
        <w:jc w:val="center"/>
        <w:rPr>
          <w:rFonts w:hint="default"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rPr>
        <w:t>第四章 考核</w:t>
      </w:r>
      <w:r>
        <w:rPr>
          <w:rFonts w:hint="eastAsia" w:ascii="仿宋" w:hAnsi="仿宋" w:eastAsia="仿宋" w:cs="仿宋"/>
          <w:b/>
          <w:bCs/>
          <w:color w:val="auto"/>
          <w:kern w:val="0"/>
          <w:sz w:val="24"/>
          <w:szCs w:val="24"/>
          <w:highlight w:val="none"/>
          <w:lang w:val="en-US" w:eastAsia="zh-CN"/>
        </w:rPr>
        <w:t>结果应用</w:t>
      </w:r>
    </w:p>
    <w:p w14:paraId="2E0B6DB0">
      <w:pPr>
        <w:widowControl/>
        <w:shd w:val="clear" w:color="auto" w:fill="FFFFFF"/>
        <w:spacing w:line="360" w:lineRule="auto"/>
        <w:ind w:right="3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第七条  每月根据《考核标准》打分，以百分制计算。最终考核结果的等次划分为：95-100分：付</w:t>
      </w:r>
      <w:r>
        <w:rPr>
          <w:rFonts w:hint="eastAsia" w:ascii="仿宋" w:hAnsi="仿宋" w:eastAsia="仿宋" w:cs="仿宋"/>
          <w:color w:val="auto"/>
          <w:kern w:val="0"/>
          <w:sz w:val="24"/>
          <w:szCs w:val="24"/>
          <w:highlight w:val="none"/>
          <w:lang w:val="en-US" w:eastAsia="zh-CN"/>
        </w:rPr>
        <w:t>当月服务费</w:t>
      </w:r>
      <w:r>
        <w:rPr>
          <w:rFonts w:hint="eastAsia" w:ascii="仿宋" w:hAnsi="仿宋" w:eastAsia="仿宋" w:cs="仿宋"/>
          <w:color w:val="auto"/>
          <w:kern w:val="0"/>
          <w:sz w:val="24"/>
          <w:szCs w:val="24"/>
          <w:highlight w:val="none"/>
        </w:rPr>
        <w:t>100％，；94分（含）及以下：每低1分，按当月服务费扣除0.5％，并限期整改；85-70分：每低1分，按当月服务费扣除0.5％，约谈</w:t>
      </w:r>
      <w:r>
        <w:rPr>
          <w:rFonts w:hint="eastAsia" w:ascii="仿宋" w:hAnsi="仿宋" w:eastAsia="仿宋" w:cs="仿宋"/>
          <w:color w:val="auto"/>
          <w:kern w:val="0"/>
          <w:sz w:val="24"/>
          <w:szCs w:val="24"/>
          <w:highlight w:val="none"/>
          <w:lang w:val="en-US" w:eastAsia="zh-CN"/>
        </w:rPr>
        <w:t>服务单位</w:t>
      </w:r>
      <w:r>
        <w:rPr>
          <w:rFonts w:hint="eastAsia" w:ascii="仿宋" w:hAnsi="仿宋" w:eastAsia="仿宋" w:cs="仿宋"/>
          <w:color w:val="auto"/>
          <w:kern w:val="0"/>
          <w:sz w:val="24"/>
          <w:szCs w:val="24"/>
          <w:highlight w:val="none"/>
        </w:rPr>
        <w:t>负责人；＜70分：暂停付款，启动合同终止流程。</w:t>
      </w:r>
    </w:p>
    <w:p w14:paraId="65A4DDCA">
      <w:pPr>
        <w:widowControl/>
        <w:shd w:val="clear" w:color="auto" w:fill="FFFFFF"/>
        <w:spacing w:line="360" w:lineRule="auto"/>
        <w:ind w:right="300"/>
        <w:jc w:val="center"/>
        <w:rPr>
          <w:rFonts w:hint="eastAsia" w:ascii="仿宋" w:hAnsi="仿宋" w:eastAsia="仿宋" w:cs="仿宋"/>
          <w:color w:val="auto"/>
          <w:kern w:val="0"/>
          <w:sz w:val="24"/>
          <w:szCs w:val="24"/>
          <w:highlight w:val="none"/>
        </w:rPr>
      </w:pPr>
      <w:r>
        <w:rPr>
          <w:rFonts w:hint="eastAsia" w:ascii="仿宋" w:hAnsi="仿宋" w:eastAsia="仿宋" w:cs="仿宋"/>
          <w:b/>
          <w:bCs/>
          <w:color w:val="auto"/>
          <w:kern w:val="0"/>
          <w:sz w:val="24"/>
          <w:szCs w:val="24"/>
          <w:highlight w:val="none"/>
        </w:rPr>
        <w:t>第五章 附 则</w:t>
      </w:r>
    </w:p>
    <w:p w14:paraId="5D44BD3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第九条  由于甲方属于特殊行业，不允许出现重大事故，若出现重大事故则考核为一票否决。</w:t>
      </w:r>
    </w:p>
    <w:p w14:paraId="54F3E4E7">
      <w:pPr>
        <w:spacing w:line="360" w:lineRule="auto"/>
        <w:rPr>
          <w:rFonts w:hint="eastAsia" w:ascii="仿宋" w:hAnsi="仿宋" w:eastAsia="仿宋" w:cs="仿宋"/>
          <w:color w:val="auto"/>
          <w:sz w:val="24"/>
          <w:szCs w:val="24"/>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eastAsia" w:ascii="仿宋" w:hAnsi="仿宋" w:eastAsia="仿宋" w:cs="仿宋"/>
          <w:color w:val="auto"/>
          <w:sz w:val="24"/>
          <w:szCs w:val="24"/>
          <w:highlight w:val="none"/>
        </w:rPr>
        <w:t>第十条  该考核办法在运行过程中，根据实际情况可进行内容补充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调整</w:t>
      </w:r>
      <w:r>
        <w:rPr>
          <w:rFonts w:hint="eastAsia" w:ascii="仿宋" w:hAnsi="仿宋" w:eastAsia="仿宋" w:cs="仿宋"/>
          <w:color w:val="auto"/>
          <w:sz w:val="24"/>
          <w:szCs w:val="24"/>
          <w:highlight w:val="none"/>
        </w:rPr>
        <w:t>。</w:t>
      </w:r>
    </w:p>
    <w:p w14:paraId="15DDFE9C">
      <w:pPr>
        <w:pStyle w:val="24"/>
        <w:keepNext w:val="0"/>
        <w:keepLines w:val="0"/>
        <w:pageBreakBefore w:val="0"/>
        <w:widowControl w:val="0"/>
        <w:numPr>
          <w:ilvl w:val="0"/>
          <w:numId w:val="0"/>
        </w:numPr>
        <w:kinsoku/>
        <w:wordWrap/>
        <w:overflowPunct w:val="0"/>
        <w:topLinePunct w:val="0"/>
        <w:autoSpaceDE/>
        <w:autoSpaceDN/>
        <w:bidi w:val="0"/>
        <w:adjustRightInd/>
        <w:snapToGrid/>
        <w:spacing w:line="460" w:lineRule="exact"/>
        <w:textAlignment w:val="auto"/>
        <w:rPr>
          <w:rStyle w:val="20"/>
          <w:rFonts w:hint="eastAsia" w:ascii="仿宋" w:hAnsi="仿宋" w:eastAsia="仿宋" w:cs="仿宋"/>
          <w:b/>
          <w:bCs/>
          <w:i w:val="0"/>
          <w:iCs w:val="0"/>
          <w:caps w:val="0"/>
          <w:color w:val="auto"/>
          <w:spacing w:val="2"/>
          <w:sz w:val="21"/>
          <w:szCs w:val="21"/>
          <w:highlight w:val="none"/>
          <w:shd w:val="clear" w:fill="FFFFFF"/>
          <w:lang w:val="en-US" w:eastAsia="zh-CN"/>
        </w:rPr>
      </w:pPr>
      <w:r>
        <w:rPr>
          <w:rStyle w:val="20"/>
          <w:rFonts w:hint="eastAsia" w:ascii="仿宋" w:hAnsi="仿宋" w:eastAsia="仿宋" w:cs="仿宋"/>
          <w:b/>
          <w:bCs/>
          <w:i w:val="0"/>
          <w:iCs w:val="0"/>
          <w:caps w:val="0"/>
          <w:color w:val="auto"/>
          <w:spacing w:val="2"/>
          <w:sz w:val="21"/>
          <w:szCs w:val="21"/>
          <w:highlight w:val="none"/>
          <w:shd w:val="clear" w:fill="FFFFFF"/>
          <w:lang w:val="en-US" w:eastAsia="zh-CN"/>
        </w:rPr>
        <w:t>中央空调维保月度考核表</w:t>
      </w:r>
    </w:p>
    <w:p w14:paraId="1815BC52">
      <w:pPr>
        <w:pStyle w:val="24"/>
        <w:keepNext w:val="0"/>
        <w:keepLines w:val="0"/>
        <w:pageBreakBefore w:val="0"/>
        <w:widowControl w:val="0"/>
        <w:numPr>
          <w:ilvl w:val="0"/>
          <w:numId w:val="0"/>
        </w:numPr>
        <w:kinsoku/>
        <w:wordWrap/>
        <w:overflowPunct w:val="0"/>
        <w:topLinePunct w:val="0"/>
        <w:autoSpaceDE/>
        <w:autoSpaceDN/>
        <w:bidi w:val="0"/>
        <w:adjustRightInd/>
        <w:snapToGrid/>
        <w:spacing w:line="460" w:lineRule="exact"/>
        <w:textAlignment w:val="auto"/>
        <w:rPr>
          <w:rStyle w:val="20"/>
          <w:rFonts w:hint="eastAsia" w:ascii="仿宋" w:hAnsi="仿宋" w:eastAsia="仿宋" w:cs="仿宋"/>
          <w:b/>
          <w:bCs/>
          <w:i w:val="0"/>
          <w:iCs w:val="0"/>
          <w:caps w:val="0"/>
          <w:color w:val="auto"/>
          <w:spacing w:val="2"/>
          <w:sz w:val="21"/>
          <w:szCs w:val="21"/>
          <w:highlight w:val="none"/>
          <w:shd w:val="clear" w:fill="FFFFFF"/>
          <w:lang w:val="en-US" w:eastAsia="zh-CN"/>
        </w:rPr>
      </w:pPr>
      <w:r>
        <w:rPr>
          <w:rStyle w:val="20"/>
          <w:rFonts w:hint="eastAsia" w:ascii="仿宋" w:hAnsi="仿宋" w:eastAsia="仿宋" w:cs="仿宋"/>
          <w:b/>
          <w:bCs/>
          <w:i w:val="0"/>
          <w:iCs w:val="0"/>
          <w:caps w:val="0"/>
          <w:color w:val="auto"/>
          <w:spacing w:val="2"/>
          <w:sz w:val="21"/>
          <w:szCs w:val="21"/>
          <w:highlight w:val="none"/>
          <w:shd w:val="clear" w:fill="FFFFFF"/>
        </w:rPr>
        <w:t>考核周期：</w:t>
      </w:r>
      <w:r>
        <w:rPr>
          <w:rStyle w:val="20"/>
          <w:rFonts w:hint="eastAsia" w:ascii="仿宋" w:hAnsi="仿宋" w:eastAsia="仿宋" w:cs="仿宋"/>
          <w:b/>
          <w:bCs/>
          <w:caps w:val="0"/>
          <w:color w:val="auto"/>
          <w:spacing w:val="2"/>
          <w:sz w:val="21"/>
          <w:szCs w:val="21"/>
          <w:highlight w:val="none"/>
          <w:shd w:val="clear" w:fill="FFFFFF"/>
        </w:rPr>
        <w:t>______年_______月</w:t>
      </w:r>
      <w:r>
        <w:rPr>
          <w:rStyle w:val="20"/>
          <w:rFonts w:hint="eastAsia" w:ascii="仿宋" w:hAnsi="仿宋" w:eastAsia="仿宋" w:cs="仿宋"/>
          <w:b/>
          <w:bCs/>
          <w:caps w:val="0"/>
          <w:color w:val="auto"/>
          <w:spacing w:val="2"/>
          <w:sz w:val="21"/>
          <w:szCs w:val="21"/>
          <w:highlight w:val="none"/>
          <w:shd w:val="clear" w:fill="FFFFFF"/>
        </w:rPr>
        <w:br w:type="textWrapping"/>
      </w:r>
      <w:r>
        <w:rPr>
          <w:rStyle w:val="20"/>
          <w:rFonts w:hint="eastAsia" w:ascii="仿宋" w:hAnsi="仿宋" w:eastAsia="仿宋" w:cs="仿宋"/>
          <w:b/>
          <w:bCs/>
          <w:caps w:val="0"/>
          <w:color w:val="auto"/>
          <w:spacing w:val="2"/>
          <w:sz w:val="21"/>
          <w:szCs w:val="21"/>
          <w:highlight w:val="none"/>
          <w:shd w:val="clear" w:fill="FFFFFF"/>
        </w:rPr>
        <w:t>被考核单位：</w:t>
      </w:r>
      <w:r>
        <w:rPr>
          <w:rFonts w:hint="eastAsia" w:ascii="仿宋" w:hAnsi="仿宋" w:eastAsia="仿宋" w:cs="仿宋"/>
          <w:i w:val="0"/>
          <w:iCs w:val="0"/>
          <w:caps w:val="0"/>
          <w:color w:val="auto"/>
          <w:spacing w:val="2"/>
          <w:sz w:val="21"/>
          <w:szCs w:val="21"/>
          <w:highlight w:val="none"/>
          <w:shd w:val="clear" w:fill="FFFFFF"/>
        </w:rPr>
        <w:br w:type="textWrapping"/>
      </w:r>
      <w:r>
        <w:rPr>
          <w:rStyle w:val="20"/>
          <w:rFonts w:hint="eastAsia" w:ascii="仿宋" w:hAnsi="仿宋" w:eastAsia="仿宋" w:cs="仿宋"/>
          <w:b/>
          <w:bCs/>
          <w:i w:val="0"/>
          <w:iCs w:val="0"/>
          <w:caps w:val="0"/>
          <w:color w:val="auto"/>
          <w:spacing w:val="2"/>
          <w:sz w:val="21"/>
          <w:szCs w:val="21"/>
          <w:highlight w:val="none"/>
          <w:shd w:val="clear" w:fill="FFFFFF"/>
        </w:rPr>
        <w:t>考核院区：</w:t>
      </w:r>
      <w:r>
        <w:rPr>
          <w:rFonts w:hint="eastAsia" w:ascii="仿宋" w:hAnsi="仿宋" w:eastAsia="仿宋" w:cs="仿宋"/>
          <w:i w:val="0"/>
          <w:iCs w:val="0"/>
          <w:caps w:val="0"/>
          <w:color w:val="auto"/>
          <w:spacing w:val="2"/>
          <w:sz w:val="21"/>
          <w:szCs w:val="21"/>
          <w:highlight w:val="none"/>
          <w:shd w:val="clear" w:fill="FFFFFF"/>
        </w:rPr>
        <w:t> □ 曲江院区 □ 后宰门院区</w:t>
      </w:r>
    </w:p>
    <w:tbl>
      <w:tblPr>
        <w:tblStyle w:val="18"/>
        <w:tblW w:w="14160" w:type="dxa"/>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1529"/>
        <w:gridCol w:w="4297"/>
        <w:gridCol w:w="1033"/>
        <w:gridCol w:w="4521"/>
        <w:gridCol w:w="767"/>
        <w:gridCol w:w="1413"/>
      </w:tblGrid>
      <w:tr w14:paraId="3B05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shd w:val="clear" w:color="auto" w:fill="auto"/>
            <w:vAlign w:val="center"/>
          </w:tcPr>
          <w:p w14:paraId="6924A40E">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序号</w:t>
            </w:r>
          </w:p>
        </w:tc>
        <w:tc>
          <w:tcPr>
            <w:tcW w:w="1529" w:type="dxa"/>
            <w:shd w:val="clear" w:color="auto" w:fill="auto"/>
            <w:vAlign w:val="center"/>
          </w:tcPr>
          <w:p w14:paraId="32264CD9">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考核项目</w:t>
            </w:r>
          </w:p>
        </w:tc>
        <w:tc>
          <w:tcPr>
            <w:tcW w:w="4297" w:type="dxa"/>
            <w:shd w:val="clear" w:color="auto" w:fill="auto"/>
            <w:vAlign w:val="center"/>
          </w:tcPr>
          <w:p w14:paraId="06427F3E">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考核内容与标准</w:t>
            </w:r>
          </w:p>
        </w:tc>
        <w:tc>
          <w:tcPr>
            <w:tcW w:w="1033" w:type="dxa"/>
            <w:shd w:val="clear" w:color="auto" w:fill="auto"/>
            <w:vAlign w:val="center"/>
          </w:tcPr>
          <w:p w14:paraId="09BE45BF">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分值</w:t>
            </w:r>
          </w:p>
          <w:p w14:paraId="14E71230">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（100分）</w:t>
            </w:r>
          </w:p>
        </w:tc>
        <w:tc>
          <w:tcPr>
            <w:tcW w:w="4521" w:type="dxa"/>
            <w:shd w:val="clear" w:color="auto" w:fill="auto"/>
            <w:vAlign w:val="center"/>
          </w:tcPr>
          <w:p w14:paraId="39F227C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评分细则</w:t>
            </w:r>
          </w:p>
        </w:tc>
        <w:tc>
          <w:tcPr>
            <w:tcW w:w="767" w:type="dxa"/>
            <w:shd w:val="clear" w:color="auto" w:fill="auto"/>
            <w:vAlign w:val="center"/>
          </w:tcPr>
          <w:p w14:paraId="263632D3">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实际得分</w:t>
            </w:r>
          </w:p>
        </w:tc>
        <w:tc>
          <w:tcPr>
            <w:tcW w:w="1413" w:type="dxa"/>
            <w:shd w:val="clear" w:color="auto" w:fill="auto"/>
            <w:vAlign w:val="center"/>
          </w:tcPr>
          <w:p w14:paraId="6EF78783">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扣分原因及事实描述</w:t>
            </w:r>
          </w:p>
        </w:tc>
      </w:tr>
      <w:tr w14:paraId="5AA1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ACBC10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w:t>
            </w:r>
          </w:p>
        </w:tc>
        <w:tc>
          <w:tcPr>
            <w:tcW w:w="13560" w:type="dxa"/>
            <w:gridSpan w:val="6"/>
          </w:tcPr>
          <w:p w14:paraId="31EA529C">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日常巡检与预防性保养 (33分)</w:t>
            </w:r>
          </w:p>
        </w:tc>
      </w:tr>
      <w:tr w14:paraId="46BC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70070BAD">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1.1</w:t>
            </w:r>
          </w:p>
        </w:tc>
        <w:tc>
          <w:tcPr>
            <w:tcW w:w="1529" w:type="dxa"/>
            <w:vAlign w:val="center"/>
          </w:tcPr>
          <w:p w14:paraId="23EC38A0">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巡检计划与执行</w:t>
            </w:r>
          </w:p>
        </w:tc>
        <w:tc>
          <w:tcPr>
            <w:tcW w:w="4297" w:type="dxa"/>
            <w:vAlign w:val="center"/>
          </w:tcPr>
          <w:p w14:paraId="7C49BA7C">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严格按照合同约定频次（如每日/每周/每月）对空调设备进行巡检，并有详细巡检记录。</w:t>
            </w:r>
          </w:p>
        </w:tc>
        <w:tc>
          <w:tcPr>
            <w:tcW w:w="1033" w:type="dxa"/>
            <w:vAlign w:val="center"/>
          </w:tcPr>
          <w:p w14:paraId="13C42304">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4521" w:type="dxa"/>
          </w:tcPr>
          <w:p w14:paraId="06A5E67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巡检记录完整、规范，无遗漏，得10分。每少一次巡检或记录不完整/不规范，扣2分，扣完为止。</w:t>
            </w:r>
          </w:p>
        </w:tc>
        <w:tc>
          <w:tcPr>
            <w:tcW w:w="767" w:type="dxa"/>
          </w:tcPr>
          <w:p w14:paraId="1FFFD258">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434B96E3">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6E51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59AC734F">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1.2</w:t>
            </w:r>
          </w:p>
        </w:tc>
        <w:tc>
          <w:tcPr>
            <w:tcW w:w="1529" w:type="dxa"/>
            <w:vAlign w:val="center"/>
          </w:tcPr>
          <w:p w14:paraId="077C329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设备运行状态</w:t>
            </w:r>
          </w:p>
        </w:tc>
        <w:tc>
          <w:tcPr>
            <w:tcW w:w="4297" w:type="dxa"/>
            <w:vAlign w:val="center"/>
          </w:tcPr>
          <w:p w14:paraId="6DEAF0C1">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巡检时准确判断设备运行状态，及时发现潜在问题并记录上报。</w:t>
            </w:r>
          </w:p>
        </w:tc>
        <w:tc>
          <w:tcPr>
            <w:tcW w:w="1033" w:type="dxa"/>
            <w:vAlign w:val="center"/>
          </w:tcPr>
          <w:p w14:paraId="225A33B7">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8</w:t>
            </w:r>
          </w:p>
        </w:tc>
        <w:tc>
          <w:tcPr>
            <w:tcW w:w="4521" w:type="dxa"/>
          </w:tcPr>
          <w:p w14:paraId="77459C8D">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设备运行参数在正常范围，潜在问题及时发现并上报，得8分。发现一处设备异常未及时上报或判断失误，扣2分，扣完为止。</w:t>
            </w:r>
          </w:p>
        </w:tc>
        <w:tc>
          <w:tcPr>
            <w:tcW w:w="767" w:type="dxa"/>
          </w:tcPr>
          <w:p w14:paraId="531DAFD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7D66AAD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AF4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385D27B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1.3</w:t>
            </w:r>
          </w:p>
        </w:tc>
        <w:tc>
          <w:tcPr>
            <w:tcW w:w="1529" w:type="dxa"/>
            <w:vAlign w:val="center"/>
          </w:tcPr>
          <w:p w14:paraId="254EC374">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预防性保养实施</w:t>
            </w:r>
          </w:p>
        </w:tc>
        <w:tc>
          <w:tcPr>
            <w:tcW w:w="4297" w:type="dxa"/>
            <w:vAlign w:val="center"/>
          </w:tcPr>
          <w:p w14:paraId="372C8940">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严格按照合同约定的保养周期和项目（如过滤器清洁/更换、冷凝器/蒸发器清洁、润滑、紧固等）进行预防性保养，并有保养记录和相关凭证。</w:t>
            </w:r>
          </w:p>
        </w:tc>
        <w:tc>
          <w:tcPr>
            <w:tcW w:w="1033" w:type="dxa"/>
            <w:shd w:val="clear" w:color="auto" w:fill="FFFFFF" w:themeFill="background1"/>
            <w:vAlign w:val="center"/>
          </w:tcPr>
          <w:p w14:paraId="79C74B7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4521" w:type="dxa"/>
            <w:shd w:val="clear" w:color="auto" w:fill="FFFFFF" w:themeFill="background1"/>
            <w:vAlign w:val="center"/>
          </w:tcPr>
          <w:p w14:paraId="1D24822F">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保养项目齐全、到位，记录清晰，得10分。每遗漏一项保养或保养不到位，扣2分；记录不规范，扣1分/项，扣完为止。</w:t>
            </w:r>
          </w:p>
        </w:tc>
        <w:tc>
          <w:tcPr>
            <w:tcW w:w="767" w:type="dxa"/>
          </w:tcPr>
          <w:p w14:paraId="0AB36A10">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0DAD729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E04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275968E0">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1.4</w:t>
            </w:r>
          </w:p>
        </w:tc>
        <w:tc>
          <w:tcPr>
            <w:tcW w:w="1529" w:type="dxa"/>
            <w:vAlign w:val="center"/>
          </w:tcPr>
          <w:p w14:paraId="351476A3">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清洁与环境</w:t>
            </w:r>
          </w:p>
        </w:tc>
        <w:tc>
          <w:tcPr>
            <w:tcW w:w="4297" w:type="dxa"/>
            <w:vAlign w:val="center"/>
          </w:tcPr>
          <w:p w14:paraId="1E5E1055">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维保工作区域及设备表面清洁，工具材料摆放有序，无遗留垃圾。</w:t>
            </w:r>
          </w:p>
        </w:tc>
        <w:tc>
          <w:tcPr>
            <w:tcW w:w="1033" w:type="dxa"/>
            <w:vAlign w:val="center"/>
          </w:tcPr>
          <w:p w14:paraId="5681F9AE">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tcPr>
          <w:p w14:paraId="012BB338">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工作区域及设备清洁，工具材料整理到位，得5分。发现一处不清洁或工具材料乱放，扣1分，扣完为止。</w:t>
            </w:r>
          </w:p>
        </w:tc>
        <w:tc>
          <w:tcPr>
            <w:tcW w:w="767" w:type="dxa"/>
          </w:tcPr>
          <w:p w14:paraId="29FC1065">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5029ED7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434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6107DA4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w:t>
            </w:r>
          </w:p>
        </w:tc>
        <w:tc>
          <w:tcPr>
            <w:tcW w:w="13560" w:type="dxa"/>
            <w:gridSpan w:val="6"/>
            <w:vAlign w:val="center"/>
          </w:tcPr>
          <w:p w14:paraId="2FCC4E0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故障维修与应急处理 (30分)</w:t>
            </w:r>
          </w:p>
        </w:tc>
      </w:tr>
      <w:tr w14:paraId="664BD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2DBF3544">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2.1</w:t>
            </w:r>
          </w:p>
        </w:tc>
        <w:tc>
          <w:tcPr>
            <w:tcW w:w="1529" w:type="dxa"/>
            <w:vAlign w:val="center"/>
          </w:tcPr>
          <w:p w14:paraId="2E59029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响应时间</w:t>
            </w:r>
          </w:p>
        </w:tc>
        <w:tc>
          <w:tcPr>
            <w:tcW w:w="4297" w:type="dxa"/>
          </w:tcPr>
          <w:p w14:paraId="2B5B43A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接到故障报修后，按合同约定时间（5分钟内响应，10小时内到达现场）到达现场处理。</w:t>
            </w:r>
          </w:p>
        </w:tc>
        <w:tc>
          <w:tcPr>
            <w:tcW w:w="1033" w:type="dxa"/>
            <w:shd w:val="clear" w:color="auto" w:fill="FFFFFF" w:themeFill="background1"/>
            <w:vAlign w:val="center"/>
          </w:tcPr>
          <w:p w14:paraId="286CB060">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shd w:val="clear" w:color="auto" w:fill="FFFFFF" w:themeFill="background1"/>
          </w:tcPr>
          <w:p w14:paraId="67C7B0D8">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100%按约定时间响应并到达，得5分。每延迟1小时（不足1小时按1小时计），扣1分，扣完为止。</w:t>
            </w:r>
          </w:p>
        </w:tc>
        <w:tc>
          <w:tcPr>
            <w:tcW w:w="767" w:type="dxa"/>
          </w:tcPr>
          <w:p w14:paraId="77CC025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3881DEE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CB7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57E9D73F">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2.2</w:t>
            </w:r>
          </w:p>
        </w:tc>
        <w:tc>
          <w:tcPr>
            <w:tcW w:w="1529" w:type="dxa"/>
            <w:vAlign w:val="center"/>
          </w:tcPr>
          <w:p w14:paraId="6F412CC3">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维修及时性</w:t>
            </w:r>
          </w:p>
        </w:tc>
        <w:tc>
          <w:tcPr>
            <w:tcW w:w="4297" w:type="dxa"/>
          </w:tcPr>
          <w:p w14:paraId="0E7FBBDD">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一般故障在合同约定时间内（1小时）修复；重大故障提供书面方案并按方案时间修复或采取临时措施。</w:t>
            </w:r>
          </w:p>
        </w:tc>
        <w:tc>
          <w:tcPr>
            <w:tcW w:w="1033" w:type="dxa"/>
            <w:vAlign w:val="center"/>
          </w:tcPr>
          <w:p w14:paraId="1FAA37CC">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4521" w:type="dxa"/>
          </w:tcPr>
          <w:p w14:paraId="0EF3B922">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一般故障按时修复，重大故障及时处理，得10分。一般故障每超期1小时，扣2分；重大故障未及时提供方案或未按方案执行，扣5分/次，扣完为止。</w:t>
            </w:r>
          </w:p>
        </w:tc>
        <w:tc>
          <w:tcPr>
            <w:tcW w:w="767" w:type="dxa"/>
          </w:tcPr>
          <w:p w14:paraId="356729E5">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3454A6F8">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785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33AA05F7">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2.3</w:t>
            </w:r>
          </w:p>
        </w:tc>
        <w:tc>
          <w:tcPr>
            <w:tcW w:w="1529" w:type="dxa"/>
            <w:vAlign w:val="center"/>
          </w:tcPr>
          <w:p w14:paraId="26826E36">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维修质量</w:t>
            </w:r>
          </w:p>
        </w:tc>
        <w:tc>
          <w:tcPr>
            <w:tcW w:w="4297" w:type="dxa"/>
          </w:tcPr>
          <w:p w14:paraId="389E3B3B">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故障修复彻底，短期内无重复发生；更换配件为原厂或同等质量合格产品，并有更换记录。</w:t>
            </w:r>
          </w:p>
        </w:tc>
        <w:tc>
          <w:tcPr>
            <w:tcW w:w="1033" w:type="dxa"/>
            <w:vAlign w:val="center"/>
          </w:tcPr>
          <w:p w14:paraId="1D2FC96E">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10</w:t>
            </w:r>
          </w:p>
        </w:tc>
        <w:tc>
          <w:tcPr>
            <w:tcW w:w="4521" w:type="dxa"/>
          </w:tcPr>
          <w:p w14:paraId="1F28093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故障彻底修复，无重复发生，配件合格，记录完整，得10分。同一故障一月内重复发生，扣5分/次；使用不合格配件，扣10分/次。</w:t>
            </w:r>
          </w:p>
        </w:tc>
        <w:tc>
          <w:tcPr>
            <w:tcW w:w="767" w:type="dxa"/>
          </w:tcPr>
          <w:p w14:paraId="1CB3CFD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66143015">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7946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5029CC9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2.4</w:t>
            </w:r>
          </w:p>
        </w:tc>
        <w:tc>
          <w:tcPr>
            <w:tcW w:w="1529" w:type="dxa"/>
            <w:vAlign w:val="center"/>
          </w:tcPr>
          <w:p w14:paraId="10382EC2">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应急处理能力</w:t>
            </w:r>
          </w:p>
        </w:tc>
        <w:tc>
          <w:tcPr>
            <w:tcW w:w="4297" w:type="dxa"/>
          </w:tcPr>
          <w:p w14:paraId="658885CB">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接到紧急故障（如大面积停机、影响重要区域等）后，按合同约定最快时间到达并组织抢修，有应急方案并演练。</w:t>
            </w:r>
          </w:p>
        </w:tc>
        <w:tc>
          <w:tcPr>
            <w:tcW w:w="1033" w:type="dxa"/>
            <w:vAlign w:val="center"/>
          </w:tcPr>
          <w:p w14:paraId="795F4112">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tcPr>
          <w:p w14:paraId="3C91384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应急响应迅速，处理得当，有效降低影响，得5分。响应迟缓或处理不当造成不良影响，扣3-5分。</w:t>
            </w:r>
          </w:p>
        </w:tc>
        <w:tc>
          <w:tcPr>
            <w:tcW w:w="767" w:type="dxa"/>
          </w:tcPr>
          <w:p w14:paraId="7C7E15A3">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08A4ED1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7119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29F662F">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13560" w:type="dxa"/>
            <w:gridSpan w:val="6"/>
          </w:tcPr>
          <w:p w14:paraId="5D646BA2">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b/>
                <w:bCs/>
                <w:color w:val="auto"/>
                <w:kern w:val="0"/>
                <w:sz w:val="21"/>
                <w:szCs w:val="21"/>
                <w:highlight w:val="none"/>
                <w:vertAlign w:val="baseline"/>
                <w:lang w:val="en-US" w:eastAsia="zh-CN" w:bidi="ar-SA"/>
              </w:rPr>
              <w:t>人员与管理 (18分)</w:t>
            </w:r>
          </w:p>
        </w:tc>
      </w:tr>
      <w:tr w14:paraId="5DB38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111001D2">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3.1</w:t>
            </w:r>
          </w:p>
        </w:tc>
        <w:tc>
          <w:tcPr>
            <w:tcW w:w="1529" w:type="dxa"/>
            <w:shd w:val="clear" w:color="auto" w:fill="FFFFFF" w:themeFill="background1"/>
            <w:vAlign w:val="center"/>
          </w:tcPr>
          <w:p w14:paraId="0C209278">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项目经理与培训</w:t>
            </w:r>
          </w:p>
        </w:tc>
        <w:tc>
          <w:tcPr>
            <w:tcW w:w="4297" w:type="dxa"/>
            <w:shd w:val="clear" w:color="auto" w:fill="FFFFFF" w:themeFill="background1"/>
            <w:vAlign w:val="center"/>
          </w:tcPr>
          <w:p w14:paraId="1875663D">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项目经理每周在两院区时间不少于40小时。驻守人员着装统一规范，佩戴工牌；定期进行专业技能和医院相关规章制度培训。</w:t>
            </w:r>
          </w:p>
        </w:tc>
        <w:tc>
          <w:tcPr>
            <w:tcW w:w="1033" w:type="dxa"/>
            <w:shd w:val="clear" w:color="auto" w:fill="FFFFFF" w:themeFill="background1"/>
            <w:vAlign w:val="center"/>
          </w:tcPr>
          <w:p w14:paraId="20E82054">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shd w:val="clear" w:color="auto" w:fill="FFFFFF" w:themeFill="background1"/>
            <w:vAlign w:val="top"/>
          </w:tcPr>
          <w:p w14:paraId="631E430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项目经理每周在两院区时间不少于40小时，得2分，少于40小时扣2分。人员资质符合要求，着装规范，得3分。发现无证上岗或着装不规范，扣1分/人；未提供培训记录，扣3分。</w:t>
            </w:r>
          </w:p>
        </w:tc>
        <w:tc>
          <w:tcPr>
            <w:tcW w:w="767" w:type="dxa"/>
          </w:tcPr>
          <w:p w14:paraId="4D7F3EF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00E64BC3">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7665E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2280D017">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3.2</w:t>
            </w:r>
          </w:p>
        </w:tc>
        <w:tc>
          <w:tcPr>
            <w:tcW w:w="1529" w:type="dxa"/>
            <w:vAlign w:val="center"/>
          </w:tcPr>
          <w:p w14:paraId="7340709A">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安全操作</w:t>
            </w:r>
          </w:p>
        </w:tc>
        <w:tc>
          <w:tcPr>
            <w:tcW w:w="4297" w:type="dxa"/>
            <w:vAlign w:val="center"/>
          </w:tcPr>
          <w:p w14:paraId="3165A0B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严格遵守医院安全管理规定及操作规程，无安全事故发生（如触电、火灾、设备损坏等）。</w:t>
            </w:r>
          </w:p>
        </w:tc>
        <w:tc>
          <w:tcPr>
            <w:tcW w:w="1033" w:type="dxa"/>
            <w:vAlign w:val="center"/>
          </w:tcPr>
          <w:p w14:paraId="74DD35E2">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tcPr>
          <w:p w14:paraId="7637F062">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无安全事故，操作规范，得5分。发生一般安全隐患未造成损失，扣2分；发生安全事故，视情节扣5-10分，并追究相关责任。</w:t>
            </w:r>
          </w:p>
        </w:tc>
        <w:tc>
          <w:tcPr>
            <w:tcW w:w="767" w:type="dxa"/>
          </w:tcPr>
          <w:p w14:paraId="56E3526F">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3312A720">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1F0F4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3C32E2CE">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3.3</w:t>
            </w:r>
          </w:p>
        </w:tc>
        <w:tc>
          <w:tcPr>
            <w:tcW w:w="1529" w:type="dxa"/>
            <w:vAlign w:val="center"/>
          </w:tcPr>
          <w:p w14:paraId="4044F0B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资料记录与提交</w:t>
            </w:r>
          </w:p>
        </w:tc>
        <w:tc>
          <w:tcPr>
            <w:tcW w:w="4297" w:type="dxa"/>
            <w:vAlign w:val="center"/>
          </w:tcPr>
          <w:p w14:paraId="080E591F">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按时提交月度维保总结报告、设备运行状况分析、耗材更换计划、维修记录等资料，内容真实、准确、完整。</w:t>
            </w:r>
          </w:p>
        </w:tc>
        <w:tc>
          <w:tcPr>
            <w:tcW w:w="1033" w:type="dxa"/>
            <w:vAlign w:val="center"/>
          </w:tcPr>
          <w:p w14:paraId="65793838">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5</w:t>
            </w:r>
          </w:p>
        </w:tc>
        <w:tc>
          <w:tcPr>
            <w:tcW w:w="4521" w:type="dxa"/>
          </w:tcPr>
          <w:p w14:paraId="7E8356E9">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资料提交及时、完整、准确，得5分。每迟交1天扣1分；内容不完整或不准确，每项扣1分，扣完为止。</w:t>
            </w:r>
          </w:p>
        </w:tc>
        <w:tc>
          <w:tcPr>
            <w:tcW w:w="767" w:type="dxa"/>
          </w:tcPr>
          <w:p w14:paraId="2CF464A3">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5F04AB8C">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66A9B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7E8BA1E1">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3.4</w:t>
            </w:r>
          </w:p>
        </w:tc>
        <w:tc>
          <w:tcPr>
            <w:tcW w:w="1529" w:type="dxa"/>
            <w:shd w:val="clear" w:color="auto" w:fill="FFFFFF" w:themeFill="background1"/>
            <w:vAlign w:val="center"/>
          </w:tcPr>
          <w:p w14:paraId="798D6D7A">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备品备件管理</w:t>
            </w:r>
          </w:p>
        </w:tc>
        <w:tc>
          <w:tcPr>
            <w:tcW w:w="4297" w:type="dxa"/>
            <w:shd w:val="clear" w:color="auto" w:fill="FFFFFF" w:themeFill="background1"/>
            <w:vAlign w:val="center"/>
          </w:tcPr>
          <w:p w14:paraId="6071A38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常用备品备件储备充足，能满足维修需求；更换下的废旧物料按医院规定处理。</w:t>
            </w:r>
          </w:p>
        </w:tc>
        <w:tc>
          <w:tcPr>
            <w:tcW w:w="1033" w:type="dxa"/>
            <w:shd w:val="clear" w:color="auto" w:fill="FFFFFF" w:themeFill="background1"/>
            <w:vAlign w:val="center"/>
          </w:tcPr>
          <w:p w14:paraId="31601F03">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4521" w:type="dxa"/>
            <w:shd w:val="clear" w:color="auto" w:fill="FFFFFF" w:themeFill="background1"/>
          </w:tcPr>
          <w:p w14:paraId="62F777D9">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备件充足，废旧物料处理规范，得3分。因备件不足导致维修延误，扣1分/次；废旧物料处理不当，扣1分/次。</w:t>
            </w:r>
          </w:p>
        </w:tc>
        <w:tc>
          <w:tcPr>
            <w:tcW w:w="767" w:type="dxa"/>
          </w:tcPr>
          <w:p w14:paraId="600457B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5044F70D">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7AD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Pr>
          <w:p w14:paraId="7BF72F35">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w:t>
            </w:r>
          </w:p>
        </w:tc>
        <w:tc>
          <w:tcPr>
            <w:tcW w:w="13560" w:type="dxa"/>
            <w:gridSpan w:val="6"/>
            <w:shd w:val="clear" w:color="auto" w:fill="FFFFFF" w:themeFill="background1"/>
            <w:vAlign w:val="center"/>
          </w:tcPr>
          <w:p w14:paraId="09EB3498">
            <w:pPr>
              <w:pStyle w:val="24"/>
              <w:keepNext w:val="0"/>
              <w:keepLines w:val="0"/>
              <w:pageBreakBefore w:val="0"/>
              <w:widowControl w:val="0"/>
              <w:kinsoku/>
              <w:wordWrap/>
              <w:overflowPunct w:val="0"/>
              <w:topLinePunct w:val="0"/>
              <w:autoSpaceDE/>
              <w:autoSpaceDN/>
              <w:bidi w:val="0"/>
              <w:adjustRightInd/>
              <w:snapToGrid/>
              <w:spacing w:line="360" w:lineRule="exact"/>
              <w:jc w:val="left"/>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服务质量与沟通 (19分)</w:t>
            </w:r>
          </w:p>
        </w:tc>
      </w:tr>
      <w:tr w14:paraId="09A32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0F6811AC">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4.1</w:t>
            </w:r>
          </w:p>
        </w:tc>
        <w:tc>
          <w:tcPr>
            <w:tcW w:w="1529" w:type="dxa"/>
            <w:shd w:val="clear" w:color="auto" w:fill="FFFFFF" w:themeFill="background1"/>
            <w:vAlign w:val="center"/>
          </w:tcPr>
          <w:p w14:paraId="103758C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服务态度</w:t>
            </w:r>
          </w:p>
        </w:tc>
        <w:tc>
          <w:tcPr>
            <w:tcW w:w="4297" w:type="dxa"/>
            <w:shd w:val="clear" w:color="auto" w:fill="FFFFFF" w:themeFill="background1"/>
          </w:tcPr>
          <w:p w14:paraId="049AE570">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服务热情、主动，耐心解答疑问，虚心接受意见。</w:t>
            </w:r>
          </w:p>
        </w:tc>
        <w:tc>
          <w:tcPr>
            <w:tcW w:w="1033" w:type="dxa"/>
            <w:shd w:val="clear" w:color="auto" w:fill="FFFFFF" w:themeFill="background1"/>
            <w:vAlign w:val="center"/>
          </w:tcPr>
          <w:p w14:paraId="3EC35277">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4521" w:type="dxa"/>
            <w:shd w:val="clear" w:color="auto" w:fill="FFFFFF" w:themeFill="background1"/>
            <w:vAlign w:val="center"/>
          </w:tcPr>
          <w:p w14:paraId="001165D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服务态度好，医患及院内科室反映良好，得3分。接到有效投诉一次，扣1-3分。</w:t>
            </w:r>
          </w:p>
        </w:tc>
        <w:tc>
          <w:tcPr>
            <w:tcW w:w="767" w:type="dxa"/>
          </w:tcPr>
          <w:p w14:paraId="1523AA54">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388DA09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32B0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0C536A0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4.2</w:t>
            </w:r>
          </w:p>
        </w:tc>
        <w:tc>
          <w:tcPr>
            <w:tcW w:w="1529" w:type="dxa"/>
            <w:shd w:val="clear" w:color="auto" w:fill="FFFFFF" w:themeFill="background1"/>
            <w:vAlign w:val="center"/>
          </w:tcPr>
          <w:p w14:paraId="5482E07F">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沟通协调</w:t>
            </w:r>
          </w:p>
        </w:tc>
        <w:tc>
          <w:tcPr>
            <w:tcW w:w="4297" w:type="dxa"/>
            <w:shd w:val="clear" w:color="auto" w:fill="FFFFFF" w:themeFill="background1"/>
          </w:tcPr>
          <w:p w14:paraId="07400461">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与医院后勤管理部门及使用科室保持良好沟通，重要事项及时汇报，积极配合医院工作安排。</w:t>
            </w:r>
          </w:p>
        </w:tc>
        <w:tc>
          <w:tcPr>
            <w:tcW w:w="1033" w:type="dxa"/>
            <w:shd w:val="clear" w:color="auto" w:fill="FFFFFF" w:themeFill="background1"/>
            <w:vAlign w:val="center"/>
          </w:tcPr>
          <w:p w14:paraId="5D902B95">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4521" w:type="dxa"/>
            <w:shd w:val="clear" w:color="auto" w:fill="FFFFFF" w:themeFill="background1"/>
            <w:vAlign w:val="center"/>
          </w:tcPr>
          <w:p w14:paraId="12C8BE8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沟通顺畅，配合积极，得3分。重要事项未及时汇报或配合不力，扣1-3分。</w:t>
            </w:r>
          </w:p>
        </w:tc>
        <w:tc>
          <w:tcPr>
            <w:tcW w:w="767" w:type="dxa"/>
          </w:tcPr>
          <w:p w14:paraId="79A33D2C">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1ACFCE0A">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2976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65EC711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4.3</w:t>
            </w:r>
          </w:p>
        </w:tc>
        <w:tc>
          <w:tcPr>
            <w:tcW w:w="1529" w:type="dxa"/>
            <w:shd w:val="clear" w:color="auto" w:fill="FFFFFF" w:themeFill="background1"/>
            <w:vAlign w:val="center"/>
          </w:tcPr>
          <w:p w14:paraId="05471A15">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投诉处理</w:t>
            </w:r>
          </w:p>
        </w:tc>
        <w:tc>
          <w:tcPr>
            <w:tcW w:w="4297" w:type="dxa"/>
            <w:shd w:val="clear" w:color="auto" w:fill="FFFFFF" w:themeFill="background1"/>
          </w:tcPr>
          <w:p w14:paraId="344D099E">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对医院提出的投诉或异议，能及时响应并妥善处理。</w:t>
            </w:r>
          </w:p>
        </w:tc>
        <w:tc>
          <w:tcPr>
            <w:tcW w:w="1033" w:type="dxa"/>
            <w:shd w:val="clear" w:color="auto" w:fill="FFFFFF" w:themeFill="background1"/>
            <w:vAlign w:val="center"/>
          </w:tcPr>
          <w:p w14:paraId="14CD1C87">
            <w:pPr>
              <w:pStyle w:val="24"/>
              <w:keepNext w:val="0"/>
              <w:keepLines w:val="0"/>
              <w:pageBreakBefore w:val="0"/>
              <w:widowControl w:val="0"/>
              <w:kinsoku/>
              <w:wordWrap/>
              <w:overflowPunct w:val="0"/>
              <w:topLinePunct w:val="0"/>
              <w:autoSpaceDE/>
              <w:autoSpaceDN/>
              <w:bidi w:val="0"/>
              <w:adjustRightInd/>
              <w:snapToGrid/>
              <w:spacing w:line="360" w:lineRule="exact"/>
              <w:jc w:val="center"/>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3</w:t>
            </w:r>
          </w:p>
        </w:tc>
        <w:tc>
          <w:tcPr>
            <w:tcW w:w="4521" w:type="dxa"/>
            <w:shd w:val="clear" w:color="auto" w:fill="FFFFFF" w:themeFill="background1"/>
            <w:vAlign w:val="center"/>
          </w:tcPr>
          <w:p w14:paraId="4FEFCBF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投诉处理及时、满意，得3分。投诉处理不及时或处理结果不满意，扣1-3分。</w:t>
            </w:r>
          </w:p>
        </w:tc>
        <w:tc>
          <w:tcPr>
            <w:tcW w:w="767" w:type="dxa"/>
          </w:tcPr>
          <w:p w14:paraId="3314FF13">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3DBA1EF7">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26EB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vAlign w:val="center"/>
          </w:tcPr>
          <w:p w14:paraId="2D0D398B">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default"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4.4</w:t>
            </w:r>
          </w:p>
        </w:tc>
        <w:tc>
          <w:tcPr>
            <w:tcW w:w="1529" w:type="dxa"/>
            <w:shd w:val="clear" w:color="auto" w:fill="FFFFFF" w:themeFill="background1"/>
            <w:vAlign w:val="top"/>
          </w:tcPr>
          <w:p w14:paraId="4F01A3F9">
            <w:pPr>
              <w:pStyle w:val="24"/>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满意度问卷</w:t>
            </w:r>
          </w:p>
        </w:tc>
        <w:tc>
          <w:tcPr>
            <w:tcW w:w="4297" w:type="dxa"/>
            <w:shd w:val="clear" w:color="auto" w:fill="FFFFFF" w:themeFill="background1"/>
            <w:vAlign w:val="top"/>
          </w:tcPr>
          <w:p w14:paraId="1AC22628">
            <w:pPr>
              <w:pStyle w:val="24"/>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参照满意度问卷调查表</w:t>
            </w:r>
          </w:p>
        </w:tc>
        <w:tc>
          <w:tcPr>
            <w:tcW w:w="1033" w:type="dxa"/>
            <w:shd w:val="clear" w:color="auto" w:fill="FFFFFF" w:themeFill="background1"/>
            <w:vAlign w:val="top"/>
          </w:tcPr>
          <w:p w14:paraId="53BB828A">
            <w:pPr>
              <w:pStyle w:val="24"/>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10</w:t>
            </w:r>
          </w:p>
        </w:tc>
        <w:tc>
          <w:tcPr>
            <w:tcW w:w="4521" w:type="dxa"/>
            <w:shd w:val="clear" w:color="auto" w:fill="FFFFFF" w:themeFill="background1"/>
            <w:vAlign w:val="top"/>
          </w:tcPr>
          <w:p w14:paraId="7D8556C4">
            <w:pPr>
              <w:pStyle w:val="24"/>
              <w:keepNext w:val="0"/>
              <w:keepLines w:val="0"/>
              <w:pageBreakBefore w:val="0"/>
              <w:widowControl w:val="0"/>
              <w:kinsoku/>
              <w:wordWrap/>
              <w:overflowPunct w:val="0"/>
              <w:topLinePunct w:val="0"/>
              <w:autoSpaceDE/>
              <w:autoSpaceDN/>
              <w:bidi w:val="0"/>
              <w:adjustRightInd/>
              <w:snapToGrid/>
              <w:spacing w:line="4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_GB2312" w:hAnsi="仿宋_GB2312" w:eastAsia="仿宋_GB2312" w:cs="仿宋_GB2312"/>
                <w:color w:val="auto"/>
                <w:kern w:val="0"/>
                <w:sz w:val="22"/>
                <w:szCs w:val="22"/>
                <w:highlight w:val="none"/>
                <w:vertAlign w:val="baseline"/>
                <w:lang w:val="en-US" w:eastAsia="zh-CN" w:bidi="ar-SA"/>
              </w:rPr>
              <w:t>每月发放10分问卷，结果不满意扣1—10分。</w:t>
            </w:r>
          </w:p>
        </w:tc>
        <w:tc>
          <w:tcPr>
            <w:tcW w:w="767" w:type="dxa"/>
          </w:tcPr>
          <w:p w14:paraId="1F8F3F26">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c>
          <w:tcPr>
            <w:tcW w:w="1413" w:type="dxa"/>
          </w:tcPr>
          <w:p w14:paraId="2F562FD9">
            <w:pPr>
              <w:pStyle w:val="24"/>
              <w:keepNext w:val="0"/>
              <w:keepLines w:val="0"/>
              <w:pageBreakBefore w:val="0"/>
              <w:widowControl w:val="0"/>
              <w:kinsoku/>
              <w:wordWrap/>
              <w:overflowPunct w:val="0"/>
              <w:topLinePunct w:val="0"/>
              <w:autoSpaceDE/>
              <w:autoSpaceDN/>
              <w:bidi w:val="0"/>
              <w:adjustRightInd/>
              <w:snapToGrid/>
              <w:spacing w:line="360" w:lineRule="exact"/>
              <w:jc w:val="both"/>
              <w:textAlignment w:val="auto"/>
              <w:rPr>
                <w:rFonts w:hint="eastAsia" w:ascii="仿宋" w:hAnsi="仿宋" w:eastAsia="仿宋" w:cs="仿宋"/>
                <w:color w:val="auto"/>
                <w:kern w:val="0"/>
                <w:sz w:val="21"/>
                <w:szCs w:val="21"/>
                <w:highlight w:val="none"/>
                <w:vertAlign w:val="baseline"/>
                <w:lang w:val="en-US" w:eastAsia="zh-CN" w:bidi="ar-SA"/>
              </w:rPr>
            </w:pPr>
          </w:p>
        </w:tc>
      </w:tr>
      <w:tr w14:paraId="0A7BC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9" w:hRule="atLeast"/>
        </w:trPr>
        <w:tc>
          <w:tcPr>
            <w:tcW w:w="14160" w:type="dxa"/>
            <w:gridSpan w:val="7"/>
          </w:tcPr>
          <w:p w14:paraId="020CE19B">
            <w:pPr>
              <w:pStyle w:val="16"/>
              <w:keepNext w:val="0"/>
              <w:keepLines w:val="0"/>
              <w:pageBreakBefore w:val="0"/>
              <w:widowControl/>
              <w:suppressLineNumbers w:val="0"/>
              <w:shd w:val="clear" w:fill="FFFFFF"/>
              <w:kinsoku/>
              <w:wordWrap/>
              <w:topLinePunct w:val="0"/>
              <w:autoSpaceDE/>
              <w:autoSpaceDN/>
              <w:bidi w:val="0"/>
              <w:adjustRightInd/>
              <w:snapToGrid/>
              <w:spacing w:before="0" w:beforeAutospacing="0" w:after="105" w:afterAutospacing="0" w:line="360" w:lineRule="exact"/>
              <w:ind w:left="0" w:right="0" w:firstLine="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注：</w:t>
            </w:r>
          </w:p>
          <w:p w14:paraId="06772278">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1.本考核表将作为月度服务费用支付、合同续签及年度评价的重要依据。</w:t>
            </w:r>
          </w:p>
          <w:p w14:paraId="43C824B5">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4"/>
                <w:szCs w:val="24"/>
                <w:highlight w:val="none"/>
                <w:vertAlign w:val="baseline"/>
                <w:lang w:val="en-US" w:eastAsia="zh-CN" w:bidi="ar-SA"/>
              </w:rPr>
              <w:t>2.</w:t>
            </w:r>
            <w:r>
              <w:rPr>
                <w:rFonts w:hint="eastAsia" w:ascii="仿宋" w:hAnsi="仿宋" w:eastAsia="仿宋" w:cs="仿宋"/>
                <w:color w:val="auto"/>
                <w:kern w:val="0"/>
                <w:sz w:val="21"/>
                <w:szCs w:val="21"/>
                <w:highlight w:val="none"/>
                <w:vertAlign w:val="baseline"/>
                <w:lang w:val="en-US" w:eastAsia="zh-CN" w:bidi="ar-SA"/>
              </w:rPr>
              <w:t>“扣分原因及事实描述”栏应具体、客观，必要时可附照片、记录等佐证材料。</w:t>
            </w:r>
          </w:p>
          <w:p w14:paraId="6163B14D">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4"/>
                <w:szCs w:val="24"/>
                <w:highlight w:val="none"/>
                <w:vertAlign w:val="baseline"/>
                <w:lang w:val="en-US" w:eastAsia="zh-CN" w:bidi="ar-SA"/>
              </w:rPr>
              <w:t>3.</w:t>
            </w:r>
            <w:r>
              <w:rPr>
                <w:rFonts w:hint="eastAsia" w:ascii="仿宋" w:hAnsi="仿宋" w:eastAsia="仿宋" w:cs="仿宋"/>
                <w:color w:val="auto"/>
                <w:kern w:val="0"/>
                <w:sz w:val="21"/>
                <w:szCs w:val="21"/>
                <w:highlight w:val="none"/>
                <w:vertAlign w:val="baseline"/>
                <w:lang w:val="en-US" w:eastAsia="zh-CN" w:bidi="ar-SA"/>
              </w:rPr>
              <w:t>对于严重违反合同约定或造成重大损失的情况，除扣分外，医院有权依据合同条款采取进一步措施。</w:t>
            </w:r>
          </w:p>
          <w:p w14:paraId="2DF0E641">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left="720" w:leftChars="0" w:right="0" w:rightChars="0" w:hanging="360" w:firstLineChars="0"/>
              <w:textAlignment w:val="auto"/>
              <w:rPr>
                <w:rFonts w:hint="eastAsia"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4"/>
                <w:szCs w:val="24"/>
                <w:highlight w:val="none"/>
                <w:vertAlign w:val="baseline"/>
                <w:lang w:val="en-US" w:eastAsia="zh-CN" w:bidi="ar-SA"/>
              </w:rPr>
              <w:t>4.</w:t>
            </w:r>
            <w:r>
              <w:rPr>
                <w:rFonts w:hint="eastAsia" w:ascii="仿宋" w:hAnsi="仿宋" w:eastAsia="仿宋" w:cs="仿宋"/>
                <w:color w:val="auto"/>
                <w:kern w:val="0"/>
                <w:sz w:val="21"/>
                <w:szCs w:val="21"/>
                <w:highlight w:val="none"/>
                <w:vertAlign w:val="baseline"/>
                <w:lang w:val="en-US" w:eastAsia="zh-CN" w:bidi="ar-SA"/>
              </w:rPr>
              <w:t>两个院区，可分别打分后取平均值或按权重综合。</w:t>
            </w:r>
          </w:p>
          <w:p w14:paraId="6D475C7B">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right="0" w:rightChars="0"/>
              <w:textAlignment w:val="auto"/>
              <w:rPr>
                <w:rFonts w:hint="default" w:ascii="仿宋" w:hAnsi="仿宋" w:eastAsia="仿宋" w:cs="仿宋"/>
                <w:color w:val="auto"/>
                <w:kern w:val="0"/>
                <w:sz w:val="21"/>
                <w:szCs w:val="21"/>
                <w:highlight w:val="none"/>
                <w:vertAlign w:val="baseline"/>
                <w:lang w:val="en-US" w:eastAsia="zh-CN" w:bidi="ar-SA"/>
              </w:rPr>
            </w:pPr>
            <w:r>
              <w:rPr>
                <w:rFonts w:hint="eastAsia" w:ascii="仿宋" w:hAnsi="仿宋" w:eastAsia="仿宋" w:cs="仿宋"/>
                <w:color w:val="auto"/>
                <w:kern w:val="0"/>
                <w:sz w:val="21"/>
                <w:szCs w:val="21"/>
                <w:highlight w:val="none"/>
                <w:vertAlign w:val="baseline"/>
                <w:lang w:val="en-US" w:eastAsia="zh-CN" w:bidi="ar-SA"/>
              </w:rPr>
              <w:t>考核</w:t>
            </w:r>
            <w:r>
              <w:rPr>
                <w:rFonts w:hint="default" w:ascii="仿宋" w:hAnsi="仿宋" w:eastAsia="仿宋" w:cs="仿宋"/>
                <w:color w:val="auto"/>
                <w:kern w:val="0"/>
                <w:sz w:val="21"/>
                <w:szCs w:val="21"/>
                <w:highlight w:val="none"/>
                <w:vertAlign w:val="baseline"/>
                <w:lang w:val="en-US" w:eastAsia="zh-CN" w:bidi="ar-SA"/>
              </w:rPr>
              <w:t>结果应用：</w:t>
            </w:r>
          </w:p>
          <w:p w14:paraId="1BE661EC">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right="0" w:rightChars="0" w:firstLine="420" w:firstLineChars="200"/>
              <w:textAlignment w:val="auto"/>
              <w:rPr>
                <w:rFonts w:hint="default" w:ascii="仿宋" w:hAnsi="仿宋" w:eastAsia="仿宋" w:cs="仿宋"/>
                <w:color w:val="auto"/>
                <w:kern w:val="0"/>
                <w:sz w:val="21"/>
                <w:szCs w:val="21"/>
                <w:highlight w:val="none"/>
                <w:vertAlign w:val="baseline"/>
                <w:lang w:val="en-US" w:eastAsia="zh-CN" w:bidi="ar-SA"/>
              </w:rPr>
            </w:pPr>
            <w:r>
              <w:rPr>
                <w:rFonts w:hint="default" w:ascii="仿宋" w:hAnsi="仿宋" w:eastAsia="仿宋" w:cs="仿宋"/>
                <w:color w:val="auto"/>
                <w:kern w:val="0"/>
                <w:sz w:val="21"/>
                <w:szCs w:val="21"/>
                <w:highlight w:val="none"/>
                <w:vertAlign w:val="baseline"/>
                <w:lang w:val="en-US" w:eastAsia="zh-CN" w:bidi="ar-SA"/>
              </w:rPr>
              <w:t>95-100分：付</w:t>
            </w:r>
            <w:r>
              <w:rPr>
                <w:rFonts w:hint="eastAsia" w:ascii="仿宋" w:hAnsi="仿宋" w:eastAsia="仿宋" w:cs="仿宋"/>
                <w:color w:val="auto"/>
                <w:kern w:val="0"/>
                <w:sz w:val="21"/>
                <w:szCs w:val="21"/>
                <w:highlight w:val="none"/>
                <w:vertAlign w:val="baseline"/>
                <w:lang w:val="en-US" w:eastAsia="zh-CN" w:bidi="ar-SA"/>
              </w:rPr>
              <w:t>当月服务费</w:t>
            </w:r>
            <w:r>
              <w:rPr>
                <w:rFonts w:hint="default" w:ascii="仿宋" w:hAnsi="仿宋" w:eastAsia="仿宋" w:cs="仿宋"/>
                <w:color w:val="auto"/>
                <w:kern w:val="0"/>
                <w:sz w:val="21"/>
                <w:szCs w:val="21"/>
                <w:highlight w:val="none"/>
                <w:vertAlign w:val="baseline"/>
                <w:lang w:val="en-US" w:eastAsia="zh-CN" w:bidi="ar-SA"/>
              </w:rPr>
              <w:t>100％，；</w:t>
            </w:r>
          </w:p>
          <w:p w14:paraId="012C0574">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right="0" w:rightChars="0" w:firstLine="420" w:firstLineChars="200"/>
              <w:textAlignment w:val="auto"/>
              <w:rPr>
                <w:rFonts w:hint="default" w:ascii="仿宋" w:hAnsi="仿宋" w:eastAsia="仿宋" w:cs="仿宋"/>
                <w:color w:val="auto"/>
                <w:kern w:val="0"/>
                <w:sz w:val="21"/>
                <w:szCs w:val="21"/>
                <w:highlight w:val="none"/>
                <w:vertAlign w:val="baseline"/>
                <w:lang w:val="en-US" w:eastAsia="zh-CN" w:bidi="ar-SA"/>
              </w:rPr>
            </w:pPr>
            <w:r>
              <w:rPr>
                <w:rFonts w:hint="default" w:ascii="仿宋" w:hAnsi="仿宋" w:eastAsia="仿宋" w:cs="仿宋"/>
                <w:color w:val="auto"/>
                <w:kern w:val="0"/>
                <w:sz w:val="21"/>
                <w:szCs w:val="21"/>
                <w:highlight w:val="none"/>
                <w:vertAlign w:val="baseline"/>
                <w:lang w:val="en-US" w:eastAsia="zh-CN" w:bidi="ar-SA"/>
              </w:rPr>
              <w:t>94分（含）及以下：每低1分，按当月服务费扣除0.5％，并限期整改；</w:t>
            </w:r>
          </w:p>
          <w:p w14:paraId="5786482B">
            <w:pPr>
              <w:keepNext w:val="0"/>
              <w:keepLines w:val="0"/>
              <w:pageBreakBefore w:val="0"/>
              <w:widowControl/>
              <w:numPr>
                <w:ilvl w:val="0"/>
                <w:numId w:val="0"/>
              </w:numPr>
              <w:suppressLineNumbers w:val="0"/>
              <w:kinsoku/>
              <w:wordWrap/>
              <w:topLinePunct w:val="0"/>
              <w:autoSpaceDE/>
              <w:autoSpaceDN/>
              <w:bidi w:val="0"/>
              <w:adjustRightInd/>
              <w:snapToGrid/>
              <w:spacing w:before="0" w:beforeAutospacing="0" w:after="105" w:afterAutospacing="0" w:line="360" w:lineRule="exact"/>
              <w:ind w:right="0" w:rightChars="0" w:firstLine="420" w:firstLineChars="200"/>
              <w:textAlignment w:val="auto"/>
              <w:rPr>
                <w:rFonts w:hint="default" w:ascii="仿宋" w:hAnsi="仿宋" w:eastAsia="仿宋" w:cs="仿宋"/>
                <w:color w:val="auto"/>
                <w:kern w:val="0"/>
                <w:sz w:val="21"/>
                <w:szCs w:val="21"/>
                <w:highlight w:val="none"/>
                <w:vertAlign w:val="baseline"/>
                <w:lang w:val="en-US" w:eastAsia="zh-CN" w:bidi="ar-SA"/>
              </w:rPr>
            </w:pPr>
            <w:r>
              <w:rPr>
                <w:rFonts w:hint="default" w:ascii="仿宋" w:hAnsi="仿宋" w:eastAsia="仿宋" w:cs="仿宋"/>
                <w:color w:val="auto"/>
                <w:kern w:val="0"/>
                <w:sz w:val="21"/>
                <w:szCs w:val="21"/>
                <w:highlight w:val="none"/>
                <w:vertAlign w:val="baseline"/>
                <w:lang w:val="en-US" w:eastAsia="zh-CN" w:bidi="ar-SA"/>
              </w:rPr>
              <w:t>85-70分：每低1分，按当月服务费扣除0.5％，约谈</w:t>
            </w:r>
            <w:r>
              <w:rPr>
                <w:rFonts w:hint="eastAsia" w:ascii="仿宋" w:hAnsi="仿宋" w:eastAsia="仿宋" w:cs="仿宋"/>
                <w:color w:val="auto"/>
                <w:kern w:val="0"/>
                <w:sz w:val="21"/>
                <w:szCs w:val="21"/>
                <w:highlight w:val="none"/>
                <w:vertAlign w:val="baseline"/>
                <w:lang w:val="en-US" w:eastAsia="zh-CN" w:bidi="ar-SA"/>
              </w:rPr>
              <w:t>服务单位</w:t>
            </w:r>
            <w:r>
              <w:rPr>
                <w:rFonts w:hint="default" w:ascii="仿宋" w:hAnsi="仿宋" w:eastAsia="仿宋" w:cs="仿宋"/>
                <w:color w:val="auto"/>
                <w:kern w:val="0"/>
                <w:sz w:val="21"/>
                <w:szCs w:val="21"/>
                <w:highlight w:val="none"/>
                <w:vertAlign w:val="baseline"/>
                <w:lang w:val="en-US" w:eastAsia="zh-CN" w:bidi="ar-SA"/>
              </w:rPr>
              <w:t>负责人；</w:t>
            </w:r>
          </w:p>
          <w:p w14:paraId="2E8852E6">
            <w:pPr>
              <w:pStyle w:val="2"/>
              <w:ind w:firstLine="420" w:firstLineChars="200"/>
              <w:rPr>
                <w:rFonts w:hint="eastAsia"/>
                <w:color w:val="auto"/>
                <w:highlight w:val="none"/>
                <w:lang w:val="en-US" w:eastAsia="zh-CN"/>
              </w:rPr>
            </w:pPr>
            <w:bookmarkStart w:id="4" w:name="_GoBack"/>
            <w:bookmarkEnd w:id="4"/>
            <w:r>
              <w:rPr>
                <w:rFonts w:hint="default" w:ascii="仿宋" w:hAnsi="仿宋" w:eastAsia="仿宋" w:cs="仿宋"/>
                <w:color w:val="auto"/>
                <w:kern w:val="0"/>
                <w:sz w:val="21"/>
                <w:szCs w:val="21"/>
                <w:highlight w:val="none"/>
                <w:vertAlign w:val="baseline"/>
                <w:lang w:val="en-US" w:eastAsia="zh-CN" w:bidi="ar-SA"/>
              </w:rPr>
              <w:t>＜70分：暂停付款，启动合同终止流程。</w:t>
            </w:r>
          </w:p>
        </w:tc>
      </w:tr>
    </w:tbl>
    <w:p w14:paraId="090F1B17">
      <w:pPr>
        <w:pStyle w:val="24"/>
        <w:keepNext w:val="0"/>
        <w:keepLines w:val="0"/>
        <w:pageBreakBefore w:val="0"/>
        <w:widowControl w:val="0"/>
        <w:kinsoku/>
        <w:wordWrap/>
        <w:overflowPunct w:val="0"/>
        <w:topLinePunct w:val="0"/>
        <w:autoSpaceDE/>
        <w:autoSpaceDN/>
        <w:bidi w:val="0"/>
        <w:adjustRightInd/>
        <w:snapToGrid/>
        <w:spacing w:line="460" w:lineRule="exact"/>
        <w:ind w:firstLine="440" w:firstLineChars="200"/>
        <w:textAlignment w:val="auto"/>
        <w:rPr>
          <w:rFonts w:hint="eastAsia" w:ascii="仿宋" w:hAnsi="仿宋" w:eastAsia="仿宋" w:cs="仿宋"/>
          <w:color w:val="auto"/>
          <w:kern w:val="0"/>
          <w:sz w:val="22"/>
          <w:szCs w:val="22"/>
          <w:highlight w:val="none"/>
          <w:lang w:val="en-US" w:eastAsia="zh-CN" w:bidi="ar-SA"/>
        </w:rPr>
      </w:pPr>
    </w:p>
    <w:p w14:paraId="54B3A346">
      <w:pPr>
        <w:pStyle w:val="2"/>
        <w:rPr>
          <w:rFonts w:hint="eastAsia"/>
          <w:color w:val="auto"/>
          <w:highlight w:val="none"/>
          <w:lang w:val="en-US" w:eastAsia="zh-Hans"/>
        </w:rPr>
      </w:pPr>
    </w:p>
    <w:p w14:paraId="227EC8EB">
      <w:pPr>
        <w:pStyle w:val="2"/>
        <w:rPr>
          <w:rFonts w:hint="eastAsia"/>
          <w:color w:val="auto"/>
          <w:highlight w:val="none"/>
          <w:lang w:val="en-US" w:eastAsia="zh-Hans"/>
        </w:rPr>
      </w:pPr>
    </w:p>
    <w:p w14:paraId="255A3A14"/>
    <w:sectPr>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621C1">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353E68">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E353E68">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3A2BD">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88D2BE">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88D2BE">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191D7C"/>
    <w:multiLevelType w:val="multilevel"/>
    <w:tmpl w:val="B9191D7C"/>
    <w:lvl w:ilvl="0" w:tentative="0">
      <w:start w:val="1"/>
      <w:numFmt w:val="chineseCounting"/>
      <w:suff w:val="nothing"/>
      <w:lvlText w:val="第%1章 "/>
      <w:lvlJc w:val="left"/>
      <w:pPr>
        <w:ind w:left="432" w:hanging="432"/>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isLgl/>
      <w:lvlText w:val="%1.%2."/>
      <w:lvlJc w:val="left"/>
      <w:pPr>
        <w:ind w:left="575" w:hanging="575"/>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isLgl/>
      <w:lvlText w:val="%1.%2.%3."/>
      <w:lvlJc w:val="left"/>
      <w:pPr>
        <w:ind w:left="720" w:hanging="720"/>
      </w:pPr>
      <w:rPr>
        <w:rFonts w:hint="eastAsia" w:ascii="Times New Roman" w:hAnsi="Times New Roman" w:cs="Times New Roman"/>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
      <w:isLgl/>
      <w:lvlText w:val="%1.%2.%3.%4."/>
      <w:lvlJc w:val="left"/>
      <w:pPr>
        <w:ind w:left="864" w:hanging="864"/>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4" w:tentative="0">
      <w:start w:val="1"/>
      <w:numFmt w:val="decimal"/>
      <w:isLgl/>
      <w:lvlText w:val="%1.%2.%3.%4.%5."/>
      <w:lvlJc w:val="left"/>
      <w:pPr>
        <w:ind w:left="1008" w:hanging="1008"/>
      </w:pPr>
      <w:rPr>
        <w:rFonts w:hint="eastAsia"/>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5" w:tentative="0">
      <w:start w:val="1"/>
      <w:numFmt w:val="decimal"/>
      <w:isLgl/>
      <w:lvlText w:val="%1.%2.%3.%4.%5.%6."/>
      <w:lvlJc w:val="left"/>
      <w:pPr>
        <w:ind w:left="1151" w:hanging="1151"/>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isLgl/>
      <w:lvlText w:val="%1.%2.%3.%4.%5.%6.%7."/>
      <w:lvlJc w:val="left"/>
      <w:pPr>
        <w:ind w:left="1296" w:hanging="1296"/>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7" w:tentative="0">
      <w:start w:val="1"/>
      <w:numFmt w:val="decimal"/>
      <w:isLgl/>
      <w:lvlText w:val="%1.%2.%3.%4.%5.%6.%7.%8."/>
      <w:lvlJc w:val="left"/>
      <w:pPr>
        <w:ind w:left="1440" w:hanging="1440"/>
      </w:pPr>
      <w:rPr>
        <w:rFonts w:hint="eastAsia" w:ascii="Times New Roman" w:hAnsi="Times New Roman" w:cs="Times New Roman"/>
      </w:rPr>
    </w:lvl>
    <w:lvl w:ilvl="8" w:tentative="0">
      <w:start w:val="1"/>
      <w:numFmt w:val="decimal"/>
      <w:isLgl/>
      <w:lvlText w:val="%1.%2.%3.%4.%5.%6.%7.%8.%9."/>
      <w:lvlJc w:val="left"/>
      <w:pPr>
        <w:ind w:left="1583" w:hanging="1583"/>
      </w:pPr>
      <w:rPr>
        <w:rFonts w:hint="eastAsia"/>
      </w:rPr>
    </w:lvl>
  </w:abstractNum>
  <w:abstractNum w:abstractNumId="1">
    <w:nsid w:val="13345575"/>
    <w:multiLevelType w:val="multilevel"/>
    <w:tmpl w:val="13345575"/>
    <w:lvl w:ilvl="0" w:tentative="0">
      <w:start w:val="1"/>
      <w:numFmt w:val="chineseCounting"/>
      <w:suff w:val="nothing"/>
      <w:lvlText w:val="%1、"/>
      <w:lvlJc w:val="left"/>
      <w:pPr>
        <w:tabs>
          <w:tab w:val="left" w:pos="0"/>
        </w:tabs>
        <w:ind w:left="0" w:firstLine="0"/>
      </w:pPr>
      <w:rPr>
        <w:rFonts w:hint="eastAsia" w:ascii="黑体" w:hAnsi="黑体" w:eastAsia="黑体"/>
      </w:rPr>
    </w:lvl>
    <w:lvl w:ilvl="1" w:tentative="0">
      <w:start w:val="1"/>
      <w:numFmt w:val="chineseCounting"/>
      <w:suff w:val="nothing"/>
      <w:lvlText w:val="（%2）"/>
      <w:lvlJc w:val="left"/>
      <w:pPr>
        <w:tabs>
          <w:tab w:val="left" w:pos="0"/>
        </w:tabs>
        <w:ind w:left="0" w:firstLine="0"/>
      </w:pPr>
      <w:rPr>
        <w:rFonts w:hint="eastAsia" w:ascii="黑体" w:hAnsi="黑体" w:eastAsia="黑体"/>
      </w:rPr>
    </w:lvl>
    <w:lvl w:ilvl="2" w:tentative="0">
      <w:start w:val="1"/>
      <w:numFmt w:val="decimal"/>
      <w:suff w:val="nothing"/>
      <w:lvlText w:val="%3．"/>
      <w:lvlJc w:val="left"/>
      <w:pPr>
        <w:tabs>
          <w:tab w:val="left" w:pos="0"/>
        </w:tabs>
        <w:ind w:left="0" w:firstLine="400"/>
      </w:pPr>
      <w:rPr>
        <w:rFonts w:hint="eastAsia" w:ascii="黑体" w:hAnsi="黑体" w:eastAsia="黑体"/>
      </w:rPr>
    </w:lvl>
    <w:lvl w:ilvl="3" w:tentative="0">
      <w:start w:val="1"/>
      <w:numFmt w:val="decimal"/>
      <w:suff w:val="nothing"/>
      <w:lvlText w:val="（%4）"/>
      <w:lvlJc w:val="left"/>
      <w:pPr>
        <w:tabs>
          <w:tab w:val="left" w:pos="0"/>
        </w:tabs>
        <w:ind w:left="0" w:firstLine="402"/>
      </w:pPr>
      <w:rPr>
        <w:rFonts w:hint="eastAsia" w:ascii="黑体" w:hAnsi="黑体" w:eastAsia="黑体"/>
      </w:rPr>
    </w:lvl>
    <w:lvl w:ilvl="4" w:tentative="0">
      <w:start w:val="1"/>
      <w:numFmt w:val="decimalEnclosedCircleChinese"/>
      <w:pStyle w:val="7"/>
      <w:suff w:val="nothing"/>
      <w:lvlText w:val="%5"/>
      <w:lvlJc w:val="left"/>
      <w:pPr>
        <w:tabs>
          <w:tab w:val="left" w:pos="0"/>
        </w:tabs>
        <w:ind w:left="0" w:firstLine="402"/>
      </w:pPr>
      <w:rPr>
        <w:rFonts w:hint="eastAsia" w:ascii="黑体" w:hAnsi="黑体" w:eastAsia="黑体"/>
      </w:rPr>
    </w:lvl>
    <w:lvl w:ilvl="5" w:tentative="0">
      <w:start w:val="1"/>
      <w:numFmt w:val="decimal"/>
      <w:pStyle w:val="8"/>
      <w:suff w:val="nothing"/>
      <w:lvlText w:val="%6）"/>
      <w:lvlJc w:val="left"/>
      <w:pPr>
        <w:ind w:left="0" w:firstLine="402"/>
      </w:pPr>
      <w:rPr>
        <w:rFonts w:hint="eastAsia"/>
      </w:rPr>
    </w:lvl>
    <w:lvl w:ilvl="6" w:tentative="0">
      <w:start w:val="1"/>
      <w:numFmt w:val="lowerLetter"/>
      <w:pStyle w:val="9"/>
      <w:suff w:val="nothing"/>
      <w:lvlText w:val="%7．"/>
      <w:lvlJc w:val="left"/>
      <w:pPr>
        <w:ind w:left="0" w:firstLine="402"/>
      </w:pPr>
      <w:rPr>
        <w:rFonts w:hint="eastAsia"/>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101EF"/>
    <w:rsid w:val="04385FB7"/>
    <w:rsid w:val="04A22630"/>
    <w:rsid w:val="04E470A0"/>
    <w:rsid w:val="05B31315"/>
    <w:rsid w:val="07D665A5"/>
    <w:rsid w:val="08BF496D"/>
    <w:rsid w:val="09AE7891"/>
    <w:rsid w:val="0BAD41D7"/>
    <w:rsid w:val="0D637B74"/>
    <w:rsid w:val="0D7542C5"/>
    <w:rsid w:val="0DEF3AA2"/>
    <w:rsid w:val="106E604B"/>
    <w:rsid w:val="11A63784"/>
    <w:rsid w:val="14C556E2"/>
    <w:rsid w:val="190F4174"/>
    <w:rsid w:val="199131C9"/>
    <w:rsid w:val="19C74B28"/>
    <w:rsid w:val="1ACF78A0"/>
    <w:rsid w:val="1B2E78C5"/>
    <w:rsid w:val="1F5B189A"/>
    <w:rsid w:val="2151623E"/>
    <w:rsid w:val="23CC2948"/>
    <w:rsid w:val="249B649F"/>
    <w:rsid w:val="26055DB7"/>
    <w:rsid w:val="2AEC1C06"/>
    <w:rsid w:val="2BE33F6C"/>
    <w:rsid w:val="2F964567"/>
    <w:rsid w:val="30C808B9"/>
    <w:rsid w:val="32E36EE5"/>
    <w:rsid w:val="34A76394"/>
    <w:rsid w:val="369E0D1C"/>
    <w:rsid w:val="37325C36"/>
    <w:rsid w:val="3738571C"/>
    <w:rsid w:val="38064FA4"/>
    <w:rsid w:val="38E3651A"/>
    <w:rsid w:val="3A80103E"/>
    <w:rsid w:val="3BAC7F61"/>
    <w:rsid w:val="3CC547ED"/>
    <w:rsid w:val="3E8F0455"/>
    <w:rsid w:val="3F0F0720"/>
    <w:rsid w:val="3F6E3B5B"/>
    <w:rsid w:val="400973E0"/>
    <w:rsid w:val="416F02D5"/>
    <w:rsid w:val="42F243A7"/>
    <w:rsid w:val="44894B3D"/>
    <w:rsid w:val="44B5630B"/>
    <w:rsid w:val="479A76B6"/>
    <w:rsid w:val="492939A7"/>
    <w:rsid w:val="4AB54D91"/>
    <w:rsid w:val="4BBC005A"/>
    <w:rsid w:val="50116DFA"/>
    <w:rsid w:val="50992964"/>
    <w:rsid w:val="54B46F61"/>
    <w:rsid w:val="55D01AD3"/>
    <w:rsid w:val="570624C9"/>
    <w:rsid w:val="5C820AFB"/>
    <w:rsid w:val="5CB66416"/>
    <w:rsid w:val="61A44327"/>
    <w:rsid w:val="62A31220"/>
    <w:rsid w:val="633D546F"/>
    <w:rsid w:val="63711E2A"/>
    <w:rsid w:val="642A7B23"/>
    <w:rsid w:val="64877175"/>
    <w:rsid w:val="64F031D4"/>
    <w:rsid w:val="6E634F35"/>
    <w:rsid w:val="71035A81"/>
    <w:rsid w:val="732838EF"/>
    <w:rsid w:val="73A925B8"/>
    <w:rsid w:val="748F3650"/>
    <w:rsid w:val="74CA7DE7"/>
    <w:rsid w:val="75375251"/>
    <w:rsid w:val="75383CE8"/>
    <w:rsid w:val="76B03A50"/>
    <w:rsid w:val="776472DD"/>
    <w:rsid w:val="78FE1FE6"/>
    <w:rsid w:val="7911617E"/>
    <w:rsid w:val="7AC31C6E"/>
    <w:rsid w:val="7AEE7323"/>
    <w:rsid w:val="7B61697D"/>
    <w:rsid w:val="7B941ACD"/>
    <w:rsid w:val="7F9B5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2"/>
    <w:qFormat/>
    <w:uiPriority w:val="0"/>
    <w:pPr>
      <w:spacing w:before="0" w:beforeAutospacing="1" w:after="0" w:afterAutospacing="1"/>
      <w:jc w:val="center"/>
      <w:outlineLvl w:val="0"/>
    </w:pPr>
    <w:rPr>
      <w:rFonts w:hint="eastAsia" w:ascii="宋体" w:hAnsi="宋体" w:eastAsia="楷体" w:cs="宋体"/>
      <w:b/>
      <w:bCs/>
      <w:kern w:val="44"/>
      <w:sz w:val="32"/>
      <w:szCs w:val="48"/>
      <w:lang w:bidi="ar"/>
    </w:rPr>
  </w:style>
  <w:style w:type="paragraph" w:styleId="4">
    <w:name w:val="heading 2"/>
    <w:basedOn w:val="1"/>
    <w:next w:val="1"/>
    <w:link w:val="23"/>
    <w:semiHidden/>
    <w:unhideWhenUsed/>
    <w:qFormat/>
    <w:uiPriority w:val="0"/>
    <w:pPr>
      <w:spacing w:before="0" w:beforeAutospacing="1" w:after="0" w:afterAutospacing="1"/>
      <w:jc w:val="center"/>
      <w:outlineLvl w:val="1"/>
    </w:pPr>
    <w:rPr>
      <w:rFonts w:hint="eastAsia" w:ascii="宋体" w:hAnsi="宋体" w:eastAsia="宋体" w:cs="宋体"/>
      <w:b/>
      <w:bCs/>
      <w:iCs/>
      <w:kern w:val="0"/>
      <w:sz w:val="30"/>
      <w:szCs w:val="36"/>
      <w:lang w:bidi="ar"/>
    </w:rPr>
  </w:style>
  <w:style w:type="paragraph" w:styleId="5">
    <w:name w:val="heading 3"/>
    <w:basedOn w:val="1"/>
    <w:next w:val="1"/>
    <w:link w:val="21"/>
    <w:semiHidden/>
    <w:unhideWhenUsed/>
    <w:qFormat/>
    <w:uiPriority w:val="0"/>
    <w:pPr>
      <w:keepNext/>
      <w:widowControl/>
      <w:spacing w:line="360" w:lineRule="auto"/>
      <w:jc w:val="center"/>
      <w:outlineLvl w:val="2"/>
    </w:pPr>
    <w:rPr>
      <w:rFonts w:ascii="Arial" w:hAnsi="Arial" w:eastAsia="仿宋" w:cs="Arial"/>
      <w:b/>
      <w:bCs/>
      <w:kern w:val="0"/>
      <w:sz w:val="28"/>
      <w:szCs w:val="20"/>
    </w:rPr>
  </w:style>
  <w:style w:type="paragraph" w:styleId="6">
    <w:name w:val="heading 4"/>
    <w:basedOn w:val="1"/>
    <w:next w:val="1"/>
    <w:semiHidden/>
    <w:unhideWhenUsed/>
    <w:qFormat/>
    <w:uiPriority w:val="0"/>
    <w:pPr>
      <w:keepNext/>
      <w:keepLines/>
      <w:numPr>
        <w:ilvl w:val="3"/>
        <w:numId w:val="1"/>
      </w:numPr>
      <w:ind w:left="864" w:hanging="864" w:firstLineChars="0"/>
      <w:jc w:val="left"/>
      <w:outlineLvl w:val="3"/>
    </w:pPr>
    <w:rPr>
      <w:rFonts w:ascii="Calibri" w:hAnsi="Calibri" w:cs="Times New Roman" w:eastAsiaTheme="majorEastAsia"/>
      <w:b/>
      <w:sz w:val="28"/>
      <w:szCs w:val="24"/>
      <w14:scene3d>
        <w14:lightRig w14:rig="threePt" w14:dir="t">
          <w14:rot w14:lat="0" w14:lon="0" w14:rev="0"/>
        </w14:lightRig>
      </w14:scene3d>
    </w:rPr>
  </w:style>
  <w:style w:type="paragraph" w:styleId="7">
    <w:name w:val="heading 5"/>
    <w:basedOn w:val="1"/>
    <w:next w:val="1"/>
    <w:semiHidden/>
    <w:unhideWhenUsed/>
    <w:qFormat/>
    <w:uiPriority w:val="0"/>
    <w:pPr>
      <w:keepNext/>
      <w:keepLines/>
      <w:numPr>
        <w:ilvl w:val="4"/>
        <w:numId w:val="2"/>
      </w:numPr>
      <w:spacing w:before="280" w:beforeLines="0" w:beforeAutospacing="0" w:after="290" w:afterLines="0" w:afterAutospacing="0" w:line="372" w:lineRule="auto"/>
      <w:ind w:firstLine="402"/>
      <w:outlineLvl w:val="4"/>
    </w:pPr>
    <w:rPr>
      <w:b/>
      <w:sz w:val="28"/>
    </w:rPr>
  </w:style>
  <w:style w:type="paragraph" w:styleId="8">
    <w:name w:val="heading 6"/>
    <w:basedOn w:val="1"/>
    <w:next w:val="1"/>
    <w:semiHidden/>
    <w:unhideWhenUsed/>
    <w:qFormat/>
    <w:uiPriority w:val="0"/>
    <w:pPr>
      <w:keepNext/>
      <w:keepLines/>
      <w:numPr>
        <w:ilvl w:val="5"/>
        <w:numId w:val="2"/>
      </w:numPr>
      <w:spacing w:before="240" w:beforeLines="0" w:beforeAutospacing="0" w:after="64" w:afterLines="0" w:afterAutospacing="0" w:line="317" w:lineRule="auto"/>
      <w:ind w:firstLine="402"/>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2"/>
      </w:numPr>
      <w:spacing w:before="240" w:beforeLines="0" w:beforeAutospacing="0" w:after="64" w:afterLines="0" w:afterAutospacing="0" w:line="317" w:lineRule="auto"/>
      <w:ind w:firstLine="402"/>
      <w:outlineLvl w:val="6"/>
    </w:pPr>
    <w:rPr>
      <w:b/>
      <w:sz w:val="24"/>
    </w:rPr>
  </w:style>
  <w:style w:type="paragraph" w:styleId="10">
    <w:name w:val="heading 8"/>
    <w:basedOn w:val="1"/>
    <w:next w:val="1"/>
    <w:semiHidden/>
    <w:unhideWhenUsed/>
    <w:qFormat/>
    <w:uiPriority w:val="0"/>
    <w:pPr>
      <w:keepNext/>
      <w:keepLines/>
      <w:numPr>
        <w:ilvl w:val="7"/>
        <w:numId w:val="2"/>
      </w:numPr>
      <w:spacing w:before="240" w:beforeLines="0" w:beforeAutospacing="0" w:after="64" w:afterLines="0" w:afterAutospacing="0" w:line="317" w:lineRule="auto"/>
      <w:ind w:firstLine="402"/>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2"/>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utoSpaceDE w:val="0"/>
      <w:autoSpaceDN w:val="0"/>
      <w:spacing w:afterLines="0" w:afterAutospacing="0" w:line="720" w:lineRule="exact"/>
      <w:ind w:firstLine="723" w:firstLineChars="200"/>
    </w:pPr>
    <w:rPr>
      <w:rFonts w:eastAsia="宋体" w:asciiTheme="minorAscii" w:hAnsiTheme="minorAscii"/>
      <w:sz w:val="28"/>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annotation text"/>
    <w:basedOn w:val="1"/>
    <w:unhideWhenUsed/>
    <w:qFormat/>
    <w:uiPriority w:val="0"/>
    <w:pPr>
      <w:jc w:val="left"/>
    </w:pPr>
  </w:style>
  <w:style w:type="paragraph" w:styleId="15">
    <w:name w:val="footer"/>
    <w:basedOn w:val="1"/>
    <w:next w:val="1"/>
    <w:qFormat/>
    <w:uiPriority w:val="0"/>
    <w:pPr>
      <w:tabs>
        <w:tab w:val="center" w:pos="4153"/>
        <w:tab w:val="right" w:pos="8306"/>
      </w:tabs>
      <w:snapToGrid w:val="0"/>
      <w:jc w:val="left"/>
    </w:pPr>
    <w:rPr>
      <w:sz w:val="18"/>
    </w:rPr>
  </w:style>
  <w:style w:type="paragraph" w:styleId="16">
    <w:name w:val="Normal (Web)"/>
    <w:basedOn w:val="1"/>
    <w:qFormat/>
    <w:uiPriority w:val="0"/>
    <w:pPr>
      <w:spacing w:before="0" w:beforeAutospacing="1" w:after="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rPr>
  </w:style>
  <w:style w:type="character" w:customStyle="1" w:styleId="21">
    <w:name w:val="标题 3 Char1"/>
    <w:link w:val="5"/>
    <w:qFormat/>
    <w:uiPriority w:val="0"/>
    <w:rPr>
      <w:rFonts w:ascii="Arial" w:hAnsi="Arial" w:eastAsia="仿宋" w:cs="Times New Roman"/>
      <w:b/>
      <w:kern w:val="2"/>
      <w:sz w:val="30"/>
      <w:szCs w:val="30"/>
      <w:lang w:val="en-US" w:eastAsia="zh-CN" w:bidi="ar-SA"/>
    </w:rPr>
  </w:style>
  <w:style w:type="character" w:customStyle="1" w:styleId="22">
    <w:name w:val="标题 1 Char"/>
    <w:link w:val="3"/>
    <w:qFormat/>
    <w:uiPriority w:val="0"/>
    <w:rPr>
      <w:rFonts w:ascii="宋体" w:hAnsi="宋体" w:eastAsia="楷体" w:cs="宋体"/>
      <w:b/>
      <w:kern w:val="44"/>
      <w:sz w:val="32"/>
      <w:szCs w:val="24"/>
    </w:rPr>
  </w:style>
  <w:style w:type="character" w:customStyle="1" w:styleId="23">
    <w:name w:val="标题 2 Char"/>
    <w:link w:val="4"/>
    <w:qFormat/>
    <w:uiPriority w:val="99"/>
    <w:rPr>
      <w:rFonts w:ascii="宋体" w:hAnsi="宋体" w:eastAsia="宋体" w:cs="宋体"/>
      <w:b/>
      <w:bCs/>
      <w:kern w:val="2"/>
      <w:sz w:val="30"/>
      <w:szCs w:val="32"/>
      <w:lang w:val="en-US" w:eastAsia="zh-CN" w:bidi="ar-SA"/>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5723</Words>
  <Characters>5890</Characters>
  <Lines>0</Lines>
  <Paragraphs>0</Paragraphs>
  <TotalTime>0</TotalTime>
  <ScaleCrop>false</ScaleCrop>
  <LinksUpToDate>false</LinksUpToDate>
  <CharactersWithSpaces>5997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Huawei</dc:creator>
  <cp:lastModifiedBy> Yes.  I  Do</cp:lastModifiedBy>
  <dcterms:modified xsi:type="dcterms:W3CDTF">2025-08-15T13:50:18Z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E11DED8CDE564CA5995344EFB93AD0AB_12</vt:lpwstr>
  </property>
  <property fmtid="{D5CDD505-2E9C-101B-9397-08002B2CF9AE}" pid="4" name="KSOTemplateDocerSaveRecord">
    <vt:lpwstr>eyJoZGlkIjoiYzU0ZmU0NDBjNzkxYTZhYWQyNjZhM2IxMGI2OTk0MjEiLCJ1c2VySWQiOiIzNzE3MDkxMDMifQ==</vt:lpwstr>
  </property>
</Properties>
</file>