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版本号：HCKPZY-ZB-202505320250815001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组团参加第二十五届中国国际投资贸易洽谈会</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HCKPZY-ZB-2025053</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组团参加第二十五届中国国际投资贸易洽谈会</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HCKPZY-ZB-2025053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组团参加第二十五届中国国际投资贸易洽谈会</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 xml:space="preserve"> 在第二十五届投洽会中，宣传推介陕西投资环境，搭建陕西馆，举办专题展览，突出展示中欧班列（西安）、秦创原、自贸试验区等开放平台的发展成就和前景以及先进装备制造、汽车、电子信息、能源化工等重点产业的发展优势和合作机遇。举办“投资中国·选择陕西”合作交流会，充分利用开放平台和重点产业的发展优势和合作机遇，宣传陕西投资政策和营商环境，讲好陕西故事，让陕西成为投资商的最优选择。同时，务实开展商务考察、对接洽谈等多种形式的投资促进活动，加强我省与境内外广泛的经贸交流与合作，推动我省开放型经济高质量发展。并充分利用投洽会资源集聚效应，吸引沿海地区保税维修、保税仓储、保税展示、跨境电商、国际供应链服务等外向型企业入驻我省综合保税区，助力打好我省外贸攻坚硬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采购包1（展览服务）：属于专门面向小微企业采购。</w:t>
      </w:r>
    </w:p>
    <w:p>
      <w:pPr>
        <w:pStyle w:val="null3"/>
      </w:pPr>
      <w:r>
        <w:rPr>
          <w:rFonts w:ascii="仿宋_GB2312" w:hAnsi="仿宋_GB2312" w:cs="仿宋_GB2312" w:eastAsia="仿宋_GB2312"/>
        </w:rPr>
        <w:t>采购包2（商务服务）：属于专门面向小微企业采购。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p>
      <w:pPr>
        <w:pStyle w:val="null3"/>
      </w:pPr>
      <w:r>
        <w:rPr>
          <w:rFonts w:ascii="仿宋_GB2312" w:hAnsi="仿宋_GB2312" w:cs="仿宋_GB2312" w:eastAsia="仿宋_GB2312"/>
        </w:rPr>
        <w:t>3、财务状况报告：提供2023或2024年度财务审计报告（至少包括常规和三表一注，成立时间至提交磋商响应文件截止时间不足一年的可提供成立后任意时段的资产负债表），或其开标前六个月内基本存款账户开户银行出具的资信证明；</w:t>
      </w:r>
    </w:p>
    <w:p>
      <w:pPr>
        <w:pStyle w:val="null3"/>
      </w:pPr>
      <w:r>
        <w:rPr>
          <w:rFonts w:ascii="仿宋_GB2312" w:hAnsi="仿宋_GB2312" w:cs="仿宋_GB2312" w:eastAsia="仿宋_GB2312"/>
        </w:rPr>
        <w:t>4、社会保障资金缴纳证明：提供2025年1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p>
      <w:pPr>
        <w:pStyle w:val="null3"/>
      </w:pPr>
      <w:r>
        <w:rPr>
          <w:rFonts w:ascii="仿宋_GB2312" w:hAnsi="仿宋_GB2312" w:cs="仿宋_GB2312" w:eastAsia="仿宋_GB2312"/>
        </w:rPr>
        <w:t>5、税收缴纳证明：提供2025年1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w:t>
      </w:r>
    </w:p>
    <w:p>
      <w:pPr>
        <w:pStyle w:val="null3"/>
      </w:pPr>
      <w:r>
        <w:rPr>
          <w:rFonts w:ascii="仿宋_GB2312" w:hAnsi="仿宋_GB2312" w:cs="仿宋_GB2312" w:eastAsia="仿宋_GB2312"/>
        </w:rPr>
        <w:t>6、书面声明（信用记录）：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7、承诺书：提供具有履行合同所必需的设备和专业技术能力的承诺书；</w:t>
      </w:r>
    </w:p>
    <w:p>
      <w:pPr>
        <w:pStyle w:val="null3"/>
      </w:pPr>
      <w:r>
        <w:rPr>
          <w:rFonts w:ascii="仿宋_GB2312" w:hAnsi="仿宋_GB2312" w:cs="仿宋_GB2312" w:eastAsia="仿宋_GB2312"/>
        </w:rPr>
        <w:t>8、控股、管理关系：单位负责人为同一人或者存在直接控股、管理关系的不同供应商，不得参加同一合同项下的政府采购活动（提供书面承诺函，加盖供应商公章）；</w:t>
      </w:r>
    </w:p>
    <w:p>
      <w:pPr>
        <w:pStyle w:val="null3"/>
      </w:pPr>
      <w:r>
        <w:rPr>
          <w:rFonts w:ascii="仿宋_GB2312" w:hAnsi="仿宋_GB2312" w:cs="仿宋_GB2312" w:eastAsia="仿宋_GB2312"/>
        </w:rPr>
        <w:t>9、不接受联合体磋商声明：本项目不接受联合体磋商（提供声明）。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p>
      <w:pPr>
        <w:pStyle w:val="null3"/>
      </w:pPr>
      <w:r>
        <w:rPr>
          <w:rFonts w:ascii="仿宋_GB2312" w:hAnsi="仿宋_GB2312" w:cs="仿宋_GB2312" w:eastAsia="仿宋_GB2312"/>
        </w:rPr>
        <w:t>3、财务状况报告：提供2023或2024年度财务审计报告（至少包括常规和三表一注，成立时间至提交磋商响应文件截止时间不足一年的可提供成立后任意时段的资产负债表），或其开标前六个月内基本存款账户开户银行出具的资信证明；</w:t>
      </w:r>
    </w:p>
    <w:p>
      <w:pPr>
        <w:pStyle w:val="null3"/>
      </w:pPr>
      <w:r>
        <w:rPr>
          <w:rFonts w:ascii="仿宋_GB2312" w:hAnsi="仿宋_GB2312" w:cs="仿宋_GB2312" w:eastAsia="仿宋_GB2312"/>
        </w:rPr>
        <w:t>4、社会保障资金缴纳证明：提供2025年1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p>
      <w:pPr>
        <w:pStyle w:val="null3"/>
      </w:pPr>
      <w:r>
        <w:rPr>
          <w:rFonts w:ascii="仿宋_GB2312" w:hAnsi="仿宋_GB2312" w:cs="仿宋_GB2312" w:eastAsia="仿宋_GB2312"/>
        </w:rPr>
        <w:t>5、税收缴纳证明：提供2025年1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w:t>
      </w:r>
    </w:p>
    <w:p>
      <w:pPr>
        <w:pStyle w:val="null3"/>
      </w:pPr>
      <w:r>
        <w:rPr>
          <w:rFonts w:ascii="仿宋_GB2312" w:hAnsi="仿宋_GB2312" w:cs="仿宋_GB2312" w:eastAsia="仿宋_GB2312"/>
        </w:rPr>
        <w:t>6、书面声明（信用记录）：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7、承诺书：提供具有履行合同所必需的设备和专业技术能力的承诺书；</w:t>
      </w:r>
    </w:p>
    <w:p>
      <w:pPr>
        <w:pStyle w:val="null3"/>
      </w:pPr>
      <w:r>
        <w:rPr>
          <w:rFonts w:ascii="仿宋_GB2312" w:hAnsi="仿宋_GB2312" w:cs="仿宋_GB2312" w:eastAsia="仿宋_GB2312"/>
        </w:rPr>
        <w:t>8、控股、管理关系：单位负责人为同一人或者存在直接控股、管理关系的不同供应商，不得参加同一合同项下的政府采购活动（提供书面承诺函，加盖供应商公章）；</w:t>
      </w:r>
    </w:p>
    <w:p>
      <w:pPr>
        <w:pStyle w:val="null3"/>
      </w:pPr>
      <w:r>
        <w:rPr>
          <w:rFonts w:ascii="仿宋_GB2312" w:hAnsi="仿宋_GB2312" w:cs="仿宋_GB2312" w:eastAsia="仿宋_GB2312"/>
        </w:rPr>
        <w:t>9、不接受联合体磋商声明：本项目不接受联合体磋商（提供声明）。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丁毅 董志彬</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029-63913999 、029-63914051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陕西省西安市碑林区西安市碑林区南二环西段58号成长大厦8楼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郭雄龙 张驰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13991085600/13772400720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采购包1：420,000.00元</w:t>
            </w:r>
          </w:p>
          <w:p>
            <w:pPr>
              <w:pStyle w:val="null3"/>
            </w:pPr>
            <w:r>
              <w:rPr>
                <w:rFonts w:ascii="仿宋_GB2312" w:hAnsi="仿宋_GB2312" w:cs="仿宋_GB2312" w:eastAsia="仿宋_GB2312"/>
              </w:rPr>
              <w:t>采购包2：180,000.00元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代理服务费收费标准：参照原《国家计委关于印发&lt;招标代理服务收费管理暂行办法&gt;的通知》(计价格〔2002〕1980号)、《国家发展改革委关于降低部分建设项目收费标准规范收费行为等有关问题的通知》(发改价格〔2011〕534号)以及财政部关于印发&lt;政府采购代理机构管理暂行办法&gt;的通知》（财库〔2018〕2号）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联系人：郭雄龙、张驰</w:t>
      </w:r>
    </w:p>
    <w:p>
      <w:pPr>
        <w:pStyle w:val="null3"/>
      </w:pPr>
      <w:r>
        <w:rPr>
          <w:rFonts w:ascii="仿宋_GB2312" w:hAnsi="仿宋_GB2312" w:cs="仿宋_GB2312" w:eastAsia="仿宋_GB2312"/>
        </w:rPr>
        <w:t>联系电话：13991085600/13772400720</w:t>
      </w:r>
    </w:p>
    <w:p>
      <w:pPr>
        <w:pStyle w:val="null3"/>
      </w:pPr>
      <w:r>
        <w:rPr>
          <w:rFonts w:ascii="仿宋_GB2312" w:hAnsi="仿宋_GB2312" w:cs="仿宋_GB2312" w:eastAsia="仿宋_GB2312"/>
        </w:rPr>
        <w:t>地址：西安市碑林区南二环西段58号成长大厦1622室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合同包1：围绕中欧班列（西安）、秦创原、自贸试验区等开放平台以及全省重点产业的现状和优势，宣传推介陕西投资环境、产业优势、合作潜力。搭建陕西馆，举办专题展览，突出展示中欧班列（西安）、秦创原、自贸试验区等开放平台的发展成就和前景以及先进装备制造、汽车、电子信息、能源化工等重点产业的发展优势和合作机遇。举办“投资中国·选择陕西”合作交流会，充分利用投洽会平台，着力推介中欧班列（西安）、秦创原、自贸试验区等开放平台和重点产业的发展优势和合作机遇，宣传陕西投资政策和营商环境，讲好陕西故事，让陕西成为投资商的最优选择。同时，务实开展商务考察、对接洽谈等多种形式的投资促进活动，加强我省与境内外广泛的经贸交流与合作，推动我省开放型经济高质量发展。</w:t>
      </w:r>
    </w:p>
    <w:p>
      <w:pPr>
        <w:pStyle w:val="null3"/>
      </w:pPr>
      <w:r>
        <w:rPr>
          <w:rFonts w:ascii="仿宋_GB2312" w:hAnsi="仿宋_GB2312" w:cs="仿宋_GB2312" w:eastAsia="仿宋_GB2312"/>
        </w:rPr>
        <w:t>合同包2：充分借助投洽会资源集聚效应，在前期对接沟通基础上，组织我省综合保税区赴厦门、泉州综合保税区和当地保税维修、保税仓储、保税研发、融资租赁、跨境电商、高端装备制造等领域外向型企业开展精准对接，同时在厦门、泉州举办陕闽外向型经济高质量发展恳谈会，积极寻求合作机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展览服务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商务服务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标的名称：展览服务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项目概况</w:t>
            </w:r>
            <w:r>
              <w:br/>
            </w:r>
            <w:r>
              <w:rPr>
                <w:rFonts w:ascii="仿宋_GB2312" w:hAnsi="仿宋_GB2312" w:cs="仿宋_GB2312" w:eastAsia="仿宋_GB2312"/>
                <w:sz w:val="21"/>
              </w:rPr>
              <w:t xml:space="preserve">  在第二十五届投洽会中，宣传推介陕西投资环境，搭建陕西馆，举办专题展览，突出展示中欧班列（西安）、秦创原、自贸试验区等开放平台的发展成就和前景以及先进装备制造、汽车、电子信息、能源化工等重点产业的发展优势和合作机遇。举办</w:t>
            </w:r>
            <w:r>
              <w:rPr>
                <w:rFonts w:ascii="仿宋_GB2312" w:hAnsi="仿宋_GB2312" w:cs="仿宋_GB2312" w:eastAsia="仿宋_GB2312"/>
                <w:sz w:val="21"/>
              </w:rPr>
              <w:t>“</w:t>
            </w:r>
            <w:r>
              <w:rPr>
                <w:rFonts w:ascii="仿宋_GB2312" w:hAnsi="仿宋_GB2312" w:cs="仿宋_GB2312" w:eastAsia="仿宋_GB2312"/>
                <w:sz w:val="21"/>
              </w:rPr>
              <w:t>投资中国</w:t>
            </w:r>
            <w:r>
              <w:rPr>
                <w:rFonts w:ascii="仿宋_GB2312" w:hAnsi="仿宋_GB2312" w:cs="仿宋_GB2312" w:eastAsia="仿宋_GB2312"/>
                <w:sz w:val="21"/>
              </w:rPr>
              <w:t>·</w:t>
            </w:r>
            <w:r>
              <w:rPr>
                <w:rFonts w:ascii="仿宋_GB2312" w:hAnsi="仿宋_GB2312" w:cs="仿宋_GB2312" w:eastAsia="仿宋_GB2312"/>
                <w:sz w:val="21"/>
              </w:rPr>
              <w:t>选择陕西</w:t>
            </w:r>
            <w:r>
              <w:rPr>
                <w:rFonts w:ascii="仿宋_GB2312" w:hAnsi="仿宋_GB2312" w:cs="仿宋_GB2312" w:eastAsia="仿宋_GB2312"/>
                <w:sz w:val="21"/>
              </w:rPr>
              <w:t>”</w:t>
            </w:r>
            <w:r>
              <w:rPr>
                <w:rFonts w:ascii="仿宋_GB2312" w:hAnsi="仿宋_GB2312" w:cs="仿宋_GB2312" w:eastAsia="仿宋_GB2312"/>
                <w:sz w:val="21"/>
              </w:rPr>
              <w:t>合作交流会，充分利用开放平台和重点产业的发展优势和合作机遇，宣传陕西投资政策和营商环境，讲好陕西故事，让陕西成为投资商的最优选择。同时，务实开展商务考察</w:t>
            </w:r>
            <w:r>
              <w:rPr>
                <w:rFonts w:ascii="仿宋_GB2312" w:hAnsi="仿宋_GB2312" w:cs="仿宋_GB2312" w:eastAsia="仿宋_GB2312"/>
                <w:sz w:val="21"/>
              </w:rPr>
              <w:t>、对接洽谈等多种形式的投资促进活动，加强我省与境内外广泛的经贸交流与合作，推动我省开放型经济高质量发展。</w:t>
            </w:r>
            <w:r>
              <w:br/>
            </w:r>
            <w:r>
              <w:rPr>
                <w:rFonts w:ascii="仿宋_GB2312" w:hAnsi="仿宋_GB2312" w:cs="仿宋_GB2312" w:eastAsia="仿宋_GB2312"/>
                <w:sz w:val="21"/>
              </w:rPr>
              <w:t>二、</w:t>
            </w:r>
            <w:r>
              <w:rPr>
                <w:rFonts w:ascii="仿宋_GB2312" w:hAnsi="仿宋_GB2312" w:cs="仿宋_GB2312" w:eastAsia="仿宋_GB2312"/>
                <w:sz w:val="21"/>
              </w:rPr>
              <w:t>服务内容</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按要求组织参加</w:t>
            </w:r>
            <w:r>
              <w:rPr>
                <w:rFonts w:ascii="仿宋_GB2312" w:hAnsi="仿宋_GB2312" w:cs="仿宋_GB2312" w:eastAsia="仿宋_GB2312"/>
                <w:sz w:val="21"/>
              </w:rPr>
              <w:t>投洽会组委会举办的高端论坛研讨活动；</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在厦门国际会展中心</w:t>
            </w:r>
            <w:r>
              <w:rPr>
                <w:rFonts w:ascii="仿宋_GB2312" w:hAnsi="仿宋_GB2312" w:cs="仿宋_GB2312" w:eastAsia="仿宋_GB2312"/>
                <w:sz w:val="21"/>
              </w:rPr>
              <w:t>C</w:t>
            </w:r>
            <w:r>
              <w:rPr>
                <w:rFonts w:ascii="仿宋_GB2312" w:hAnsi="仿宋_GB2312" w:cs="仿宋_GB2312" w:eastAsia="仿宋_GB2312"/>
                <w:sz w:val="21"/>
              </w:rPr>
              <w:t>厅</w:t>
            </w:r>
            <w:r>
              <w:rPr>
                <w:rFonts w:ascii="仿宋_GB2312" w:hAnsi="仿宋_GB2312" w:cs="仿宋_GB2312" w:eastAsia="仿宋_GB2312"/>
                <w:sz w:val="21"/>
              </w:rPr>
              <w:t>C405</w:t>
            </w:r>
            <w:r>
              <w:rPr>
                <w:rFonts w:ascii="仿宋_GB2312" w:hAnsi="仿宋_GB2312" w:cs="仿宋_GB2312" w:eastAsia="仿宋_GB2312"/>
                <w:sz w:val="21"/>
              </w:rPr>
              <w:t>位置，搭建面积</w:t>
            </w:r>
            <w:r>
              <w:rPr>
                <w:rFonts w:ascii="仿宋_GB2312" w:hAnsi="仿宋_GB2312" w:cs="仿宋_GB2312" w:eastAsia="仿宋_GB2312"/>
                <w:sz w:val="21"/>
              </w:rPr>
              <w:t>160</w:t>
            </w:r>
            <w:r>
              <w:rPr>
                <w:rFonts w:ascii="仿宋_GB2312" w:hAnsi="仿宋_GB2312" w:cs="仿宋_GB2312" w:eastAsia="仿宋_GB2312"/>
                <w:sz w:val="21"/>
              </w:rPr>
              <w:t>平方米的展位；</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按甲方要求对</w:t>
            </w:r>
            <w:r>
              <w:rPr>
                <w:rFonts w:ascii="仿宋_GB2312" w:hAnsi="仿宋_GB2312" w:cs="仿宋_GB2312" w:eastAsia="仿宋_GB2312"/>
                <w:sz w:val="21"/>
              </w:rPr>
              <w:t>“</w:t>
            </w:r>
            <w:r>
              <w:rPr>
                <w:rFonts w:ascii="仿宋_GB2312" w:hAnsi="仿宋_GB2312" w:cs="仿宋_GB2312" w:eastAsia="仿宋_GB2312"/>
                <w:sz w:val="21"/>
              </w:rPr>
              <w:t>投资中国</w:t>
            </w:r>
            <w:r>
              <w:rPr>
                <w:rFonts w:ascii="仿宋_GB2312" w:hAnsi="仿宋_GB2312" w:cs="仿宋_GB2312" w:eastAsia="仿宋_GB2312"/>
                <w:sz w:val="21"/>
              </w:rPr>
              <w:t>·</w:t>
            </w:r>
            <w:r>
              <w:rPr>
                <w:rFonts w:ascii="仿宋_GB2312" w:hAnsi="仿宋_GB2312" w:cs="仿宋_GB2312" w:eastAsia="仿宋_GB2312"/>
                <w:sz w:val="21"/>
              </w:rPr>
              <w:t>选择陕西</w:t>
            </w:r>
            <w:r>
              <w:rPr>
                <w:rFonts w:ascii="仿宋_GB2312" w:hAnsi="仿宋_GB2312" w:cs="仿宋_GB2312" w:eastAsia="仿宋_GB2312"/>
                <w:sz w:val="21"/>
              </w:rPr>
              <w:t>”</w:t>
            </w:r>
            <w:r>
              <w:rPr>
                <w:rFonts w:ascii="仿宋_GB2312" w:hAnsi="仿宋_GB2312" w:cs="仿宋_GB2312" w:eastAsia="仿宋_GB2312"/>
                <w:sz w:val="21"/>
              </w:rPr>
              <w:t>合作交流会、</w:t>
            </w:r>
            <w:r>
              <w:rPr>
                <w:rFonts w:ascii="仿宋_GB2312" w:hAnsi="仿宋_GB2312" w:cs="仿宋_GB2312" w:eastAsia="仿宋_GB2312"/>
                <w:sz w:val="21"/>
              </w:rPr>
              <w:t>“</w:t>
            </w:r>
            <w:r>
              <w:rPr>
                <w:rFonts w:ascii="仿宋_GB2312" w:hAnsi="仿宋_GB2312" w:cs="仿宋_GB2312" w:eastAsia="仿宋_GB2312"/>
                <w:sz w:val="21"/>
              </w:rPr>
              <w:t>云上投洽会</w:t>
            </w:r>
            <w:r>
              <w:rPr>
                <w:rFonts w:ascii="仿宋_GB2312" w:hAnsi="仿宋_GB2312" w:cs="仿宋_GB2312" w:eastAsia="仿宋_GB2312"/>
                <w:sz w:val="21"/>
              </w:rPr>
              <w:t>”</w:t>
            </w:r>
            <w:r>
              <w:rPr>
                <w:rFonts w:ascii="仿宋_GB2312" w:hAnsi="仿宋_GB2312" w:cs="仿宋_GB2312" w:eastAsia="仿宋_GB2312"/>
                <w:sz w:val="21"/>
              </w:rPr>
              <w:t>展览推介活动、综保区招商活动、各市（区）分团活动等招商项目和各类资讯等内容的收集、翻译、编辑以及上传工作；客商管理和项目对接；日常维护、更新和管理工作等。</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展位整体设计需运用会展行业最新的设计理念和科技手段，将陕西传统文化底蕴与现代科技相结合。</w:t>
            </w:r>
            <w:r>
              <w:br/>
            </w:r>
            <w:r>
              <w:rPr>
                <w:rFonts w:ascii="仿宋_GB2312" w:hAnsi="仿宋_GB2312" w:cs="仿宋_GB2312" w:eastAsia="仿宋_GB2312"/>
                <w:sz w:val="21"/>
              </w:rPr>
              <w:t>2.</w:t>
            </w:r>
            <w:r>
              <w:rPr>
                <w:rFonts w:ascii="仿宋_GB2312" w:hAnsi="仿宋_GB2312" w:cs="仿宋_GB2312" w:eastAsia="仿宋_GB2312"/>
                <w:sz w:val="21"/>
              </w:rPr>
              <w:t>突出视频展示效果，在展区以多种形式设置</w:t>
            </w:r>
            <w:r>
              <w:rPr>
                <w:rFonts w:ascii="仿宋_GB2312" w:hAnsi="仿宋_GB2312" w:cs="仿宋_GB2312" w:eastAsia="仿宋_GB2312"/>
                <w:sz w:val="21"/>
              </w:rPr>
              <w:t>LED</w:t>
            </w:r>
            <w:r>
              <w:rPr>
                <w:rFonts w:ascii="仿宋_GB2312" w:hAnsi="仿宋_GB2312" w:cs="仿宋_GB2312" w:eastAsia="仿宋_GB2312"/>
                <w:sz w:val="21"/>
              </w:rPr>
              <w:t>显示屏等数字媒体设备用于播放陕西宣传片。</w:t>
            </w:r>
            <w:r>
              <w:br/>
            </w:r>
            <w:r>
              <w:rPr>
                <w:rFonts w:ascii="仿宋_GB2312" w:hAnsi="仿宋_GB2312" w:cs="仿宋_GB2312" w:eastAsia="仿宋_GB2312"/>
                <w:sz w:val="21"/>
              </w:rPr>
              <w:t>3.</w:t>
            </w:r>
            <w:r>
              <w:rPr>
                <w:rFonts w:ascii="仿宋_GB2312" w:hAnsi="仿宋_GB2312" w:cs="仿宋_GB2312" w:eastAsia="仿宋_GB2312"/>
                <w:sz w:val="21"/>
              </w:rPr>
              <w:t>设置展板用于展示中欧班列（西安）、秦创原、自贸试验区等开放平台的优势和前景以及先进装备制造、汽车、电子信息、能源化工、生物医药、食品工业和现代物流业等重点产业优势；展示各市（区）产业布局、发展情况以及重点产业代表性产品和技术等内容，展板设计以文字、图片加</w:t>
            </w:r>
            <w:r>
              <w:rPr>
                <w:rFonts w:ascii="仿宋_GB2312" w:hAnsi="仿宋_GB2312" w:cs="仿宋_GB2312" w:eastAsia="仿宋_GB2312"/>
                <w:sz w:val="21"/>
              </w:rPr>
              <w:t>LED</w:t>
            </w:r>
            <w:r>
              <w:rPr>
                <w:rFonts w:ascii="仿宋_GB2312" w:hAnsi="仿宋_GB2312" w:cs="仿宋_GB2312" w:eastAsia="仿宋_GB2312"/>
                <w:sz w:val="21"/>
              </w:rPr>
              <w:t>显示屏播放招商宣传片的形式展示。</w:t>
            </w:r>
            <w:r>
              <w:br/>
            </w:r>
            <w:r>
              <w:rPr>
                <w:rFonts w:ascii="仿宋_GB2312" w:hAnsi="仿宋_GB2312" w:cs="仿宋_GB2312" w:eastAsia="仿宋_GB2312"/>
                <w:sz w:val="21"/>
              </w:rPr>
              <w:t>4.</w:t>
            </w:r>
            <w:r>
              <w:rPr>
                <w:rFonts w:ascii="仿宋_GB2312" w:hAnsi="仿宋_GB2312" w:cs="仿宋_GB2312" w:eastAsia="仿宋_GB2312"/>
                <w:sz w:val="21"/>
              </w:rPr>
              <w:t>设置不同造型的展示柜、展架、展台，用于展品摆放；设置展品说明牌。</w:t>
            </w:r>
            <w:r>
              <w:br/>
            </w:r>
            <w:r>
              <w:rPr>
                <w:rFonts w:ascii="仿宋_GB2312" w:hAnsi="仿宋_GB2312" w:cs="仿宋_GB2312" w:eastAsia="仿宋_GB2312"/>
                <w:sz w:val="21"/>
              </w:rPr>
              <w:t>5.</w:t>
            </w:r>
            <w:r>
              <w:rPr>
                <w:rFonts w:ascii="仿宋_GB2312" w:hAnsi="仿宋_GB2312" w:cs="仿宋_GB2312" w:eastAsia="仿宋_GB2312"/>
                <w:sz w:val="21"/>
              </w:rPr>
              <w:t>设置展品、资料存储柜，确保展品、宣传资料安全。</w:t>
            </w:r>
            <w:r>
              <w:br/>
            </w:r>
            <w:r>
              <w:rPr>
                <w:rFonts w:ascii="仿宋_GB2312" w:hAnsi="仿宋_GB2312" w:cs="仿宋_GB2312" w:eastAsia="仿宋_GB2312"/>
                <w:sz w:val="21"/>
              </w:rPr>
              <w:t>6.</w:t>
            </w:r>
            <w:r>
              <w:rPr>
                <w:rFonts w:ascii="仿宋_GB2312" w:hAnsi="仿宋_GB2312" w:cs="仿宋_GB2312" w:eastAsia="仿宋_GB2312"/>
                <w:sz w:val="21"/>
              </w:rPr>
              <w:t>设置洽谈席，布置</w:t>
            </w:r>
            <w:r>
              <w:rPr>
                <w:rFonts w:ascii="仿宋_GB2312" w:hAnsi="仿宋_GB2312" w:cs="仿宋_GB2312" w:eastAsia="仿宋_GB2312"/>
                <w:sz w:val="21"/>
              </w:rPr>
              <w:t>6-8</w:t>
            </w:r>
            <w:r>
              <w:rPr>
                <w:rFonts w:ascii="仿宋_GB2312" w:hAnsi="仿宋_GB2312" w:cs="仿宋_GB2312" w:eastAsia="仿宋_GB2312"/>
                <w:sz w:val="21"/>
              </w:rPr>
              <w:t>张洽谈桌，并配备座椅。</w:t>
            </w:r>
            <w:r>
              <w:br/>
            </w:r>
            <w:r>
              <w:rPr>
                <w:rFonts w:ascii="仿宋_GB2312" w:hAnsi="仿宋_GB2312" w:cs="仿宋_GB2312" w:eastAsia="仿宋_GB2312"/>
                <w:sz w:val="21"/>
              </w:rPr>
              <w:t>7.</w:t>
            </w:r>
            <w:r>
              <w:rPr>
                <w:rFonts w:ascii="仿宋_GB2312" w:hAnsi="仿宋_GB2312" w:cs="仿宋_GB2312" w:eastAsia="仿宋_GB2312"/>
                <w:sz w:val="21"/>
              </w:rPr>
              <w:t>设置迎宾台，用于接待嘉宾和放置宣传册、项目册等资料。</w:t>
            </w:r>
            <w:r>
              <w:br/>
            </w:r>
            <w:r>
              <w:rPr>
                <w:rFonts w:ascii="仿宋_GB2312" w:hAnsi="仿宋_GB2312" w:cs="仿宋_GB2312" w:eastAsia="仿宋_GB2312"/>
                <w:sz w:val="21"/>
              </w:rPr>
              <w:t>8.</w:t>
            </w:r>
            <w:r>
              <w:rPr>
                <w:rFonts w:ascii="仿宋_GB2312" w:hAnsi="仿宋_GB2312" w:cs="仿宋_GB2312" w:eastAsia="仿宋_GB2312"/>
                <w:sz w:val="21"/>
              </w:rPr>
              <w:t>布展搭建工作必须按照大会组委会要求，于</w:t>
            </w:r>
            <w:r>
              <w:rPr>
                <w:rFonts w:ascii="仿宋_GB2312" w:hAnsi="仿宋_GB2312" w:cs="仿宋_GB2312" w:eastAsia="仿宋_GB2312"/>
                <w:sz w:val="21"/>
              </w:rPr>
              <w:t>2025</w:t>
            </w:r>
            <w:r>
              <w:rPr>
                <w:rFonts w:ascii="仿宋_GB2312" w:hAnsi="仿宋_GB2312" w:cs="仿宋_GB2312" w:eastAsia="仿宋_GB2312"/>
                <w:sz w:val="21"/>
              </w:rPr>
              <w:t>年</w:t>
            </w:r>
            <w:r>
              <w:rPr>
                <w:rFonts w:ascii="仿宋_GB2312" w:hAnsi="仿宋_GB2312" w:cs="仿宋_GB2312" w:eastAsia="仿宋_GB2312"/>
                <w:sz w:val="21"/>
              </w:rPr>
              <w:t>9</w:t>
            </w:r>
            <w:r>
              <w:rPr>
                <w:rFonts w:ascii="仿宋_GB2312" w:hAnsi="仿宋_GB2312" w:cs="仿宋_GB2312" w:eastAsia="仿宋_GB2312"/>
                <w:sz w:val="21"/>
              </w:rPr>
              <w:t>月</w:t>
            </w:r>
            <w:r>
              <w:rPr>
                <w:rFonts w:ascii="仿宋_GB2312" w:hAnsi="仿宋_GB2312" w:cs="仿宋_GB2312" w:eastAsia="仿宋_GB2312"/>
                <w:sz w:val="21"/>
              </w:rPr>
              <w:t>7</w:t>
            </w:r>
            <w:r>
              <w:rPr>
                <w:rFonts w:ascii="仿宋_GB2312" w:hAnsi="仿宋_GB2312" w:cs="仿宋_GB2312" w:eastAsia="仿宋_GB2312"/>
                <w:sz w:val="21"/>
              </w:rPr>
              <w:t>日</w:t>
            </w:r>
            <w:r>
              <w:rPr>
                <w:rFonts w:ascii="仿宋_GB2312" w:hAnsi="仿宋_GB2312" w:cs="仿宋_GB2312" w:eastAsia="仿宋_GB2312"/>
                <w:sz w:val="21"/>
              </w:rPr>
              <w:t>18</w:t>
            </w:r>
            <w:r>
              <w:rPr>
                <w:rFonts w:ascii="仿宋_GB2312" w:hAnsi="仿宋_GB2312" w:cs="仿宋_GB2312" w:eastAsia="仿宋_GB2312"/>
                <w:sz w:val="21"/>
              </w:rPr>
              <w:t>时之前完成。</w:t>
            </w:r>
            <w:r>
              <w:br/>
            </w:r>
            <w:r>
              <w:rPr>
                <w:rFonts w:ascii="仿宋_GB2312" w:hAnsi="仿宋_GB2312" w:cs="仿宋_GB2312" w:eastAsia="仿宋_GB2312"/>
                <w:sz w:val="21"/>
              </w:rPr>
              <w:t>9.</w:t>
            </w:r>
            <w:r>
              <w:rPr>
                <w:rFonts w:ascii="仿宋_GB2312" w:hAnsi="仿宋_GB2312" w:cs="仿宋_GB2312" w:eastAsia="仿宋_GB2312"/>
                <w:sz w:val="21"/>
              </w:rPr>
              <w:t>遵守展会规定，按时进入场地进行施工。采用的电源、电线、电器等设施及所有搭建材料符合国家相应的质量标准，对施工和展览期间展位的安全负全责。</w:t>
            </w:r>
            <w:r>
              <w:br/>
            </w:r>
            <w:r>
              <w:rPr>
                <w:rFonts w:ascii="仿宋_GB2312" w:hAnsi="仿宋_GB2312" w:cs="仿宋_GB2312" w:eastAsia="仿宋_GB2312"/>
                <w:sz w:val="21"/>
              </w:rPr>
              <w:t>10.</w:t>
            </w:r>
            <w:r>
              <w:rPr>
                <w:rFonts w:ascii="仿宋_GB2312" w:hAnsi="仿宋_GB2312" w:cs="仿宋_GB2312" w:eastAsia="仿宋_GB2312"/>
                <w:sz w:val="21"/>
              </w:rPr>
              <w:t>展览期间，布展单位每天必须有专业人员到场值班，以确保展会期间各类电子、电器设备正常运转。</w:t>
            </w:r>
            <w:r>
              <w:rPr>
                <w:rFonts w:ascii="仿宋_GB2312" w:hAnsi="仿宋_GB2312" w:cs="仿宋_GB2312" w:eastAsia="仿宋_GB2312"/>
                <w:sz w:val="21"/>
              </w:rPr>
              <w:t>9</w:t>
            </w:r>
            <w:r>
              <w:rPr>
                <w:rFonts w:ascii="仿宋_GB2312" w:hAnsi="仿宋_GB2312" w:cs="仿宋_GB2312" w:eastAsia="仿宋_GB2312"/>
                <w:sz w:val="21"/>
              </w:rPr>
              <w:t>月</w:t>
            </w:r>
            <w:r>
              <w:rPr>
                <w:rFonts w:ascii="仿宋_GB2312" w:hAnsi="仿宋_GB2312" w:cs="仿宋_GB2312" w:eastAsia="仿宋_GB2312"/>
                <w:sz w:val="21"/>
              </w:rPr>
              <w:t>8</w:t>
            </w:r>
            <w:r>
              <w:rPr>
                <w:rFonts w:ascii="仿宋_GB2312" w:hAnsi="仿宋_GB2312" w:cs="仿宋_GB2312" w:eastAsia="仿宋_GB2312"/>
                <w:sz w:val="21"/>
              </w:rPr>
              <w:t>日上午，要提前到达展馆内开启电源、灯光和</w:t>
            </w:r>
            <w:r>
              <w:rPr>
                <w:rFonts w:ascii="仿宋_GB2312" w:hAnsi="仿宋_GB2312" w:cs="仿宋_GB2312" w:eastAsia="仿宋_GB2312"/>
                <w:sz w:val="21"/>
              </w:rPr>
              <w:t>LED</w:t>
            </w:r>
            <w:r>
              <w:rPr>
                <w:rFonts w:ascii="仿宋_GB2312" w:hAnsi="仿宋_GB2312" w:cs="仿宋_GB2312" w:eastAsia="仿宋_GB2312"/>
                <w:sz w:val="21"/>
              </w:rPr>
              <w:t>显示屏等设备。</w:t>
            </w:r>
            <w:r>
              <w:br/>
            </w:r>
            <w:r>
              <w:rPr>
                <w:rFonts w:ascii="仿宋_GB2312" w:hAnsi="仿宋_GB2312" w:cs="仿宋_GB2312" w:eastAsia="仿宋_GB2312"/>
                <w:sz w:val="21"/>
              </w:rPr>
              <w:t>11.</w:t>
            </w:r>
            <w:r>
              <w:rPr>
                <w:rFonts w:ascii="仿宋_GB2312" w:hAnsi="仿宋_GB2312" w:cs="仿宋_GB2312" w:eastAsia="仿宋_GB2312"/>
                <w:sz w:val="21"/>
              </w:rPr>
              <w:t>撤展工作必须按照大会组委会要求，于</w:t>
            </w:r>
            <w:r>
              <w:rPr>
                <w:rFonts w:ascii="仿宋_GB2312" w:hAnsi="仿宋_GB2312" w:cs="仿宋_GB2312" w:eastAsia="仿宋_GB2312"/>
                <w:sz w:val="21"/>
              </w:rPr>
              <w:t>2025</w:t>
            </w:r>
            <w:r>
              <w:rPr>
                <w:rFonts w:ascii="仿宋_GB2312" w:hAnsi="仿宋_GB2312" w:cs="仿宋_GB2312" w:eastAsia="仿宋_GB2312"/>
                <w:sz w:val="21"/>
              </w:rPr>
              <w:t>年</w:t>
            </w:r>
            <w:r>
              <w:rPr>
                <w:rFonts w:ascii="仿宋_GB2312" w:hAnsi="仿宋_GB2312" w:cs="仿宋_GB2312" w:eastAsia="仿宋_GB2312"/>
                <w:sz w:val="21"/>
              </w:rPr>
              <w:t>9</w:t>
            </w:r>
            <w:r>
              <w:rPr>
                <w:rFonts w:ascii="仿宋_GB2312" w:hAnsi="仿宋_GB2312" w:cs="仿宋_GB2312" w:eastAsia="仿宋_GB2312"/>
                <w:sz w:val="21"/>
              </w:rPr>
              <w:t>月</w:t>
            </w:r>
            <w:r>
              <w:rPr>
                <w:rFonts w:ascii="仿宋_GB2312" w:hAnsi="仿宋_GB2312" w:cs="仿宋_GB2312" w:eastAsia="仿宋_GB2312"/>
                <w:sz w:val="21"/>
              </w:rPr>
              <w:t>11</w:t>
            </w:r>
            <w:r>
              <w:rPr>
                <w:rFonts w:ascii="仿宋_GB2312" w:hAnsi="仿宋_GB2312" w:cs="仿宋_GB2312" w:eastAsia="仿宋_GB2312"/>
                <w:sz w:val="21"/>
              </w:rPr>
              <w:t>日闭馆之后撤展。</w:t>
            </w:r>
          </w:p>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商务要求</w:t>
            </w:r>
            <w:r>
              <w:br/>
            </w:r>
            <w:r>
              <w:rPr>
                <w:rFonts w:ascii="仿宋_GB2312" w:hAnsi="仿宋_GB2312" w:cs="仿宋_GB2312" w:eastAsia="仿宋_GB2312"/>
                <w:sz w:val="21"/>
              </w:rPr>
              <w:t>（一）服务期限</w:t>
            </w:r>
            <w:r>
              <w:br/>
            </w:r>
            <w:r>
              <w:rPr>
                <w:rFonts w:ascii="仿宋_GB2312" w:hAnsi="仿宋_GB2312" w:cs="仿宋_GB2312" w:eastAsia="仿宋_GB2312"/>
                <w:sz w:val="21"/>
              </w:rPr>
              <w:t>自合同签订之日起1个月</w:t>
            </w:r>
            <w:r>
              <w:rPr>
                <w:rFonts w:ascii="仿宋_GB2312" w:hAnsi="仿宋_GB2312" w:cs="仿宋_GB2312" w:eastAsia="仿宋_GB2312"/>
                <w:sz w:val="21"/>
              </w:rPr>
              <w:t>。</w:t>
            </w:r>
            <w:r>
              <w:br/>
            </w:r>
            <w:r>
              <w:rPr>
                <w:rFonts w:ascii="仿宋_GB2312" w:hAnsi="仿宋_GB2312" w:cs="仿宋_GB2312" w:eastAsia="仿宋_GB2312"/>
                <w:sz w:val="21"/>
              </w:rPr>
              <w:t>（二）款项结算</w:t>
            </w:r>
            <w:r>
              <w:br/>
            </w:r>
            <w:r>
              <w:rPr>
                <w:rFonts w:ascii="仿宋_GB2312" w:hAnsi="仿宋_GB2312" w:cs="仿宋_GB2312" w:eastAsia="仿宋_GB2312"/>
                <w:sz w:val="21"/>
              </w:rPr>
              <w:t>合同签订后</w:t>
            </w:r>
            <w:r>
              <w:rPr>
                <w:rFonts w:ascii="仿宋_GB2312" w:hAnsi="仿宋_GB2312" w:cs="仿宋_GB2312" w:eastAsia="仿宋_GB2312"/>
                <w:sz w:val="21"/>
              </w:rPr>
              <w:t>15</w:t>
            </w:r>
            <w:r>
              <w:rPr>
                <w:rFonts w:ascii="仿宋_GB2312" w:hAnsi="仿宋_GB2312" w:cs="仿宋_GB2312" w:eastAsia="仿宋_GB2312"/>
                <w:sz w:val="21"/>
              </w:rPr>
              <w:t>个工作日内支付合同总价款的</w:t>
            </w:r>
            <w:r>
              <w:rPr>
                <w:rFonts w:ascii="仿宋_GB2312" w:hAnsi="仿宋_GB2312" w:cs="仿宋_GB2312" w:eastAsia="仿宋_GB2312"/>
                <w:sz w:val="21"/>
              </w:rPr>
              <w:t>70%</w:t>
            </w:r>
            <w:r>
              <w:rPr>
                <w:rFonts w:ascii="仿宋_GB2312" w:hAnsi="仿宋_GB2312" w:cs="仿宋_GB2312" w:eastAsia="仿宋_GB2312"/>
                <w:sz w:val="21"/>
              </w:rPr>
              <w:t>；项目完成交付验收合格后，</w:t>
            </w:r>
            <w:r>
              <w:rPr>
                <w:rFonts w:ascii="仿宋_GB2312" w:hAnsi="仿宋_GB2312" w:cs="仿宋_GB2312" w:eastAsia="仿宋_GB2312"/>
                <w:sz w:val="21"/>
              </w:rPr>
              <w:t>15</w:t>
            </w:r>
            <w:r>
              <w:rPr>
                <w:rFonts w:ascii="仿宋_GB2312" w:hAnsi="仿宋_GB2312" w:cs="仿宋_GB2312" w:eastAsia="仿宋_GB2312"/>
                <w:sz w:val="21"/>
              </w:rPr>
              <w:t>个工作日内支付合同总价款的</w:t>
            </w:r>
            <w:r>
              <w:rPr>
                <w:rFonts w:ascii="仿宋_GB2312" w:hAnsi="仿宋_GB2312" w:cs="仿宋_GB2312" w:eastAsia="仿宋_GB2312"/>
                <w:sz w:val="21"/>
              </w:rPr>
              <w:t>30%</w:t>
            </w:r>
            <w:r>
              <w:rPr>
                <w:rFonts w:ascii="仿宋_GB2312" w:hAnsi="仿宋_GB2312" w:cs="仿宋_GB2312" w:eastAsia="仿宋_GB2312"/>
                <w:sz w:val="21"/>
              </w:rPr>
              <w:t>。</w:t>
            </w:r>
            <w:r>
              <w:br/>
            </w:r>
            <w:r>
              <w:rPr>
                <w:rFonts w:ascii="仿宋_GB2312" w:hAnsi="仿宋_GB2312" w:cs="仿宋_GB2312" w:eastAsia="仿宋_GB2312"/>
                <w:sz w:val="21"/>
              </w:rPr>
              <w:t>五、</w:t>
            </w:r>
            <w:r>
              <w:rPr>
                <w:rFonts w:ascii="仿宋_GB2312" w:hAnsi="仿宋_GB2312" w:cs="仿宋_GB2312" w:eastAsia="仿宋_GB2312"/>
                <w:sz w:val="21"/>
              </w:rPr>
              <w:t>其他</w:t>
            </w:r>
            <w:r>
              <w:br/>
            </w:r>
            <w:r>
              <w:rPr>
                <w:rFonts w:ascii="仿宋_GB2312" w:hAnsi="仿宋_GB2312" w:cs="仿宋_GB2312" w:eastAsia="仿宋_GB2312"/>
                <w:sz w:val="21"/>
              </w:rPr>
              <w:t>（一）进度要求</w:t>
            </w:r>
            <w:r>
              <w:br/>
            </w:r>
            <w:r>
              <w:rPr>
                <w:rFonts w:ascii="仿宋_GB2312" w:hAnsi="仿宋_GB2312" w:cs="仿宋_GB2312" w:eastAsia="仿宋_GB2312"/>
                <w:sz w:val="21"/>
              </w:rPr>
              <w:t>按照甲方要求执行。</w:t>
            </w:r>
            <w:r>
              <w:br/>
            </w:r>
            <w:r>
              <w:rPr>
                <w:rFonts w:ascii="仿宋_GB2312" w:hAnsi="仿宋_GB2312" w:cs="仿宋_GB2312" w:eastAsia="仿宋_GB2312"/>
                <w:sz w:val="21"/>
              </w:rPr>
              <w:t>（三）质量验收标准或规范</w:t>
            </w:r>
            <w:r>
              <w:br/>
            </w:r>
            <w:r>
              <w:rPr>
                <w:rFonts w:ascii="仿宋_GB2312" w:hAnsi="仿宋_GB2312" w:cs="仿宋_GB2312" w:eastAsia="仿宋_GB2312"/>
                <w:sz w:val="21"/>
              </w:rPr>
              <w:t>按照合同执行</w:t>
            </w:r>
            <w:r>
              <w:br/>
            </w:r>
            <w:r>
              <w:rPr>
                <w:rFonts w:ascii="仿宋_GB2312" w:hAnsi="仿宋_GB2312" w:cs="仿宋_GB2312" w:eastAsia="仿宋_GB2312"/>
                <w:sz w:val="21"/>
              </w:rPr>
              <w:t>（四）违约责任</w:t>
            </w:r>
            <w:r>
              <w:br/>
            </w:r>
            <w:r>
              <w:rPr>
                <w:rFonts w:ascii="仿宋_GB2312" w:hAnsi="仿宋_GB2312" w:cs="仿宋_GB2312" w:eastAsia="仿宋_GB2312"/>
                <w:sz w:val="21"/>
              </w:rPr>
              <w:t>按照合同执行</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标的名称：商务服务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 项目概况</w:t>
            </w:r>
            <w:r>
              <w:br/>
            </w:r>
            <w:r>
              <w:rPr>
                <w:rFonts w:ascii="仿宋_GB2312" w:hAnsi="仿宋_GB2312" w:cs="仿宋_GB2312" w:eastAsia="仿宋_GB2312"/>
              </w:rPr>
              <w:t xml:space="preserve"> 充分利用厦洽会资源集聚效应，吸引厦门等沿海地区保税维修、保税仓储、保税展示、跨境电商、国际供应链服务等外向型企业入驻我省综合保税区，助力打好我省外贸攻坚硬仗。</w:t>
            </w:r>
            <w:r>
              <w:br/>
            </w:r>
            <w:r>
              <w:rPr>
                <w:rFonts w:ascii="仿宋_GB2312" w:hAnsi="仿宋_GB2312" w:cs="仿宋_GB2312" w:eastAsia="仿宋_GB2312"/>
              </w:rPr>
              <w:t xml:space="preserve"> 二、 服务内容</w:t>
            </w:r>
          </w:p>
          <w:p>
            <w:pPr>
              <w:pStyle w:val="null3"/>
            </w:pPr>
            <w:r>
              <w:rPr>
                <w:rFonts w:ascii="仿宋_GB2312" w:hAnsi="仿宋_GB2312" w:cs="仿宋_GB2312" w:eastAsia="仿宋_GB2312"/>
              </w:rPr>
              <w:t xml:space="preserve"> 须全面负责陕闽外向型经济高质量发展恳谈会（厦门），陕闽外向型经济高质量发展恳谈会（泉州）及参访综合保税区和重点企业及相关后续活动的策划与执行工作，包括但不限于完成企业招展、展位预定、展前培训、展品运输、会期服务、展会总结和费用核销等全流程工作。实施方案制定、全流程安排与现场布置及管理组织参加。</w:t>
            </w:r>
          </w:p>
          <w:p>
            <w:pPr>
              <w:pStyle w:val="null3"/>
            </w:pPr>
            <w:r>
              <w:rPr>
                <w:rFonts w:ascii="仿宋_GB2312" w:hAnsi="仿宋_GB2312" w:cs="仿宋_GB2312" w:eastAsia="仿宋_GB2312"/>
              </w:rPr>
              <w:t>三、 服务要求</w:t>
            </w:r>
          </w:p>
          <w:p>
            <w:pPr>
              <w:pStyle w:val="null3"/>
            </w:pPr>
            <w:r>
              <w:rPr>
                <w:rFonts w:ascii="仿宋_GB2312" w:hAnsi="仿宋_GB2312" w:cs="仿宋_GB2312" w:eastAsia="仿宋_GB2312"/>
              </w:rPr>
              <w:t>（一）设备租赁及服务：</w:t>
            </w:r>
          </w:p>
          <w:p>
            <w:pPr>
              <w:pStyle w:val="null3"/>
            </w:pPr>
            <w:r>
              <w:rPr>
                <w:rFonts w:ascii="仿宋_GB2312" w:hAnsi="仿宋_GB2312" w:cs="仿宋_GB2312" w:eastAsia="仿宋_GB2312"/>
              </w:rPr>
              <w:t>1.搭建布置及物料制作： 包含会场内外设计布置、舞台搭建安装、易拉宝、挂图等相关物料制作等；</w:t>
            </w:r>
          </w:p>
          <w:p>
            <w:pPr>
              <w:pStyle w:val="null3"/>
            </w:pPr>
            <w:r>
              <w:rPr>
                <w:rFonts w:ascii="仿宋_GB2312" w:hAnsi="仿宋_GB2312" w:cs="仿宋_GB2312" w:eastAsia="仿宋_GB2312"/>
              </w:rPr>
              <w:t>2.AV设备租赁：包含两场活动舞台LED、音响、灯光、视频设备等；</w:t>
            </w:r>
          </w:p>
          <w:p>
            <w:pPr>
              <w:pStyle w:val="null3"/>
            </w:pPr>
            <w:r>
              <w:rPr>
                <w:rFonts w:ascii="仿宋_GB2312" w:hAnsi="仿宋_GB2312" w:cs="仿宋_GB2312" w:eastAsia="仿宋_GB2312"/>
              </w:rPr>
              <w:t>3.会议服务：包含两场活动的照片直播、摄影摄像、后期剪辑；</w:t>
            </w:r>
          </w:p>
          <w:p>
            <w:pPr>
              <w:pStyle w:val="null3"/>
            </w:pPr>
            <w:r>
              <w:rPr>
                <w:rFonts w:ascii="仿宋_GB2312" w:hAnsi="仿宋_GB2312" w:cs="仿宋_GB2312" w:eastAsia="仿宋_GB2312"/>
              </w:rPr>
              <w:t>4.会议资料印刷：包含两场活动会议手册、定制手提袋、见签图、证件、嘉宾座位图、桌签等。</w:t>
            </w:r>
          </w:p>
          <w:p>
            <w:pPr>
              <w:pStyle w:val="null3"/>
            </w:pPr>
            <w:r>
              <w:rPr>
                <w:rFonts w:ascii="仿宋_GB2312" w:hAnsi="仿宋_GB2312" w:cs="仿宋_GB2312" w:eastAsia="仿宋_GB2312"/>
              </w:rPr>
              <w:t>（二）自助餐及车辆保障：</w:t>
            </w:r>
          </w:p>
          <w:p>
            <w:pPr>
              <w:pStyle w:val="null3"/>
            </w:pPr>
            <w:r>
              <w:rPr>
                <w:rFonts w:ascii="仿宋_GB2312" w:hAnsi="仿宋_GB2312" w:cs="仿宋_GB2312" w:eastAsia="仿宋_GB2312"/>
              </w:rPr>
              <w:t>1.两场推介会后自助餐费：以实际参会人数为准；</w:t>
            </w:r>
          </w:p>
          <w:p>
            <w:pPr>
              <w:pStyle w:val="null3"/>
            </w:pPr>
            <w:r>
              <w:rPr>
                <w:rFonts w:ascii="仿宋_GB2312" w:hAnsi="仿宋_GB2312" w:cs="仿宋_GB2312" w:eastAsia="仿宋_GB2312"/>
              </w:rPr>
              <w:t>2.厦门泉州两地车辆租赁费：最终以实际使用数量为准</w:t>
            </w:r>
          </w:p>
          <w:p>
            <w:pPr>
              <w:pStyle w:val="null3"/>
            </w:pPr>
            <w:r>
              <w:rPr>
                <w:rFonts w:ascii="仿宋_GB2312" w:hAnsi="仿宋_GB2312" w:cs="仿宋_GB2312" w:eastAsia="仿宋_GB2312"/>
              </w:rPr>
              <w:t>四、 商务要求</w:t>
            </w:r>
            <w:r>
              <w:br/>
            </w:r>
            <w:r>
              <w:rPr>
                <w:rFonts w:ascii="仿宋_GB2312" w:hAnsi="仿宋_GB2312" w:cs="仿宋_GB2312" w:eastAsia="仿宋_GB2312"/>
              </w:rPr>
              <w:t xml:space="preserve"> （一）服务期限</w:t>
            </w:r>
            <w:r>
              <w:br/>
            </w:r>
            <w:r>
              <w:rPr>
                <w:rFonts w:ascii="仿宋_GB2312" w:hAnsi="仿宋_GB2312" w:cs="仿宋_GB2312" w:eastAsia="仿宋_GB2312"/>
              </w:rPr>
              <w:t xml:space="preserve"> 自合同签订之日起1个月。</w:t>
            </w:r>
            <w:r>
              <w:br/>
            </w:r>
            <w:r>
              <w:rPr>
                <w:rFonts w:ascii="仿宋_GB2312" w:hAnsi="仿宋_GB2312" w:cs="仿宋_GB2312" w:eastAsia="仿宋_GB2312"/>
              </w:rPr>
              <w:t xml:space="preserve"> （二）款项结算</w:t>
            </w:r>
            <w:r>
              <w:br/>
            </w:r>
            <w:r>
              <w:rPr>
                <w:rFonts w:ascii="仿宋_GB2312" w:hAnsi="仿宋_GB2312" w:cs="仿宋_GB2312" w:eastAsia="仿宋_GB2312"/>
              </w:rPr>
              <w:t xml:space="preserve"> 合同签订后15个工作日内支付合同总价款的70%；项目完成交付验收合格后，15个工作日内支付合同总价款的30%。</w:t>
            </w:r>
            <w:r>
              <w:br/>
            </w:r>
            <w:r>
              <w:rPr>
                <w:rFonts w:ascii="仿宋_GB2312" w:hAnsi="仿宋_GB2312" w:cs="仿宋_GB2312" w:eastAsia="仿宋_GB2312"/>
              </w:rPr>
              <w:t xml:space="preserve"> 五、 其他</w:t>
            </w:r>
            <w:r>
              <w:br/>
            </w:r>
            <w:r>
              <w:rPr>
                <w:rFonts w:ascii="仿宋_GB2312" w:hAnsi="仿宋_GB2312" w:cs="仿宋_GB2312" w:eastAsia="仿宋_GB2312"/>
              </w:rPr>
              <w:t xml:space="preserve"> （一）进度要求</w:t>
            </w:r>
            <w:r>
              <w:br/>
            </w:r>
            <w:r>
              <w:rPr>
                <w:rFonts w:ascii="仿宋_GB2312" w:hAnsi="仿宋_GB2312" w:cs="仿宋_GB2312" w:eastAsia="仿宋_GB2312"/>
              </w:rPr>
              <w:t xml:space="preserve"> 按照甲方要求执行。</w:t>
            </w:r>
            <w:r>
              <w:br/>
            </w:r>
            <w:r>
              <w:rPr>
                <w:rFonts w:ascii="仿宋_GB2312" w:hAnsi="仿宋_GB2312" w:cs="仿宋_GB2312" w:eastAsia="仿宋_GB2312"/>
              </w:rPr>
              <w:t xml:space="preserve"> （三）质量验收标准或规范</w:t>
            </w:r>
            <w:r>
              <w:br/>
            </w:r>
            <w:r>
              <w:rPr>
                <w:rFonts w:ascii="仿宋_GB2312" w:hAnsi="仿宋_GB2312" w:cs="仿宋_GB2312" w:eastAsia="仿宋_GB2312"/>
              </w:rPr>
              <w:t xml:space="preserve"> 按照合同执行</w:t>
            </w:r>
            <w:r>
              <w:br/>
            </w:r>
            <w:r>
              <w:rPr>
                <w:rFonts w:ascii="仿宋_GB2312" w:hAnsi="仿宋_GB2312" w:cs="仿宋_GB2312" w:eastAsia="仿宋_GB2312"/>
              </w:rPr>
              <w:t xml:space="preserve"> （四）违约责任</w:t>
            </w:r>
            <w:r>
              <w:br/>
            </w:r>
            <w:r>
              <w:rPr>
                <w:rFonts w:ascii="仿宋_GB2312" w:hAnsi="仿宋_GB2312" w:cs="仿宋_GB2312" w:eastAsia="仿宋_GB2312"/>
              </w:rPr>
              <w:t xml:space="preserve"> 按照合同执行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具有履行合同所必需的设施设备，满足项目需求。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具有履行合同所必需的设施设备，满足项目需求。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满足采购文件及采购人要求。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满足采购文件及采购人要求。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自合同签订之日起为期1年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自合同签订之日起为期1年。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符合国家及行业现行验收标准要求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符合国家及行业现行验收标准要求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项目完成交付验收合格后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项目完成交付验收合格后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供应商认为有必要说明的事宜.docx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供应商认为有必要说明的事宜.docx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供应商认为有必要说明的事宜.docx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 供应商认为有必要说明的事宜.docx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或2024年度财务审计报告（至少包括常规和三表一注，成立时间至提交磋商响应文件截止时间不足一年的可提供成立后任意时段的资产负债表），或其开标前六个月内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单位负责人为同一人或者存在直接控股、管理关系的不同供应商，不得参加同一合同项下的政府采购活动（提供书面承诺函，加盖供应商公章）；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不接受联合体磋商声明</w:t>
            </w:r>
          </w:p>
        </w:tc>
        <w:tc>
          <w:tcPr>
            <w:tcW w:type="dxa" w:w="3322"/>
          </w:tcPr>
          <w:p>
            <w:pPr>
              <w:pStyle w:val="null3"/>
            </w:pPr>
            <w:r>
              <w:rPr>
                <w:rFonts w:ascii="仿宋_GB2312" w:hAnsi="仿宋_GB2312" w:cs="仿宋_GB2312" w:eastAsia="仿宋_GB2312"/>
              </w:rPr>
              <w:t>本项目不接受联合体磋商（提供声明）。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或2024年度财务审计报告（至少包括常规和三表一注，成立时间至提交磋商响应文件截止时间不足一年的可提供成立后任意时段的资产负债表），或其开标前六个月内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单位负责人为同一人或者存在直接控股、管理关系的不同供应商，不得参加同一合同项下的政府采购活动（提供书面承诺函，加盖供应商公章）；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不接受联合体磋商声明</w:t>
            </w:r>
          </w:p>
        </w:tc>
        <w:tc>
          <w:tcPr>
            <w:tcW w:type="dxa" w:w="3322"/>
          </w:tcPr>
          <w:p>
            <w:pPr>
              <w:pStyle w:val="null3"/>
            </w:pPr>
            <w:r>
              <w:rPr>
                <w:rFonts w:ascii="仿宋_GB2312" w:hAnsi="仿宋_GB2312" w:cs="仿宋_GB2312" w:eastAsia="仿宋_GB2312"/>
              </w:rPr>
              <w:t>本项目不接受联合体磋商（提供声明）。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中小企业声明函 服务方案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不存在法律、法规和磋商文件规定的其他无效投标情形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中小企业声明函 服务方案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不存在法律、法规和磋商文件规定的其他无效投标情形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2：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供应商针对本项目特点及服务内容制定具体详细的设计方案及实施方案。 1.设计方案思路清晰描述详细；2.实施方法及工作安排合理；3.制定规范的、有针对性的服务进度计划；4.风险管理；根据以上4条进行综合评审。 1. 以上4条内容完全满足要求：30分； 2. 以上1条内容安排不合理、缺少关键点：25分； 3. 以上2条内容安排不合理、缺少关键点：20分； 4. 以上3条内容安排不合理、缺少关键点：10分； 5. 未提供、4条内容均不满足要求：0分。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设施设备清单</w:t>
            </w:r>
          </w:p>
        </w:tc>
        <w:tc>
          <w:tcPr>
            <w:tcW w:type="dxa" w:w="2492"/>
          </w:tcPr>
          <w:p>
            <w:pPr>
              <w:pStyle w:val="null3"/>
            </w:pPr>
            <w:r>
              <w:rPr>
                <w:rFonts w:ascii="仿宋_GB2312" w:hAnsi="仿宋_GB2312" w:cs="仿宋_GB2312" w:eastAsia="仿宋_GB2312"/>
              </w:rPr>
              <w:t>供应商针对本项目拟投入的设施设备。 1.设备符合采购需求中的技术参数要求；2.设备名称、规格符合采购需求中的要求；3.设备保修期符合要求；4.提供详细设备的可用性说明、维护计划及应急备用方案明确；根据以上4条进行综合评审。 1. 提供设备相关方案完全满足以上4条要求：12分； 2. 提供设备相关方案内容有1条不满足：9分； 3. 提供设备相关方案内容有2条不满足：6分； 4. 提供设备相关方案内容有3条不满足：3分； 5. 未提供、4条内容均不满足要求：0分。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安全及应急保障措施</w:t>
            </w:r>
          </w:p>
        </w:tc>
        <w:tc>
          <w:tcPr>
            <w:tcW w:type="dxa" w:w="2492"/>
          </w:tcPr>
          <w:p>
            <w:pPr>
              <w:pStyle w:val="null3"/>
            </w:pPr>
            <w:r>
              <w:rPr>
                <w:rFonts w:ascii="仿宋_GB2312" w:hAnsi="仿宋_GB2312" w:cs="仿宋_GB2312" w:eastAsia="仿宋_GB2312"/>
              </w:rPr>
              <w:t>供应商针对本项目提供的安全保障措施， 1.消防安全保障措施；2.用电安全保障措施；3.设备安全保障；4.突发问题等应急预案及应对措施；根据以上4条进行综合评审。 1. 以上4条安全措施方案合理、调理清晰、实施性高、完全满足要求：15分； 2. 安全保障措施方案存在1条不合理、有缺陷：10分； 3. 安全保障措施方案存在2条不合理、有缺陷：8分； 4. 安全保障措施方案存在3条不合理、有缺陷：3分； 5. 未提供、4条内容不满足要求，存在不合理、有缺陷：0分。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项目团队人员情况</w:t>
            </w:r>
          </w:p>
        </w:tc>
        <w:tc>
          <w:tcPr>
            <w:tcW w:type="dxa" w:w="2492"/>
          </w:tcPr>
          <w:p>
            <w:pPr>
              <w:pStyle w:val="null3"/>
            </w:pPr>
            <w:r>
              <w:rPr>
                <w:rFonts w:ascii="仿宋_GB2312" w:hAnsi="仿宋_GB2312" w:cs="仿宋_GB2312" w:eastAsia="仿宋_GB2312"/>
              </w:rPr>
              <w:t>供应商针对本项目拟投入实施团队人员。 1.有项目负责人资质；2.有专业的策划团队；3.执行团队经验丰富和驻场服务人员标；4.岗位职责明确，拟派项目团队人员数量及专业安排合理、专业素质高；根据以上4条进行综合评审。 1. 以上4条完全满足要求：12分； 2. 条件内容存在1条不达标：9分； 3. 条件内容存在2条不达标：6分； 4. 条件内容存在3条不达标：3分； 5. 未提供、4条均不不达标：0分。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费用管理与成本控制</w:t>
            </w:r>
          </w:p>
        </w:tc>
        <w:tc>
          <w:tcPr>
            <w:tcW w:type="dxa" w:w="2492"/>
          </w:tcPr>
          <w:p>
            <w:pPr>
              <w:pStyle w:val="null3"/>
            </w:pPr>
            <w:r>
              <w:rPr>
                <w:rFonts w:ascii="仿宋_GB2312" w:hAnsi="仿宋_GB2312" w:cs="仿宋_GB2312" w:eastAsia="仿宋_GB2312"/>
              </w:rPr>
              <w:t>根据本项目的服务内容，为拟派本项目的人员编制相应的费用管理与成本控制方案， ①报价合理性:报价明细清晰，各项费用合理，与市场行情相符； ②成本控制措施:提出有效的成本控制措施，能在保证服务质量的前提下降低费用。 评审标准： 1、完整性：方案内容全面，对评审内容中的各项要求有详细描述及说明； 2、可实施性：切合本项目实际情况，费用管理与成本控制方案清晰、合理、可操作性强； 3、针对性：方案紧扣项目实际情况，内容科学合理。 方案各部分内容全面详细、阐述条理清晰详尽、符合本项目采购需求得5分； 方案内容每缺一项扣2.5分，扣完为止。 方案某一项内容中有缺陷的(缺陷是指以下情形: ①内容描述过于简单 ②条理不清晰 ③与项目内容不匹配 ④凭空编造 ⑤出现常识性错误 ⑥不可能实现的夸大情形 ⑦存在不适用项目实际情况的情形等)，该项方案内容中每出现一种前述情形的缺陷扣1分，扣完为止。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 ①承诺内容进行了详细阐述且完全满足采购需求、可实施性强，得5分； ②内容阐述但并未完全贴合项目需求理解情况、可实施性一般，得3分； ③阐述内容有缺失影响到项目实施的，得1分。 ④内容未进行阐述得0分。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撤离方案</w:t>
            </w:r>
          </w:p>
        </w:tc>
        <w:tc>
          <w:tcPr>
            <w:tcW w:type="dxa" w:w="2492"/>
          </w:tcPr>
          <w:p>
            <w:pPr>
              <w:pStyle w:val="null3"/>
            </w:pPr>
            <w:r>
              <w:rPr>
                <w:rFonts w:ascii="仿宋_GB2312" w:hAnsi="仿宋_GB2312" w:cs="仿宋_GB2312" w:eastAsia="仿宋_GB2312"/>
              </w:rPr>
              <w:t>供应商针对本项目提供撤场与清理方案。 1.垃圾清运计划；2.材料回收方案；3.设施设备归位流程；4.验收标准（场地无残留垃圾、地面无损伤）、验收文件（签字确认单、照片存档） 1. 撤离方案合理、条理清晰详细：5分； 2. 撤离方案内容存在1处内容缺陷、不齐全：3分； 3. 撤离方案内容存在2处内容缺陷、不齐全：2分； 4. 撤离方案内容存在3处内容缺陷、不齐全：1分； 5. 未提供、4条均不达标，内容缺陷、不齐全：0分。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供应商提供2022年1月1日至今同类项目业绩合同或中标通知书（以合同签订时间或中标通知书时间为准），每份得 2分，满分6分。 备注：业绩证明材料以响应文件内附合同或中标通知书复印件加盖公章，材料清晰可辨。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价格分统一采用低价优先法计算，即满足磋商文件要求且最终报价价格最低的报价为评审基准价，其价格分为满分。其他供应商的价格分统一按照下列公式计算： 磋商报价得分=(评审基准价/最终报价)×10，计算分数时四舍五入取小数点后两位。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供应商针对本项目特点及服务内容制定具体详细的设计方案及实施方案。 1.设计方案思路清晰描述详细；2.实施方法及工作安排合理；3.制定规范的、有针对性的服务进度计划；4.风险管理；根据以上4条进行综合评审。 1. 以上4条内容完全满足要求：30分； 2. 以上1条内容安排不合理、缺少关键点：25分； 3. 以上2条内容安排不合理、缺少关键点：20分； 4. 以上3条内容安排不合理、缺少关键点：10分； 5. 未提供、4条内容均不满足要求：0分。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设施设备清单</w:t>
            </w:r>
          </w:p>
        </w:tc>
        <w:tc>
          <w:tcPr>
            <w:tcW w:type="dxa" w:w="2492"/>
          </w:tcPr>
          <w:p>
            <w:pPr>
              <w:pStyle w:val="null3"/>
            </w:pPr>
            <w:r>
              <w:rPr>
                <w:rFonts w:ascii="仿宋_GB2312" w:hAnsi="仿宋_GB2312" w:cs="仿宋_GB2312" w:eastAsia="仿宋_GB2312"/>
              </w:rPr>
              <w:t>供应商针对本项目拟投入的设施设备。 1.设备符合采购需求中的技术参数要求；2.设备名称、规格符合采购需求中的要求；3.设备保修期符合要求；4.提供详细设备的可用性说明、维护计划及应急备用方案明确；根据以上4条进行综合评审。 1. 提供设备相关方案完全满足以上4条要求：12分； 2. 提供设备相关方案内容有1条不满足：9分； 3. 提供设备相关方案内容有2条不满足：6分； 4. 提供设备相关方案内容有3条不满足：3分； 5. 未提供、4条内容均不满足要求：0分。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安全及应急保障措施</w:t>
            </w:r>
          </w:p>
        </w:tc>
        <w:tc>
          <w:tcPr>
            <w:tcW w:type="dxa" w:w="2492"/>
          </w:tcPr>
          <w:p>
            <w:pPr>
              <w:pStyle w:val="null3"/>
            </w:pPr>
            <w:r>
              <w:rPr>
                <w:rFonts w:ascii="仿宋_GB2312" w:hAnsi="仿宋_GB2312" w:cs="仿宋_GB2312" w:eastAsia="仿宋_GB2312"/>
              </w:rPr>
              <w:t>供应商针对本项目提供的安全保障措施， 1.消防安全保障措施；2.用电安全保障措施；3.设备安全保障；4.突发问题等应急预案及应对措施；根据以上4条进行综合评审。 1. 以上4条安全措施方案合理、调理清晰、实施性高、完全满足要求：15分； 2. 安全保障措施方案存在1条不合理、有缺陷：10分； 3. 安全保障措施方案存在2条不合理、有缺陷：8分； 4. 安全保障措施方案存在3条不合理、有缺陷：3分； 5. 未提供、4条内容不满足要求，存在不合理、有缺陷：0分。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项目团队人员情况</w:t>
            </w:r>
          </w:p>
        </w:tc>
        <w:tc>
          <w:tcPr>
            <w:tcW w:type="dxa" w:w="2492"/>
          </w:tcPr>
          <w:p>
            <w:pPr>
              <w:pStyle w:val="null3"/>
            </w:pPr>
            <w:r>
              <w:rPr>
                <w:rFonts w:ascii="仿宋_GB2312" w:hAnsi="仿宋_GB2312" w:cs="仿宋_GB2312" w:eastAsia="仿宋_GB2312"/>
              </w:rPr>
              <w:t>供应商针对本项目拟投入实施团队人员。 1.有项目负责人资质；2.有专业的策划团队；3.执行团队经验丰富和驻场服务人员标；4.岗位职责明确，拟派项目团队人员数量及专业安排合理、专业素质高；根据以上4条进行综合评审。 1. 以上4条完全满足要求：12分； 2. 条件内容存在1条不达标：9分； 3. 条件内容存在2条不达标：6分； 4. 条件内容存在3条不达标：3分； 5. 未提供、4条均不不达标：0分。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费用管理与成本控制</w:t>
            </w:r>
          </w:p>
        </w:tc>
        <w:tc>
          <w:tcPr>
            <w:tcW w:type="dxa" w:w="2492"/>
          </w:tcPr>
          <w:p>
            <w:pPr>
              <w:pStyle w:val="null3"/>
            </w:pPr>
            <w:r>
              <w:rPr>
                <w:rFonts w:ascii="仿宋_GB2312" w:hAnsi="仿宋_GB2312" w:cs="仿宋_GB2312" w:eastAsia="仿宋_GB2312"/>
              </w:rPr>
              <w:t>根据本项目的服务内容，为拟派本项目的人员编制相应的费用管理与成本控制方案， ①报价合理性:报价明细清晰，各项费用合理，与市场行情相符； ②成本控制措施:提出有效的成本控制措施，能在保证服务质量的前提下降低费用。 评审标准： 1、完整性：方案内容全面，对评审内容中的各项要求有详细描述及说明； 2、可实施性：切合本项目实际情况，费用管理与成本控制方案清晰、合理、可操作性强； 3、针对性：方案紧扣项目实际情况，内容科学合理。 方案各部分内容全面详细、阐述条理清晰详尽、符合本项目采购需求得5分； 方案内容每缺一项扣2.5分，扣完为止。 方案某一项内容中有缺陷的(缺陷是指以下情形: ①内容描述过于简单 ②条理不清晰 ③与项目内容不匹配 ④凭空编造 ⑤出现常识性错误 ⑥不可能实现的夸大情形 ⑦存在不适用项目实际情况的情形等)，该项方案内容中每出现一种前述情形的缺陷扣1分，扣完为止。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 ①承诺内容进行了详细阐述且完全满足采购需求、可实施性强，得5分； ②内容阐述但并未完全贴合项目需求理解情况、可实施性一般，得3分； ③阐述内容有缺失影响到项目实施的，得1分。 ④内容未进行阐述得0分。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撤离方案</w:t>
            </w:r>
          </w:p>
        </w:tc>
        <w:tc>
          <w:tcPr>
            <w:tcW w:type="dxa" w:w="2492"/>
          </w:tcPr>
          <w:p>
            <w:pPr>
              <w:pStyle w:val="null3"/>
            </w:pPr>
            <w:r>
              <w:rPr>
                <w:rFonts w:ascii="仿宋_GB2312" w:hAnsi="仿宋_GB2312" w:cs="仿宋_GB2312" w:eastAsia="仿宋_GB2312"/>
              </w:rPr>
              <w:t>供应商针对本项目提供撤场与清理方案。 1.垃圾清运计划；2.材料回收方案；3.设施设备归位流程；4.验收标准（场地无残留垃圾、地面无损伤）、验收文件（签字确认单、照片存档） 1. 撤离方案合理、条理清晰详细：5分； 2. 撤离方案内容存在1处内容缺陷、不齐全：3分； 3. 撤离方案内容存在2处内容缺陷、不齐全：2分； 4. 撤离方案内容存在3处内容缺陷、不齐全：1分； 5. 未提供、4条均不达标，内容缺陷、不齐全：0分。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供应商提供2022年1月1日至今同类项目业绩合同或中标通知书（以合同签订时间或中标通知书时间为准），每份得 2分，满分6分。 备注：业绩证明材料以响应文件内附合同或中标通知书复印件加盖公章，材料清晰可辨。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价格分统一采用低价优先法计算，即满足磋商文件要求且最终报价价格最低的报价为评审基准价，其价格分为满分。其他供应商的价格分统一按照下列公式计算： 磋商报价得分=(评审基准价/最终报价)×10，计算分数时四舍五入取小数点后两位。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详见附件：供应商认为有必要说明的事宜.docx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详见附件：供应商认为有必要说明的事宜.docx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