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版本号：HQX-2025(047)20250815001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宝鸡监狱道路及场地改造工程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HQX-2025(047)</w:t>
      </w:r>
      <w:r>
        <w:br/>
      </w:r>
      <w:r>
        <w:br/>
      </w:r>
      <w:r>
        <w:br/>
      </w:r>
    </w:p>
    <w:p>
      <w:pPr>
        <w:pStyle w:val="null3"/>
        <w:jc w:val="center"/>
        <w:outlineLvl w:val="2"/>
      </w:pPr>
      <w:r>
        <w:rPr>
          <w:rFonts w:ascii="仿宋_GB2312" w:hAnsi="仿宋_GB2312" w:cs="仿宋_GB2312" w:eastAsia="仿宋_GB2312"/>
          <w:sz w:val="28"/>
          <w:b/>
        </w:rPr>
        <w:t>陕西省宝鸡监狱</w:t>
      </w:r>
    </w:p>
    <w:p>
      <w:pPr>
        <w:pStyle w:val="null3"/>
        <w:jc w:val="center"/>
        <w:outlineLvl w:val="2"/>
      </w:pPr>
      <w:r>
        <w:rPr>
          <w:rFonts w:ascii="仿宋_GB2312" w:hAnsi="仿宋_GB2312" w:cs="仿宋_GB2312" w:eastAsia="仿宋_GB2312"/>
          <w:sz w:val="28"/>
          <w:b/>
        </w:rPr>
        <w:t>陕西恒谦行工程管理咨询有限公司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陕西恒谦行工程管理咨询有限公司</w:t>
      </w:r>
      <w:r>
        <w:rPr>
          <w:rFonts w:ascii="仿宋_GB2312" w:hAnsi="仿宋_GB2312" w:cs="仿宋_GB2312" w:eastAsia="仿宋_GB2312"/>
        </w:rPr>
        <w:t>（以下简称“代理机构”）受</w:t>
      </w:r>
      <w:r>
        <w:rPr>
          <w:rFonts w:ascii="仿宋_GB2312" w:hAnsi="仿宋_GB2312" w:cs="仿宋_GB2312" w:eastAsia="仿宋_GB2312"/>
        </w:rPr>
        <w:t>陕西省宝鸡监狱</w:t>
      </w:r>
      <w:r>
        <w:rPr>
          <w:rFonts w:ascii="仿宋_GB2312" w:hAnsi="仿宋_GB2312" w:cs="仿宋_GB2312" w:eastAsia="仿宋_GB2312"/>
        </w:rPr>
        <w:t>委托，拟对</w:t>
      </w:r>
      <w:r>
        <w:rPr>
          <w:rFonts w:ascii="仿宋_GB2312" w:hAnsi="仿宋_GB2312" w:cs="仿宋_GB2312" w:eastAsia="仿宋_GB2312"/>
        </w:rPr>
        <w:t>宝鸡监狱道路及场地改造工程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HQX-2025(047)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宝鸡监狱道路及场地改造工程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本项目为宝鸡监狱道路及场地改造工程。施工内容为路面维修改造、庭院路灯、原有门房维修改造及场地内绿化等。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采购包1（宝鸡监狱道路及场地改造工程）：属于专门面向中小企业采购。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须为具有独立承担民事责任能力的法人或其他组织，出具合法有效的营业执照或事业单位法人证书等国家规定的相关证明，供应商需在项目电子化交易系统中按要求提供证明资料并进行电子签章；</w:t>
      </w:r>
    </w:p>
    <w:p>
      <w:pPr>
        <w:pStyle w:val="null3"/>
      </w:pPr>
      <w:r>
        <w:rPr>
          <w:rFonts w:ascii="仿宋_GB2312" w:hAnsi="仿宋_GB2312" w:cs="仿宋_GB2312" w:eastAsia="仿宋_GB2312"/>
        </w:rPr>
        <w:t>2、供应商须具有良好的商业信誉：截止响应文件递交截止时间之前，供应商不得在“中国执行信息公开网”网站（http://zxgk.court.gov.cn/shixin/）被列为失信被执行人、不得在“信用中国”网站（https://www.creditchina.gov.cn/）被列入重大税收违法失信主体；未被列入“中国政府采购网(www.ccgp.gov.cn)”政府采购严重违法失信行为记录名单，供应商需在项目电子化交易系统中按要求提供证明资料并进行电子签章；</w:t>
      </w:r>
    </w:p>
    <w:p>
      <w:pPr>
        <w:pStyle w:val="null3"/>
      </w:pPr>
      <w:r>
        <w:rPr>
          <w:rFonts w:ascii="仿宋_GB2312" w:hAnsi="仿宋_GB2312" w:cs="仿宋_GB2312" w:eastAsia="仿宋_GB2312"/>
        </w:rPr>
        <w:t>3、供应商须具有健全的财务会计制度：法人提供经审计的2024年度的财务报告（成立时间至递交响应文件截止时间不足一年的可提供成立后任意时段的资产负债表、利润表、现金流），或递交响应文件截止时间前六个月内银行出具的资信证明；其他组织提供银行出具的资信证明或财务报表，供应商需在项目电子化交易系统中按要求提供证明资料并进行电子签章；</w:t>
      </w:r>
    </w:p>
    <w:p>
      <w:pPr>
        <w:pStyle w:val="null3"/>
      </w:pPr>
      <w:r>
        <w:rPr>
          <w:rFonts w:ascii="仿宋_GB2312" w:hAnsi="仿宋_GB2312" w:cs="仿宋_GB2312" w:eastAsia="仿宋_GB2312"/>
        </w:rPr>
        <w:t>4、所必需的设备和专业技术能力承诺书：供应商须具有履行合同所必需的设备和专业技术能力,根据自身情况提供承诺书，供应商需在项目电子化交易系统中按要求提供证明资料并进行电子签章；</w:t>
      </w:r>
    </w:p>
    <w:p>
      <w:pPr>
        <w:pStyle w:val="null3"/>
      </w:pPr>
      <w:r>
        <w:rPr>
          <w:rFonts w:ascii="仿宋_GB2312" w:hAnsi="仿宋_GB2312" w:cs="仿宋_GB2312" w:eastAsia="仿宋_GB2312"/>
        </w:rPr>
        <w:t>5、具有依法缴纳税收的良好记录：提供递交响应文件截止时间前一年内至少一个月依法缴纳税收的相关凭据（时间以税款所属日期为准，税种须包含增值税或企业所得税，凭据应有税务机关或代收机关的公章或业务专用章）；其他组织提供缴纳税收的凭据；依法免征、减征、零申报的供应商应提供相关文件证明，供应商需在项目电子化交易系统中按要求提供证明资料并进行电子签章；</w:t>
      </w:r>
    </w:p>
    <w:p>
      <w:pPr>
        <w:pStyle w:val="null3"/>
      </w:pPr>
      <w:r>
        <w:rPr>
          <w:rFonts w:ascii="仿宋_GB2312" w:hAnsi="仿宋_GB2312" w:cs="仿宋_GB2312" w:eastAsia="仿宋_GB2312"/>
        </w:rPr>
        <w:t>6、具有依法缴纳社会保障资金的良好记录：提供递交响应文件截止时间前一年内至少一个月已缴纳的社会保障资金的凭据（社会保障资金缴存证明资料或社保机构开具的社会保险参保缴费情况证明）；依法不需要缴纳社会保障资金的供应商应提供相关文件证明，供应商需在项目电子化交易系统中按要求提供证明资料并进行电子签章；</w:t>
      </w:r>
    </w:p>
    <w:p>
      <w:pPr>
        <w:pStyle w:val="null3"/>
      </w:pPr>
      <w:r>
        <w:rPr>
          <w:rFonts w:ascii="仿宋_GB2312" w:hAnsi="仿宋_GB2312" w:cs="仿宋_GB2312" w:eastAsia="仿宋_GB2312"/>
        </w:rPr>
        <w:t>7、没有重大违法记录的书面声明：提供参加本次政府采购活动前三年内在经营活动中没有重大违法记录的书面声明，供应商需在项目电子化交易系统中按要求提供证明资料并进行电子签章；</w:t>
      </w:r>
    </w:p>
    <w:p>
      <w:pPr>
        <w:pStyle w:val="null3"/>
      </w:pPr>
      <w:r>
        <w:rPr>
          <w:rFonts w:ascii="仿宋_GB2312" w:hAnsi="仿宋_GB2312" w:cs="仿宋_GB2312" w:eastAsia="仿宋_GB2312"/>
        </w:rPr>
        <w:t>8、供应商施工资质要求：供应商须具备【建筑工程】施工总承包三级及以上资质，并具有建设行政主管部门核发的有效安全生产许可证；供应商需在项目电子化交易系统中按要求提供证明资料并进行电子签章；</w:t>
      </w:r>
    </w:p>
    <w:p>
      <w:pPr>
        <w:pStyle w:val="null3"/>
      </w:pPr>
      <w:r>
        <w:rPr>
          <w:rFonts w:ascii="仿宋_GB2312" w:hAnsi="仿宋_GB2312" w:cs="仿宋_GB2312" w:eastAsia="仿宋_GB2312"/>
        </w:rPr>
        <w:t>9、拟派项目经理要求：拟派项目经理具有【建筑工程】专业二级及以上注册建造师资格，具有合格有效的安全生产考核合格证（B证），且无在建项目，供应商需在项目电子化交易系统中按要求提供证明资料并进行电子签章；</w:t>
      </w:r>
    </w:p>
    <w:p>
      <w:pPr>
        <w:pStyle w:val="null3"/>
      </w:pPr>
      <w:r>
        <w:rPr>
          <w:rFonts w:ascii="仿宋_GB2312" w:hAnsi="仿宋_GB2312" w:cs="仿宋_GB2312" w:eastAsia="仿宋_GB2312"/>
        </w:rPr>
        <w:t>10、官方网站可查询：供应商及拟派项目经理须在“陕西省建筑市场监管与诚信信息发布平台”官方网站可查询，供应商需在项目电子化交易系统中按要求提供证明资料并进行电子签章；</w:t>
      </w:r>
    </w:p>
    <w:p>
      <w:pPr>
        <w:pStyle w:val="null3"/>
      </w:pPr>
      <w:r>
        <w:rPr>
          <w:rFonts w:ascii="仿宋_GB2312" w:hAnsi="仿宋_GB2312" w:cs="仿宋_GB2312" w:eastAsia="仿宋_GB2312"/>
        </w:rPr>
        <w:t>11、控股关系：单位负责人为同一人或者存在直接控股、管理关系的不同供应商，不得参加同一合同项下的磋商活动，供应商需在项目电子化交易系统中按要求提供证明资料并进行电子签章；</w:t>
      </w:r>
    </w:p>
    <w:p>
      <w:pPr>
        <w:pStyle w:val="null3"/>
      </w:pPr>
      <w:r>
        <w:rPr>
          <w:rFonts w:ascii="仿宋_GB2312" w:hAnsi="仿宋_GB2312" w:cs="仿宋_GB2312" w:eastAsia="仿宋_GB2312"/>
        </w:rPr>
        <w:t>12、法定代表人身份证明书或授权委托书：供应商应提供法定代表人身份证明书或授权委托书。法定代表人直接参加的，须出具法定代表人身份证明书，并与营业执照上信息一致；被授权人参加的，须出具法定代表人授权委托书，供应商需在项目电子化交易系统中按要求提供证明资料并进行电子签章；</w:t>
      </w:r>
    </w:p>
    <w:p>
      <w:pPr>
        <w:pStyle w:val="null3"/>
      </w:pPr>
      <w:r>
        <w:rPr>
          <w:rFonts w:ascii="仿宋_GB2312" w:hAnsi="仿宋_GB2312" w:cs="仿宋_GB2312" w:eastAsia="仿宋_GB2312"/>
        </w:rPr>
        <w:t>13、非联合体磋商声明：本项目不接受联合体磋商，供应商需在项目电子化交易系统中按要求提供证明资料并进行电子签章。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陕西省宝鸡监狱</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陕西省宝鸡市金台区宝平路52号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721001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0917-3880048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陕西恒谦行工程管理咨询有限公司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陕西省西咸新区沣西新城沣西国际大厦 1 号楼 1004 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马梅、梁乐乐、马青青</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029-38016903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开户名称：陕西恒谦行工程管理咨询有限公司</w:t>
            </w:r>
          </w:p>
          <w:p>
            <w:pPr>
              <w:pStyle w:val="null3"/>
            </w:pPr>
            <w:r>
              <w:rPr>
                <w:rFonts w:ascii="仿宋_GB2312" w:hAnsi="仿宋_GB2312" w:cs="仿宋_GB2312" w:eastAsia="仿宋_GB2312"/>
              </w:rPr>
              <w:t>开户银行：中国建设银行股份有限公司咸阳分行</w:t>
            </w:r>
          </w:p>
          <w:p>
            <w:pPr>
              <w:pStyle w:val="null3"/>
            </w:pPr>
            <w:r>
              <w:rPr>
                <w:rFonts w:ascii="仿宋_GB2312" w:hAnsi="仿宋_GB2312" w:cs="仿宋_GB2312" w:eastAsia="仿宋_GB2312"/>
              </w:rPr>
              <w:t>银行账号：61050163530800000695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质量保证金缴纳比例：</w:t>
            </w:r>
            <w:r>
              <w:rPr>
                <w:rFonts w:ascii="仿宋_GB2312" w:hAnsi="仿宋_GB2312" w:cs="仿宋_GB2312" w:eastAsia="仿宋_GB2312"/>
              </w:rPr>
              <w:t>3.0</w:t>
            </w:r>
            <w:r>
              <w:rPr>
                <w:rFonts w:ascii="仿宋_GB2312" w:hAnsi="仿宋_GB2312" w:cs="仿宋_GB2312" w:eastAsia="仿宋_GB2312"/>
              </w:rPr>
              <w:t>%</w:t>
            </w:r>
          </w:p>
          <w:p>
            <w:pPr>
              <w:pStyle w:val="null3"/>
            </w:pPr>
            <w:r>
              <w:rPr>
                <w:rFonts w:ascii="仿宋_GB2312" w:hAnsi="仿宋_GB2312" w:cs="仿宋_GB2312" w:eastAsia="仿宋_GB2312"/>
              </w:rPr>
              <w:t>缴纳方式：</w:t>
            </w:r>
            <w:r>
              <w:rPr>
                <w:rFonts w:ascii="仿宋_GB2312" w:hAnsi="仿宋_GB2312" w:cs="仿宋_GB2312" w:eastAsia="仿宋_GB2312"/>
              </w:rPr>
              <w:t>合同款中扣除</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代理服务费收费标准：本项目招标代理服务费在参照国家有关收费标准国家计委关于印发《招标代理服务收费管理暂行办法》的通知（计价格[2002]1980号）文件的基础上下浮5%计取。 造价咨询费按照关于我省工程造价咨询服务收费标准有关问题的通知陕价行发〔2014〕88号文件下浮5%收取。 采购人承担40%的招标代理服务费与造价咨询费，成交供应商承担60%的招标代理服务费与造价咨询费。成交供应商承担的招标代理服务费与造价咨询费在领取成交通知书时向采购代理机构支付，此费用已包含在投标报价中，采购人不再单独支付。采购人承担的招标代理服务费与造价咨询费在项目完成后向采购代理公司支付。</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陕西省宝鸡监狱</w:t>
      </w:r>
      <w:r>
        <w:rPr>
          <w:rFonts w:ascii="仿宋_GB2312" w:hAnsi="仿宋_GB2312" w:cs="仿宋_GB2312" w:eastAsia="仿宋_GB2312"/>
        </w:rPr>
        <w:t>和</w:t>
      </w:r>
      <w:r>
        <w:rPr>
          <w:rFonts w:ascii="仿宋_GB2312" w:hAnsi="仿宋_GB2312" w:cs="仿宋_GB2312" w:eastAsia="仿宋_GB2312"/>
        </w:rPr>
        <w:t>陕西恒谦行工程管理咨询有限公司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陕西省宝鸡监狱</w:t>
      </w:r>
      <w:r>
        <w:rPr>
          <w:rFonts w:ascii="仿宋_GB2312" w:hAnsi="仿宋_GB2312" w:cs="仿宋_GB2312" w:eastAsia="仿宋_GB2312"/>
        </w:rPr>
        <w:t>负责解释。除上述磋商文件内容，其他内容由</w:t>
      </w:r>
      <w:r>
        <w:rPr>
          <w:rFonts w:ascii="仿宋_GB2312" w:hAnsi="仿宋_GB2312" w:cs="仿宋_GB2312" w:eastAsia="仿宋_GB2312"/>
        </w:rPr>
        <w:t>陕西恒谦行工程管理咨询有限公司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陕西省宝鸡监狱</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陕西恒谦行工程管理咨询有限公司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按照施工合同执行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陕西恒谦行工程管理咨询有限公司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陕西恒谦行工程管理咨询有限公司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陕西恒谦行工程管理咨询有限公司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联系人：马梅、梁乐乐、马青青</w:t>
      </w:r>
    </w:p>
    <w:p>
      <w:pPr>
        <w:pStyle w:val="null3"/>
      </w:pPr>
      <w:r>
        <w:rPr>
          <w:rFonts w:ascii="仿宋_GB2312" w:hAnsi="仿宋_GB2312" w:cs="仿宋_GB2312" w:eastAsia="仿宋_GB2312"/>
        </w:rPr>
        <w:t>联系电话：029-38016903</w:t>
      </w:r>
    </w:p>
    <w:p>
      <w:pPr>
        <w:pStyle w:val="null3"/>
      </w:pPr>
      <w:r>
        <w:rPr>
          <w:rFonts w:ascii="仿宋_GB2312" w:hAnsi="仿宋_GB2312" w:cs="仿宋_GB2312" w:eastAsia="仿宋_GB2312"/>
        </w:rPr>
        <w:t>地址：陕西省西咸新区沣西新城沣西国际大厦 1 号楼 1004 室</w:t>
      </w:r>
    </w:p>
    <w:p>
      <w:pPr>
        <w:pStyle w:val="null3"/>
      </w:pPr>
      <w:r>
        <w:rPr>
          <w:rFonts w:ascii="仿宋_GB2312" w:hAnsi="仿宋_GB2312" w:cs="仿宋_GB2312" w:eastAsia="仿宋_GB2312"/>
        </w:rPr>
        <w:t>邮编：712000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750,000.00</w:t>
      </w:r>
    </w:p>
    <w:p>
      <w:pPr>
        <w:pStyle w:val="null3"/>
      </w:pPr>
      <w:r>
        <w:rPr>
          <w:rFonts w:ascii="仿宋_GB2312" w:hAnsi="仿宋_GB2312" w:cs="仿宋_GB2312" w:eastAsia="仿宋_GB2312"/>
        </w:rPr>
        <w:t>采购包最高限价（元）: 748,798.75</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750,000.00</w:t>
            </w:r>
          </w:p>
        </w:tc>
        <w:tc>
          <w:tcPr>
            <w:tcW w:type="dxa" w:w="1384"/>
          </w:tcPr>
          <w:p>
            <w:pPr>
              <w:pStyle w:val="null3"/>
            </w:pPr>
            <w:r>
              <w:rPr>
                <w:rFonts w:ascii="仿宋_GB2312" w:hAnsi="仿宋_GB2312" w:cs="仿宋_GB2312" w:eastAsia="仿宋_GB2312"/>
              </w:rPr>
              <w:t>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4"/>
              </w:rPr>
              <w:t>1</w:t>
            </w:r>
            <w:r>
              <w:rPr>
                <w:rFonts w:ascii="仿宋_GB2312" w:hAnsi="仿宋_GB2312" w:cs="仿宋_GB2312" w:eastAsia="仿宋_GB2312"/>
                <w:sz w:val="24"/>
              </w:rPr>
              <w:t>、工期：</w:t>
            </w:r>
            <w:r>
              <w:rPr>
                <w:rFonts w:ascii="仿宋_GB2312" w:hAnsi="仿宋_GB2312" w:cs="仿宋_GB2312" w:eastAsia="仿宋_GB2312"/>
                <w:sz w:val="24"/>
              </w:rPr>
              <w:t>40</w:t>
            </w:r>
            <w:r>
              <w:rPr>
                <w:rFonts w:ascii="仿宋_GB2312" w:hAnsi="仿宋_GB2312" w:cs="仿宋_GB2312" w:eastAsia="仿宋_GB2312"/>
                <w:sz w:val="24"/>
              </w:rPr>
              <w:t>日历天。</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、质量要求：达到国家强制性合格标准。</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、缺陷责任期：</w:t>
            </w:r>
            <w:r>
              <w:rPr>
                <w:rFonts w:ascii="仿宋_GB2312" w:hAnsi="仿宋_GB2312" w:cs="仿宋_GB2312" w:eastAsia="仿宋_GB2312"/>
                <w:sz w:val="24"/>
              </w:rPr>
              <w:t>24</w:t>
            </w:r>
            <w:r>
              <w:rPr>
                <w:rFonts w:ascii="仿宋_GB2312" w:hAnsi="仿宋_GB2312" w:cs="仿宋_GB2312" w:eastAsia="仿宋_GB2312"/>
                <w:sz w:val="24"/>
              </w:rPr>
              <w:t>个月。</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满足磋商文件、工程量清单等要求。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1、付款方式如下： 1.1 成交人与采购人签订合同后，采购人向成交人支付签订合同价款的30%作为预付款（其预付款中已包含安全文明施工措施费），成交人按采购人要求开具增值税发票； 1.2工程竣工后，采购人向成交人支付签订合同价款的30%作为施工进度款，成交人按采购人要求开具增值税发票； 1.3工程验收合格后，采购人向成交人支付签订合同价款的20%作为施工进度款，成交人按采购人要求开具增值税发票； 1.4工程结算审计后，采购人向成交人支付至结算价款的97% ，扣留3%作为质量保证金，成交人按采购人要求开具增值税发票； 1.5 缺陷责任期满后，采购人向成交供应商退还扣留的质量保证金，成交人按采购人要求开具增值税发票。 2、本项目在电子化交易系统最终磋商报价时，需填报磋商总报价，并在附件上传与最终磋商总报价相对应的已标价工程量清单报价表，已标价工程量清单报价表符合磋商文件要求，此表将作为签订合同的附件。 3、本项目采用固定综合单价方式，工程量据实结算，供应商应充分考虑施工过程中价格的风险因素并包含在此次磋商报价中，若因承包方原因产生额外费用，承包方自行承担。 4、中小企业说明： 本项目专门面向中小企业采购，总体预留比例为100.00%，不再执行价格折扣优惠政策。 5、供应商的磋商总报价不得高于此最高投标限价，否则按照无效标处理。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法人提供经审计的2024年度的财务报告（成立时间至递交响应文件截止时间不足一年的可提供成立后任意时段的资产负债表、利润表、现金流），或递交响应文件截止时间前六个月内银行出具的资信证明；其他组织提供银行出具的资信证明或财务报表，供应商需在项目电子化交易系统中按要求提供证明资料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供应商须为具有独立承担民事责任能力的法人或其他组织，出具合法有效的营业执照或事业单位法人证书等国家规定的相关证明，供应商需在项目电子化交易系统中按要求提供证明资料并进行电子签章；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供应商须具有良好的商业信誉</w:t>
            </w:r>
          </w:p>
        </w:tc>
        <w:tc>
          <w:tcPr>
            <w:tcW w:type="dxa" w:w="3322"/>
          </w:tcPr>
          <w:p>
            <w:pPr>
              <w:pStyle w:val="null3"/>
            </w:pPr>
            <w:r>
              <w:rPr>
                <w:rFonts w:ascii="仿宋_GB2312" w:hAnsi="仿宋_GB2312" w:cs="仿宋_GB2312" w:eastAsia="仿宋_GB2312"/>
              </w:rPr>
              <w:t>截止响应文件递交截止时间之前，供应商不得在“中国执行信息公开网”网站（http://zxgk.court.gov.cn/shixin/）被列为失信被执行人、不得在“信用中国”网站（https://www.creditchina.gov.cn/）被列入重大税收违法失信主体；未被列入“中国政府采购网(www.ccgp.gov.cn)”政府采购严重违法失信行为记录名单，供应商需在项目电子化交易系统中按要求提供证明资料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供应商须具有健全的财务会计制度</w:t>
            </w:r>
          </w:p>
        </w:tc>
        <w:tc>
          <w:tcPr>
            <w:tcW w:type="dxa" w:w="3322"/>
          </w:tcPr>
          <w:p>
            <w:pPr>
              <w:pStyle w:val="null3"/>
            </w:pPr>
            <w:r>
              <w:rPr>
                <w:rFonts w:ascii="仿宋_GB2312" w:hAnsi="仿宋_GB2312" w:cs="仿宋_GB2312" w:eastAsia="仿宋_GB2312"/>
              </w:rPr>
              <w:t>法人提供经审计的2024年度的财务报告（成立时间至递交响应文件截止时间不足一年的可提供成立后任意时段的资产负债表、利润表、现金流），或递交响应文件截止时间前六个月内银行出具的资信证明；其他组织提供银行出具的资信证明或财务报表，供应商需在项目电子化交易系统中按要求提供证明资料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所必需的设备和专业技术能力承诺书</w:t>
            </w:r>
          </w:p>
        </w:tc>
        <w:tc>
          <w:tcPr>
            <w:tcW w:type="dxa" w:w="3322"/>
          </w:tcPr>
          <w:p>
            <w:pPr>
              <w:pStyle w:val="null3"/>
            </w:pPr>
            <w:r>
              <w:rPr>
                <w:rFonts w:ascii="仿宋_GB2312" w:hAnsi="仿宋_GB2312" w:cs="仿宋_GB2312" w:eastAsia="仿宋_GB2312"/>
              </w:rPr>
              <w:t>供应商须具有履行合同所必需的设备和专业技术能力,根据自身情况提供承诺书，供应商需在项目电子化交易系统中按要求提供证明资料并进行电子签章；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具有依法缴纳税收的良好记录</w:t>
            </w:r>
          </w:p>
        </w:tc>
        <w:tc>
          <w:tcPr>
            <w:tcW w:type="dxa" w:w="3322"/>
          </w:tcPr>
          <w:p>
            <w:pPr>
              <w:pStyle w:val="null3"/>
            </w:pPr>
            <w:r>
              <w:rPr>
                <w:rFonts w:ascii="仿宋_GB2312" w:hAnsi="仿宋_GB2312" w:cs="仿宋_GB2312" w:eastAsia="仿宋_GB2312"/>
              </w:rPr>
              <w:t>提供递交响应文件截止时间前一年内至少一个月依法缴纳税收的相关凭据（时间以税款所属日期为准，税种须包含增值税或企业所得税，凭据应有税务机关或代收机关的公章或业务专用章）；其他组织提供缴纳税收的凭据；依法免征、减征、零申报的供应商应提供相关文件证明，供应商需在项目电子化交易系统中按要求提供证明资料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具有依法缴纳社会保障资金的良好记录</w:t>
            </w:r>
          </w:p>
        </w:tc>
        <w:tc>
          <w:tcPr>
            <w:tcW w:type="dxa" w:w="3322"/>
          </w:tcPr>
          <w:p>
            <w:pPr>
              <w:pStyle w:val="null3"/>
            </w:pPr>
            <w:r>
              <w:rPr>
                <w:rFonts w:ascii="仿宋_GB2312" w:hAnsi="仿宋_GB2312" w:cs="仿宋_GB2312" w:eastAsia="仿宋_GB2312"/>
              </w:rPr>
              <w:t>提供递交响应文件截止时间前一年内至少一个月已缴纳的社会保障资金的凭据（社会保障资金缴存证明资料或社保机构开具的社会保险参保缴费情况证明）；依法不需要缴纳社会保障资金的供应商应提供相关文件证明，供应商需在项目电子化交易系统中按要求提供证明资料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提供参加本次政府采购活动前三年内在经营活动中没有重大违法记录的书面声明，供应商需在项目电子化交易系统中按要求提供证明资料并进行电子签章；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供应商施工资质要求</w:t>
            </w:r>
          </w:p>
        </w:tc>
        <w:tc>
          <w:tcPr>
            <w:tcW w:type="dxa" w:w="3322"/>
          </w:tcPr>
          <w:p>
            <w:pPr>
              <w:pStyle w:val="null3"/>
            </w:pPr>
            <w:r>
              <w:rPr>
                <w:rFonts w:ascii="仿宋_GB2312" w:hAnsi="仿宋_GB2312" w:cs="仿宋_GB2312" w:eastAsia="仿宋_GB2312"/>
              </w:rPr>
              <w:t>供应商须具备【建筑工程】施工总承包三级及以上资质，并具有建设行政主管部门核发的有效安全生产许可证；供应商需在项目电子化交易系统中按要求提供证明资料并进行电子签章；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拟派项目经理要求</w:t>
            </w:r>
          </w:p>
        </w:tc>
        <w:tc>
          <w:tcPr>
            <w:tcW w:type="dxa" w:w="3322"/>
          </w:tcPr>
          <w:p>
            <w:pPr>
              <w:pStyle w:val="null3"/>
            </w:pPr>
            <w:r>
              <w:rPr>
                <w:rFonts w:ascii="仿宋_GB2312" w:hAnsi="仿宋_GB2312" w:cs="仿宋_GB2312" w:eastAsia="仿宋_GB2312"/>
              </w:rPr>
              <w:t>拟派项目经理具有【建筑工程】专业二级及以上注册建造师资格，具有合格有效的安全生产考核合格证（B证），且无在建项目，供应商需在项目电子化交易系统中按要求提供证明资料并进行电子签章；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官方网站可查询</w:t>
            </w:r>
          </w:p>
        </w:tc>
        <w:tc>
          <w:tcPr>
            <w:tcW w:type="dxa" w:w="3322"/>
          </w:tcPr>
          <w:p>
            <w:pPr>
              <w:pStyle w:val="null3"/>
            </w:pPr>
            <w:r>
              <w:rPr>
                <w:rFonts w:ascii="仿宋_GB2312" w:hAnsi="仿宋_GB2312" w:cs="仿宋_GB2312" w:eastAsia="仿宋_GB2312"/>
              </w:rPr>
              <w:t>供应商及拟派项目经理须在“陕西省建筑市场监管与诚信信息发布平台”官方网站可查询，供应商需在项目电子化交易系统中按要求提供证明资料并进行电子签章；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单位负责人为同一人或者存在直接控股、管理关系的不同供应商，不得参加同一合同项下的磋商活动，供应商需在项目电子化交易系统中按要求提供证明资料并进行电子签章；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法定代表人身份证明书或授权委托书</w:t>
            </w:r>
          </w:p>
        </w:tc>
        <w:tc>
          <w:tcPr>
            <w:tcW w:type="dxa" w:w="3322"/>
          </w:tcPr>
          <w:p>
            <w:pPr>
              <w:pStyle w:val="null3"/>
            </w:pPr>
            <w:r>
              <w:rPr>
                <w:rFonts w:ascii="仿宋_GB2312" w:hAnsi="仿宋_GB2312" w:cs="仿宋_GB2312" w:eastAsia="仿宋_GB2312"/>
              </w:rPr>
              <w:t>供应商应提供法定代表人身份证明书或授权委托书。法定代表人直接参加的，须出具法定代表人身份证明书，并与营业执照上信息一致；被授权人参加的，须出具法定代表人授权委托书，供应商需在项目电子化交易系统中按要求提供证明资料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非联合体磋商声明</w:t>
            </w:r>
          </w:p>
        </w:tc>
        <w:tc>
          <w:tcPr>
            <w:tcW w:type="dxa" w:w="3322"/>
          </w:tcPr>
          <w:p>
            <w:pPr>
              <w:pStyle w:val="null3"/>
            </w:pPr>
            <w:r>
              <w:rPr>
                <w:rFonts w:ascii="仿宋_GB2312" w:hAnsi="仿宋_GB2312" w:cs="仿宋_GB2312" w:eastAsia="仿宋_GB2312"/>
              </w:rPr>
              <w:t>本项目不接受联合体磋商，供应商需在项目电子化交易系统中按要求提供证明资料并进行电子签章。</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供应商名称应与营业执照、资质证书、安全生产许可证一致</w:t>
            </w:r>
          </w:p>
        </w:tc>
        <w:tc>
          <w:tcPr>
            <w:tcW w:type="dxa" w:w="1661"/>
          </w:tcPr>
          <w:p>
            <w:pPr>
              <w:pStyle w:val="null3"/>
            </w:pPr>
            <w:r>
              <w:rPr>
                <w:rFonts w:ascii="仿宋_GB2312" w:hAnsi="仿宋_GB2312" w:cs="仿宋_GB2312" w:eastAsia="仿宋_GB2312"/>
              </w:rPr>
              <w:t>响应文件封面 报价函 标的清单 商务、技术偏离表.docx 响应函 资格证明文件.docx 供应商承诺书.docx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响应文件的有效性</w:t>
            </w:r>
          </w:p>
        </w:tc>
        <w:tc>
          <w:tcPr>
            <w:tcW w:type="dxa" w:w="3322"/>
          </w:tcPr>
          <w:p>
            <w:pPr>
              <w:pStyle w:val="null3"/>
            </w:pPr>
            <w:r>
              <w:rPr>
                <w:rFonts w:ascii="仿宋_GB2312" w:hAnsi="仿宋_GB2312" w:cs="仿宋_GB2312" w:eastAsia="仿宋_GB2312"/>
              </w:rPr>
              <w:t>响应文件需在项目电子化交易系统中按竞争性磋商文件要求签署并进行电子签章。</w:t>
            </w:r>
          </w:p>
        </w:tc>
        <w:tc>
          <w:tcPr>
            <w:tcW w:type="dxa" w:w="1661"/>
          </w:tcPr>
          <w:p>
            <w:pPr>
              <w:pStyle w:val="null3"/>
            </w:pPr>
            <w:r>
              <w:rPr>
                <w:rFonts w:ascii="仿宋_GB2312" w:hAnsi="仿宋_GB2312" w:cs="仿宋_GB2312" w:eastAsia="仿宋_GB2312"/>
              </w:rPr>
              <w:t>响应文件封面 已标价工程量清单 供应商认为需要提交的其他资料.docx 报价函 标的清单 商务、技术偏离表.docx 响应函 资格证明文件.docx 供应商承诺书.docx 企业近年完成的类似项目业绩汇总表.docx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供应商每次报价只能有一个有效报价，原则上二次报价为最后报价，且一次报价不得超过最高投标限价，二次报价不得超过一次报价和最高投标限价。</w:t>
            </w:r>
          </w:p>
        </w:tc>
        <w:tc>
          <w:tcPr>
            <w:tcW w:type="dxa" w:w="1661"/>
          </w:tcPr>
          <w:p>
            <w:pPr>
              <w:pStyle w:val="null3"/>
            </w:pPr>
            <w:r>
              <w:rPr>
                <w:rFonts w:ascii="仿宋_GB2312" w:hAnsi="仿宋_GB2312" w:cs="仿宋_GB2312" w:eastAsia="仿宋_GB2312"/>
              </w:rPr>
              <w:t>响应文件封面 报价函 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供应商应按照竞争性磋商文件的规定缴纳磋商保证金。</w:t>
            </w:r>
          </w:p>
        </w:tc>
        <w:tc>
          <w:tcPr>
            <w:tcW w:type="dxa" w:w="1661"/>
          </w:tcPr>
          <w:p>
            <w:pPr>
              <w:pStyle w:val="null3"/>
            </w:pPr>
            <w:r>
              <w:rPr>
                <w:rFonts w:ascii="仿宋_GB2312" w:hAnsi="仿宋_GB2312" w:cs="仿宋_GB2312" w:eastAsia="仿宋_GB2312"/>
              </w:rPr>
              <w:t>磋商保证金.docx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商务、技术偏离表.docx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质量要求</w:t>
            </w:r>
          </w:p>
        </w:tc>
        <w:tc>
          <w:tcPr>
            <w:tcW w:type="dxa" w:w="3322"/>
          </w:tcPr>
          <w:p>
            <w:pPr>
              <w:pStyle w:val="null3"/>
            </w:pPr>
            <w:r>
              <w:rPr>
                <w:rFonts w:ascii="仿宋_GB2312" w:hAnsi="仿宋_GB2312" w:cs="仿宋_GB2312" w:eastAsia="仿宋_GB2312"/>
              </w:rPr>
              <w:t>符合竞争性磋商文件要求。</w:t>
            </w:r>
          </w:p>
        </w:tc>
        <w:tc>
          <w:tcPr>
            <w:tcW w:type="dxa" w:w="1661"/>
          </w:tcPr>
          <w:p>
            <w:pPr>
              <w:pStyle w:val="null3"/>
            </w:pPr>
            <w:r>
              <w:rPr>
                <w:rFonts w:ascii="仿宋_GB2312" w:hAnsi="仿宋_GB2312" w:cs="仿宋_GB2312" w:eastAsia="仿宋_GB2312"/>
              </w:rPr>
              <w:t>商务、技术偏离表.docx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响应文件中未含有采购人不能接受的附加条件的或其他情形。</w:t>
            </w:r>
          </w:p>
        </w:tc>
        <w:tc>
          <w:tcPr>
            <w:tcW w:type="dxa" w:w="1661"/>
          </w:tcPr>
          <w:p>
            <w:pPr>
              <w:pStyle w:val="null3"/>
            </w:pPr>
            <w:r>
              <w:rPr>
                <w:rFonts w:ascii="仿宋_GB2312" w:hAnsi="仿宋_GB2312" w:cs="仿宋_GB2312" w:eastAsia="仿宋_GB2312"/>
              </w:rPr>
              <w:t>供应商认为需要提交的其他资料.docx 拟派项目经理简历表.docx 项目组人员构成汇总表.docx 施工组织设计.docx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评审得分相同的，按照最后报价由低到高的顺序推荐。评审得分且最后报价相同的，按照施工方案、近年完成类似项目业绩、项目组人员构成单项得分高者优先，决定中标候选顺序。</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近年完成类似项目业绩</w:t>
            </w:r>
          </w:p>
        </w:tc>
        <w:tc>
          <w:tcPr>
            <w:tcW w:type="dxa" w:w="2492"/>
          </w:tcPr>
          <w:p>
            <w:pPr>
              <w:pStyle w:val="null3"/>
            </w:pPr>
            <w:r>
              <w:rPr>
                <w:rFonts w:ascii="仿宋_GB2312" w:hAnsi="仿宋_GB2312" w:cs="仿宋_GB2312" w:eastAsia="仿宋_GB2312"/>
              </w:rPr>
              <w:t>供应商提供自2022年8月至本响应文件递交截止时间前的类似项目业绩证明材料，每提供1项得1分，最多得3分。未提供的不得分。 评审依据：提供中标/成交通知书或合同协议书的复印件或扫描件加盖公章，时间以合同签订时间为准。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企业近年完成的类似项目业绩汇总表.docx</w:t>
            </w:r>
          </w:p>
        </w:tc>
      </w:tr>
      <w:tr>
        <w:tc>
          <w:tcPr>
            <w:tcW w:type="dxa" w:w="831"/>
            <w:vMerge/>
          </w:tcPr>
          <w:p/>
        </w:tc>
        <w:tc>
          <w:tcPr>
            <w:tcW w:type="dxa" w:w="1661"/>
          </w:tcPr>
          <w:p>
            <w:pPr>
              <w:pStyle w:val="null3"/>
            </w:pPr>
            <w:r>
              <w:rPr>
                <w:rFonts w:ascii="仿宋_GB2312" w:hAnsi="仿宋_GB2312" w:cs="仿宋_GB2312" w:eastAsia="仿宋_GB2312"/>
              </w:rPr>
              <w:t>拟派项目经理职称</w:t>
            </w:r>
          </w:p>
        </w:tc>
        <w:tc>
          <w:tcPr>
            <w:tcW w:type="dxa" w:w="2492"/>
          </w:tcPr>
          <w:p>
            <w:pPr>
              <w:pStyle w:val="null3"/>
            </w:pPr>
            <w:r>
              <w:rPr>
                <w:rFonts w:ascii="仿宋_GB2312" w:hAnsi="仿宋_GB2312" w:cs="仿宋_GB2312" w:eastAsia="仿宋_GB2312"/>
              </w:rPr>
              <w:t>拟派项目经理具备高级职称得2分；中级职称得1分；其余情况不得分。 评审依据：评审时以供应商提供的加盖供应商公章的拟派项目经理最高职称证书的扫描件或复印件为准，提供多个职称证明材料的，以最高职称材料为准，未提供的不得分。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拟派项目经理简历表.docx</w:t>
            </w:r>
          </w:p>
        </w:tc>
      </w:tr>
      <w:tr>
        <w:tc>
          <w:tcPr>
            <w:tcW w:type="dxa" w:w="831"/>
            <w:vMerge/>
          </w:tcPr>
          <w:p/>
        </w:tc>
        <w:tc>
          <w:tcPr>
            <w:tcW w:type="dxa" w:w="1661"/>
          </w:tcPr>
          <w:p>
            <w:pPr>
              <w:pStyle w:val="null3"/>
            </w:pPr>
            <w:r>
              <w:rPr>
                <w:rFonts w:ascii="仿宋_GB2312" w:hAnsi="仿宋_GB2312" w:cs="仿宋_GB2312" w:eastAsia="仿宋_GB2312"/>
              </w:rPr>
              <w:t>拟派项目经理业绩</w:t>
            </w:r>
          </w:p>
        </w:tc>
        <w:tc>
          <w:tcPr>
            <w:tcW w:type="dxa" w:w="2492"/>
          </w:tcPr>
          <w:p>
            <w:pPr>
              <w:pStyle w:val="null3"/>
            </w:pPr>
            <w:r>
              <w:rPr>
                <w:rFonts w:ascii="仿宋_GB2312" w:hAnsi="仿宋_GB2312" w:cs="仿宋_GB2312" w:eastAsia="仿宋_GB2312"/>
              </w:rPr>
              <w:t>供应商提供自2022年8月至响应文件递交截止时间前类似项目业绩证明材料，每提供1项得1分，最多得2分。未提供的不得分。 评审依据：提供中标/成交通知书或合同协议书的复印件或扫描件加盖公章，时间以合同签订时间为准。上述证明文件中须体现项目经理的姓名。（拟派项目经理业绩与企业业绩可重复计分）。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拟派项目经理简历表.docx</w:t>
            </w:r>
          </w:p>
        </w:tc>
      </w:tr>
      <w:tr>
        <w:tc>
          <w:tcPr>
            <w:tcW w:type="dxa" w:w="831"/>
            <w:vMerge/>
          </w:tcPr>
          <w:p/>
        </w:tc>
        <w:tc>
          <w:tcPr>
            <w:tcW w:type="dxa" w:w="1661"/>
          </w:tcPr>
          <w:p>
            <w:pPr>
              <w:pStyle w:val="null3"/>
            </w:pPr>
            <w:r>
              <w:rPr>
                <w:rFonts w:ascii="仿宋_GB2312" w:hAnsi="仿宋_GB2312" w:cs="仿宋_GB2312" w:eastAsia="仿宋_GB2312"/>
              </w:rPr>
              <w:t>项目组人员构成</w:t>
            </w:r>
          </w:p>
        </w:tc>
        <w:tc>
          <w:tcPr>
            <w:tcW w:type="dxa" w:w="2492"/>
          </w:tcPr>
          <w:p>
            <w:pPr>
              <w:pStyle w:val="null3"/>
            </w:pPr>
            <w:r>
              <w:rPr>
                <w:rFonts w:ascii="仿宋_GB2312" w:hAnsi="仿宋_GB2312" w:cs="仿宋_GB2312" w:eastAsia="仿宋_GB2312"/>
              </w:rPr>
              <w:t>1）项目部组织机构设置合理，配备了相应的管理人员，管理人员包含项目经理、技术负责人、施工员、质量员、安全员、材料员、资料员、财务人员，管理人员均具有相应的岗位证书，满足以上配置要求的得8分； 2）管理人员至少有 1名项目经理、1名技术负责人、1名质量员，1名安全员，其他管理人员（施工员、材料员、资料员、财务人员）缺少一个在满分的基础上扣1分；评审依据：提供身份证和相应岗位证书，评审时以供应商提供加盖公章的证书复印件为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项目组人员构成汇总表.docx</w:t>
            </w:r>
          </w:p>
        </w:tc>
      </w:tr>
      <w:tr>
        <w:tc>
          <w:tcPr>
            <w:tcW w:type="dxa" w:w="831"/>
            <w:vMerge/>
          </w:tcPr>
          <w:p/>
        </w:tc>
        <w:tc>
          <w:tcPr>
            <w:tcW w:type="dxa" w:w="1661"/>
          </w:tcPr>
          <w:p>
            <w:pPr>
              <w:pStyle w:val="null3"/>
            </w:pPr>
            <w:r>
              <w:rPr>
                <w:rFonts w:ascii="仿宋_GB2312" w:hAnsi="仿宋_GB2312" w:cs="仿宋_GB2312" w:eastAsia="仿宋_GB2312"/>
              </w:rPr>
              <w:t>项目部人员岗位职责</w:t>
            </w:r>
          </w:p>
        </w:tc>
        <w:tc>
          <w:tcPr>
            <w:tcW w:type="dxa" w:w="2492"/>
          </w:tcPr>
          <w:p>
            <w:pPr>
              <w:pStyle w:val="null3"/>
            </w:pPr>
            <w:r>
              <w:rPr>
                <w:rFonts w:ascii="仿宋_GB2312" w:hAnsi="仿宋_GB2312" w:cs="仿宋_GB2312" w:eastAsia="仿宋_GB2312"/>
              </w:rPr>
              <w:t>岗位职责明确，得(2.5-5]分；岗位职责模糊，得(0-2.5]分；不提供不得分。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方案全面、具体、可行、科学合理，得(10-15]分； 方案较为合理、规范，得(5-10]分；方案简单，得(0-5]分。不提供不得分。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施工进度及确保工期的技术组织措施</w:t>
            </w:r>
          </w:p>
        </w:tc>
        <w:tc>
          <w:tcPr>
            <w:tcW w:type="dxa" w:w="2492"/>
          </w:tcPr>
          <w:p>
            <w:pPr>
              <w:pStyle w:val="null3"/>
            </w:pPr>
            <w:r>
              <w:rPr>
                <w:rFonts w:ascii="仿宋_GB2312" w:hAnsi="仿宋_GB2312" w:cs="仿宋_GB2312" w:eastAsia="仿宋_GB2312"/>
              </w:rPr>
              <w:t>进度计划全面、科学、合理，措施内容科学具体，有针对性，得(3-6]分； 进度计划不够全面、科学、合理，措施内容不够具体，得(0-3]分； 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措施内容科学可行，有针对性且内容丰富，得(5-10]分； 措施内容较为科学可行，有针对性，得(0-5]分； 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确保安全施工保证措施</w:t>
            </w:r>
          </w:p>
        </w:tc>
        <w:tc>
          <w:tcPr>
            <w:tcW w:type="dxa" w:w="2492"/>
          </w:tcPr>
          <w:p>
            <w:pPr>
              <w:pStyle w:val="null3"/>
            </w:pPr>
            <w:r>
              <w:rPr>
                <w:rFonts w:ascii="仿宋_GB2312" w:hAnsi="仿宋_GB2312" w:cs="仿宋_GB2312" w:eastAsia="仿宋_GB2312"/>
              </w:rPr>
              <w:t>措施内容全面、具体，得(4-7]分； 措施内容不够全面，得(0-4]分； 不提供不得分。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确保文明施工及环境保护的技术组织措施</w:t>
            </w:r>
          </w:p>
        </w:tc>
        <w:tc>
          <w:tcPr>
            <w:tcW w:type="dxa" w:w="2492"/>
          </w:tcPr>
          <w:p>
            <w:pPr>
              <w:pStyle w:val="null3"/>
            </w:pPr>
            <w:r>
              <w:rPr>
                <w:rFonts w:ascii="仿宋_GB2312" w:hAnsi="仿宋_GB2312" w:cs="仿宋_GB2312" w:eastAsia="仿宋_GB2312"/>
              </w:rPr>
              <w:t>措施内容科学具体，有针对性，得(3-5]分； 措施内容不够具体，得(0-3]分。 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劳动力安排计划情况表</w:t>
            </w:r>
          </w:p>
        </w:tc>
        <w:tc>
          <w:tcPr>
            <w:tcW w:type="dxa" w:w="2492"/>
          </w:tcPr>
          <w:p>
            <w:pPr>
              <w:pStyle w:val="null3"/>
            </w:pPr>
            <w:r>
              <w:rPr>
                <w:rFonts w:ascii="仿宋_GB2312" w:hAnsi="仿宋_GB2312" w:cs="仿宋_GB2312" w:eastAsia="仿宋_GB2312"/>
              </w:rPr>
              <w:t>劳动力安排计划等全面、科学、合理，得(1.5-3]分； 劳动力安排计划等不够全面、科学、合理，得(0-1.5]分； 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施工机械配备投入计划</w:t>
            </w:r>
          </w:p>
        </w:tc>
        <w:tc>
          <w:tcPr>
            <w:tcW w:type="dxa" w:w="2492"/>
          </w:tcPr>
          <w:p>
            <w:pPr>
              <w:pStyle w:val="null3"/>
            </w:pPr>
            <w:r>
              <w:rPr>
                <w:rFonts w:ascii="仿宋_GB2312" w:hAnsi="仿宋_GB2312" w:cs="仿宋_GB2312" w:eastAsia="仿宋_GB2312"/>
              </w:rPr>
              <w:t>施工机械配备全面、具体、可行、科学合理，得(2-4]分； 施工机械配备简单，得(0-2]分。 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磋商报价采用低价优先法计算，即满足竞争性磋商文件要求且最后磋商总报价最低的报价为评审基准价，其价格分为满分。其他供应商的价格分统一按照下列公式计算： 磋商报价得分=（评审基准价/最后磋商总报价）×30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详见附件：商务、技术偏离表.docx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详见附件：企业近年完成的类似项目业绩汇总表.docx</w:t>
      </w:r>
    </w:p>
    <w:p>
      <w:pPr>
        <w:pStyle w:val="null3"/>
        <w:ind w:firstLine="960"/>
      </w:pPr>
      <w:r>
        <w:rPr>
          <w:rFonts w:ascii="仿宋_GB2312" w:hAnsi="仿宋_GB2312" w:cs="仿宋_GB2312" w:eastAsia="仿宋_GB2312"/>
        </w:rPr>
        <w:t>详见附件：拟派项目经理简历表.docx</w:t>
      </w:r>
    </w:p>
    <w:p>
      <w:pPr>
        <w:pStyle w:val="null3"/>
        <w:ind w:firstLine="960"/>
      </w:pPr>
      <w:r>
        <w:rPr>
          <w:rFonts w:ascii="仿宋_GB2312" w:hAnsi="仿宋_GB2312" w:cs="仿宋_GB2312" w:eastAsia="仿宋_GB2312"/>
        </w:rPr>
        <w:t>详见附件：项目组人员构成汇总表.docx</w:t>
      </w:r>
    </w:p>
    <w:p>
      <w:pPr>
        <w:pStyle w:val="null3"/>
        <w:ind w:firstLine="960"/>
      </w:pPr>
      <w:r>
        <w:rPr>
          <w:rFonts w:ascii="仿宋_GB2312" w:hAnsi="仿宋_GB2312" w:cs="仿宋_GB2312" w:eastAsia="仿宋_GB2312"/>
        </w:rPr>
        <w:t>详见附件：施工组织设计.docx</w:t>
      </w:r>
    </w:p>
    <w:p>
      <w:pPr>
        <w:pStyle w:val="null3"/>
        <w:ind w:firstLine="960"/>
      </w:pPr>
      <w:r>
        <w:rPr>
          <w:rFonts w:ascii="仿宋_GB2312" w:hAnsi="仿宋_GB2312" w:cs="仿宋_GB2312" w:eastAsia="仿宋_GB2312"/>
        </w:rPr>
        <w:t>详见附件：磋商保证金.docx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详见附件：供应商认为需要提交的其他资料.docx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详见附件：建筑施工合同.docx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