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版本号：SXZCZB2025-ZCCS-082320250815001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陕西省辅助器具适配综合服务平台运行维护项目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SXZCZB2025-ZCCS-0823</w:t>
      </w:r>
      <w:r>
        <w:br/>
      </w:r>
      <w:r>
        <w:br/>
      </w:r>
      <w:r>
        <w:br/>
      </w:r>
    </w:p>
    <w:p>
      <w:pPr>
        <w:pStyle w:val="null3"/>
        <w:jc w:val="center"/>
        <w:outlineLvl w:val="2"/>
      </w:pPr>
      <w:r>
        <w:rPr>
          <w:rFonts w:ascii="仿宋_GB2312" w:hAnsi="仿宋_GB2312" w:cs="仿宋_GB2312" w:eastAsia="仿宋_GB2312"/>
          <w:sz w:val="28"/>
          <w:b/>
        </w:rPr>
        <w:t>陕西省残疾人辅助技术中心</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陕西省残疾人辅助技术中心</w:t>
      </w:r>
      <w:r>
        <w:rPr>
          <w:rFonts w:ascii="仿宋_GB2312" w:hAnsi="仿宋_GB2312" w:cs="仿宋_GB2312" w:eastAsia="仿宋_GB2312"/>
        </w:rPr>
        <w:t>委托，拟对</w:t>
      </w:r>
      <w:r>
        <w:rPr>
          <w:rFonts w:ascii="仿宋_GB2312" w:hAnsi="仿宋_GB2312" w:cs="仿宋_GB2312" w:eastAsia="仿宋_GB2312"/>
        </w:rPr>
        <w:t>陕西省辅助器具适配综合服务平台运行维护项目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SXZCZB2025-ZCCS-0823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陕西省辅助器具适配综合服务平台运行维护项目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陕西省辅助器具适配综合服务平台运行维护项目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采购包1（陕西省辅助器具适配综合服务平台运行维护项目）：属于专门面向小微企业采购。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 等国家规定的相关证明，自然人参与的提供其身份证明；</w:t>
      </w:r>
    </w:p>
    <w:p>
      <w:pPr>
        <w:pStyle w:val="null3"/>
      </w:pPr>
      <w:r>
        <w:rPr>
          <w:rFonts w:ascii="仿宋_GB2312" w:hAnsi="仿宋_GB2312" w:cs="仿宋_GB2312" w:eastAsia="仿宋_GB2312"/>
        </w:rPr>
        <w:t>2、法人授权书：提供法定代表人授权书（附法定代表人、被授权人身份证复印件），法定代表人直接参加磋商，须提供法定代表人身份证明（ 附法定代表人身份证复印件）；</w:t>
      </w:r>
    </w:p>
    <w:p>
      <w:pPr>
        <w:pStyle w:val="null3"/>
      </w:pPr>
      <w:r>
        <w:rPr>
          <w:rFonts w:ascii="仿宋_GB2312" w:hAnsi="仿宋_GB2312" w:cs="仿宋_GB2312" w:eastAsia="仿宋_GB2312"/>
        </w:rPr>
        <w:t>3、财务状况报告：提供2024年度经审计完整的财务审计报告（成立时间至提交响应文件截止时间不足一年的可提供成立后任意时段的资产负债表），或开标时间前六个月内银行出具的资信证明；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4、税收缴纳证明：提供响应文件截止日前一年内已缴纳的至少一个月的纳税证明或完税证明（任意税种），依法免税的单位应提供相关证明材料;</w:t>
      </w:r>
    </w:p>
    <w:p>
      <w:pPr>
        <w:pStyle w:val="null3"/>
      </w:pPr>
      <w:r>
        <w:rPr>
          <w:rFonts w:ascii="仿宋_GB2312" w:hAnsi="仿宋_GB2312" w:cs="仿宋_GB2312" w:eastAsia="仿宋_GB2312"/>
        </w:rPr>
        <w:t>5、社会保障资金缴纳证明：提供响应文件截止日前一年内已缴存的至少一个月的社会保障资金缴存单据或社保机构开具的社会保险参保缴费情况证明，依法不需要缴纳社会保障资金的单位应提供相关证明材料；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6、履约承诺：提供具有履行本合同所必需的设备和专业技术能力的说明及承诺书；</w:t>
      </w:r>
    </w:p>
    <w:p>
      <w:pPr>
        <w:pStyle w:val="null3"/>
      </w:pPr>
      <w:r>
        <w:rPr>
          <w:rFonts w:ascii="仿宋_GB2312" w:hAnsi="仿宋_GB2312" w:cs="仿宋_GB2312" w:eastAsia="仿宋_GB2312"/>
        </w:rPr>
        <w:t>7、信用记录：供应商应通过“信用中国”网站(www.creditchina.gov.cn)、中国政府采购网(www.ccgp.gov.cn)查询相关主体信用记录；</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9、中小企业声明函：本采购包专门面向小微企业采购（提供中小企业声明函）；</w:t>
      </w:r>
    </w:p>
    <w:p>
      <w:pPr>
        <w:pStyle w:val="null3"/>
      </w:pPr>
      <w:r>
        <w:rPr>
          <w:rFonts w:ascii="仿宋_GB2312" w:hAnsi="仿宋_GB2312" w:cs="仿宋_GB2312" w:eastAsia="仿宋_GB2312"/>
        </w:rPr>
        <w:t>10、非联合体承诺书：本项目不接受联合体磋商（提供承诺书）。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陕西省残疾人辅助技术中心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西安市朱宏路 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029-86243662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胡晓均、倪沛、王欣玫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陕西省残疾人辅助技术中心</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陕西省残疾人辅助技术中心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陕西省残疾人辅助技术中心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联系人：胡晓均、倪沛、王欣玫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陕西省辅助器具适配综合服务平台运行维护项目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470,000.00</w:t>
      </w:r>
    </w:p>
    <w:p>
      <w:pPr>
        <w:pStyle w:val="null3"/>
      </w:pPr>
      <w:r>
        <w:rPr>
          <w:rFonts w:ascii="仿宋_GB2312" w:hAnsi="仿宋_GB2312" w:cs="仿宋_GB2312" w:eastAsia="仿宋_GB2312"/>
        </w:rPr>
        <w:t>采购包最高限价（元）: 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陕西省辅助器具适配综合服务平台运行维护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标的名称：陕西省辅助器具适配综合服务平台运行维护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 xml:space="preserve">       根据《陕西省残疾人辅助器具适配补贴办法（试行）》（陕残联发〔2021〕3号）、《陕西省残疾人辅助器具适配补贴办法实施方案（试行）》（陕残联发〔2021〕21号）、《陕西省残疾人精准康复服务行动实施方案》要求，为全面落实我省残疾人辅助器具适配补贴办法顺利实施，确保补贴办法健康、持续、有效推进，特设立陕西省辅助器具适配综合服务平台运行维护项目。</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平台运行维护主要包含以下内容：</w:t>
            </w:r>
          </w:p>
          <w:p>
            <w:pPr>
              <w:pStyle w:val="null3"/>
            </w:pPr>
            <w:r>
              <w:rPr>
                <w:rFonts w:ascii="仿宋_GB2312" w:hAnsi="仿宋_GB2312" w:cs="仿宋_GB2312" w:eastAsia="仿宋_GB2312"/>
              </w:rPr>
              <w:t>（1）平台整体运维：负责平台日常网络及各子系统管理维护。设计并部署相关应用平台，确保网络系统有7×24小时的持续运行能力。负责日常系统维护及健康，提供IT软硬件服务和支持，确保系统稳定运行。</w:t>
            </w:r>
          </w:p>
          <w:p>
            <w:pPr>
              <w:pStyle w:val="null3"/>
            </w:pPr>
            <w:r>
              <w:rPr>
                <w:rFonts w:ascii="仿宋_GB2312" w:hAnsi="仿宋_GB2312" w:cs="仿宋_GB2312" w:eastAsia="仿宋_GB2312"/>
              </w:rPr>
              <w:t>（2）数据库运维：负责平台数据库业务程序维护、开发（包括脚本、函数、存储过程等PL/SQL），编写数据库设计文档；数据提取和数据分析，数据库转换和迁移，数据同步，补丁修复等。</w:t>
            </w:r>
          </w:p>
          <w:p>
            <w:pPr>
              <w:pStyle w:val="null3"/>
            </w:pPr>
            <w:r>
              <w:rPr>
                <w:rFonts w:ascii="仿宋_GB2312" w:hAnsi="仿宋_GB2312" w:cs="仿宋_GB2312" w:eastAsia="仿宋_GB2312"/>
              </w:rPr>
              <w:t>（3）前端需求实现：确保前端功能不断升级及维护，根据平台实际需求实现Web前端功能模块。</w:t>
            </w:r>
          </w:p>
          <w:p>
            <w:pPr>
              <w:pStyle w:val="null3"/>
            </w:pPr>
            <w:r>
              <w:rPr>
                <w:rFonts w:ascii="仿宋_GB2312" w:hAnsi="仿宋_GB2312" w:cs="仿宋_GB2312" w:eastAsia="仿宋_GB2312"/>
              </w:rPr>
              <w:t>（4）美工实现：确保平台界面操作美观及操作体验，根据产品需求，对产品美术风格、交互设计、界面结构、操作流程做出设计；负责各种交互界面、图标、logo、按钮等相关元素设计与制作；优化平台页面，使用户操作更趋于人性化。</w:t>
            </w:r>
          </w:p>
          <w:p>
            <w:pPr>
              <w:pStyle w:val="null3"/>
            </w:pPr>
            <w:r>
              <w:rPr>
                <w:rFonts w:ascii="仿宋_GB2312" w:hAnsi="仿宋_GB2312" w:cs="仿宋_GB2312" w:eastAsia="仿宋_GB2312"/>
              </w:rPr>
              <w:t>（5）App运维：负责平台个人端和终端机管理、后台维护、新功能开发；按照项目计划，保证保量按时完成开发任务；维护和升级现有产品，快速定位并修复软件权限。</w:t>
            </w:r>
          </w:p>
          <w:p>
            <w:pPr>
              <w:pStyle w:val="null3"/>
            </w:pPr>
            <w:r>
              <w:rPr>
                <w:rFonts w:ascii="仿宋_GB2312" w:hAnsi="仿宋_GB2312" w:cs="仿宋_GB2312" w:eastAsia="仿宋_GB2312"/>
              </w:rPr>
              <w:t>（6）Java技术维护：负责客户端App产品中服务器后端工程设计，构架维护设计新要求开发工作，确保平台系统架构维护和升级，新功能设计开发，新需求落地转化。</w:t>
            </w:r>
          </w:p>
          <w:p>
            <w:pPr>
              <w:pStyle w:val="null3"/>
            </w:pPr>
            <w:r>
              <w:rPr>
                <w:rFonts w:ascii="仿宋_GB2312" w:hAnsi="仿宋_GB2312" w:cs="仿宋_GB2312" w:eastAsia="仿宋_GB2312"/>
              </w:rPr>
              <w:t>（7）系统迁移：配合做好应用系统信创适配整合迁移工作。</w:t>
            </w:r>
          </w:p>
          <w:p>
            <w:pPr>
              <w:pStyle w:val="null3"/>
            </w:pPr>
            <w:r>
              <w:rPr>
                <w:rFonts w:ascii="仿宋_GB2312" w:hAnsi="仿宋_GB2312" w:cs="仿宋_GB2312" w:eastAsia="仿宋_GB2312"/>
              </w:rPr>
              <w:t>（8）2019年至今陕西省残疾人精准康复管理系统数据维护及导出。</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1、确保服务平台PC端及个人App端高效、平稳、安全运行；有备份服务器，确保网络系统7×24小时不间断运行；当数据容量接近服务器最大容量3/4时，及时提供服务器扩容方案。</w:t>
            </w:r>
          </w:p>
          <w:p>
            <w:pPr>
              <w:pStyle w:val="null3"/>
            </w:pPr>
            <w:r>
              <w:rPr>
                <w:rFonts w:ascii="仿宋_GB2312" w:hAnsi="仿宋_GB2312" w:cs="仿宋_GB2312" w:eastAsia="仿宋_GB2312"/>
              </w:rPr>
              <w:t>2、根据甲方需求对服务平台PC端及个人App端，做出相应补充、修改及完善；对系统运行过程中出现的问题做到24小时内及时响应。</w:t>
            </w:r>
          </w:p>
          <w:p>
            <w:pPr>
              <w:pStyle w:val="null3"/>
            </w:pPr>
            <w:r>
              <w:rPr>
                <w:rFonts w:ascii="仿宋_GB2312" w:hAnsi="仿宋_GB2312" w:cs="仿宋_GB2312" w:eastAsia="仿宋_GB2312"/>
              </w:rPr>
              <w:t>3、确保平台所有数据的真实性和保密性，签订保密协议，作为合同的一部分。</w:t>
            </w:r>
          </w:p>
          <w:p>
            <w:pPr>
              <w:pStyle w:val="null3"/>
            </w:pPr>
            <w:r>
              <w:rPr>
                <w:rFonts w:ascii="仿宋_GB2312" w:hAnsi="仿宋_GB2312" w:cs="仿宋_GB2312" w:eastAsia="仿宋_GB2312"/>
              </w:rPr>
              <w:t>4、及时掌握国家相关要求和规定，并按要求调整和完善服务平台。</w:t>
            </w:r>
          </w:p>
          <w:p>
            <w:pPr>
              <w:pStyle w:val="null3"/>
            </w:pPr>
            <w:r>
              <w:rPr>
                <w:rFonts w:ascii="仿宋_GB2312" w:hAnsi="仿宋_GB2312" w:cs="仿宋_GB2312" w:eastAsia="仿宋_GB2312"/>
              </w:rPr>
              <w:t>5、如遇国家相关工作要求变更或调整服务平台，将适时终止合同或变更服务内容。</w:t>
            </w:r>
          </w:p>
          <w:p>
            <w:pPr>
              <w:pStyle w:val="null3"/>
            </w:pPr>
            <w:r>
              <w:rPr>
                <w:rFonts w:ascii="仿宋_GB2312" w:hAnsi="仿宋_GB2312" w:cs="仿宋_GB2312" w:eastAsia="仿宋_GB2312"/>
              </w:rPr>
              <w:t>四、商务要求</w:t>
            </w:r>
          </w:p>
          <w:p>
            <w:pPr>
              <w:pStyle w:val="null3"/>
            </w:pPr>
            <w:r>
              <w:rPr>
                <w:rFonts w:ascii="仿宋_GB2312" w:hAnsi="仿宋_GB2312" w:cs="仿宋_GB2312" w:eastAsia="仿宋_GB2312"/>
              </w:rPr>
              <w:t>（一）服务期限</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（二）款项结算</w:t>
            </w:r>
          </w:p>
          <w:p>
            <w:pPr>
              <w:pStyle w:val="null3"/>
            </w:pPr>
            <w:r>
              <w:rPr>
                <w:rFonts w:ascii="仿宋_GB2312" w:hAnsi="仿宋_GB2312" w:cs="仿宋_GB2312" w:eastAsia="仿宋_GB2312"/>
              </w:rPr>
              <w:t>1、付款比例</w:t>
            </w:r>
          </w:p>
          <w:p>
            <w:pPr>
              <w:pStyle w:val="null3"/>
            </w:pPr>
            <w:r>
              <w:rPr>
                <w:rFonts w:ascii="仿宋_GB2312" w:hAnsi="仿宋_GB2312" w:cs="仿宋_GB2312" w:eastAsia="仿宋_GB2312"/>
              </w:rPr>
              <w:t>（1） 付款条件说明： 合同签订后 ，达到付款条件起 10 日内，支付合同总金额的 40.00%。</w:t>
            </w:r>
          </w:p>
          <w:p>
            <w:pPr>
              <w:pStyle w:val="null3"/>
            </w:pPr>
            <w:r>
              <w:rPr>
                <w:rFonts w:ascii="仿宋_GB2312" w:hAnsi="仿宋_GB2312" w:cs="仿宋_GB2312" w:eastAsia="仿宋_GB2312"/>
              </w:rPr>
              <w:t>（2） 付款条件说明： 11月底前，如系统运行安全、平稳、无重大问题，能按甲方需求按时调整优化 ，达到付款条件起 10 日内，支付合同总金额的 60.00%。</w:t>
            </w:r>
          </w:p>
          <w:p>
            <w:pPr>
              <w:pStyle w:val="null3"/>
            </w:pPr>
            <w:r>
              <w:rPr>
                <w:rFonts w:ascii="仿宋_GB2312" w:hAnsi="仿宋_GB2312" w:cs="仿宋_GB2312" w:eastAsia="仿宋_GB2312"/>
              </w:rPr>
              <w:t>（3）乙方应于甲方每次付款前向甲方提供等额发票，因乙方延迟开票，甲方有权拒不付款且不承担任何责任。</w:t>
            </w:r>
          </w:p>
          <w:p>
            <w:pPr>
              <w:pStyle w:val="null3"/>
            </w:pPr>
            <w:r>
              <w:rPr>
                <w:rFonts w:ascii="仿宋_GB2312" w:hAnsi="仿宋_GB2312" w:cs="仿宋_GB2312" w:eastAsia="仿宋_GB2312"/>
              </w:rPr>
              <w:t>2、结算方式：按照支付程序进行银行转账。</w:t>
            </w:r>
          </w:p>
          <w:p>
            <w:pPr>
              <w:pStyle w:val="null3"/>
            </w:pPr>
            <w:r>
              <w:rPr>
                <w:rFonts w:ascii="仿宋_GB2312" w:hAnsi="仿宋_GB2312" w:cs="仿宋_GB2312" w:eastAsia="仿宋_GB2312"/>
              </w:rPr>
              <w:t>3、结算单位：由甲方负责结算，乙方根据合同条款按甲方要求开具发票。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11月底前，如系统运行安全、平稳、无重大问题，能按甲方需求按时调整优化</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 等国家规定的相关证明，自然人参与的提供其身份证明；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 附法定代表人身份证复印件）；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提供2024年度经审计完整的财务审计报告（成立时间至提交响应文件截止时间不足一年的可提供成立后任意时段的资产负债表），或开标时间前六个月内银行出具的资信证明；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提供响应文件截止日前一年内已缴纳的至少一个月的纳税证明或完税证明（任意税种），依法免税的单位应提供相关证明材料;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供应商应通过“信用中国”网站(www.creditchina.gov.cn)、中国政府采购网(www.ccgp.gov.cn)查询相关主体信用记录；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本采购包专门面向小微企业采购（提供中小企业声明函）；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产品的技术规格是否有重大偏离；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 针对本项目提出适用 于本项目的需求响应方案，包括： ①项目理解②需求分析③项目重难点分析 二、评审标准 1、完整性： 方案必须全面，对评审内容中的各 项要求有详细描述； 2、可实施性 ：切合本项目实际情况，提出步骤 清晰、合理的方案； 3、针对性： 方案能够紧扣项目实际情况，内容 科学合理。 三、赋分标准（满分9 分） ①项目理解：每完全满足一个 评审标准得 1分，未完全满足得0- 0.9分，满分3分； ②需求分析：每完全满足一个评审标准得1分，未 完全满足得0-0.9分，满分3分； ③ 项目重难点分析：每完全满足一个评审标准得1 分，未完全满足得0- 0.9分，满分3分。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针对本项目提出适用于本项目的服务方案，包括①模块日常运维方案；②数据日常运维方案；③数据采集方案；④功能完善方案。 二、评审标准 1、完整性：方案必须全面，对评审内容中的各项要求有详细描述； 2、可实施性：切合本项目实际情况，提出步骤清晰、合理的方案； 3、针对性：方案能够紧扣项目实际情况，内容科学合理。 三、赋分标准（满分24分） ①模块日常运维方案：每完全满足一个评审标准得分，未完全满足得0-1.9分，满分6分；②数据日常运维方案：每完全满足一个评审标准得2分，未完全满足一个评审标准得0-1.9分，满分6分； ③数据采集方案：每完全满足一个评审标准得2分，未完全满足一个评审标准得0-1.9分，满分6分；④功能完善方案，每完全满足一个评审标准得2分，未完全满足一个评审标准得0-1.9分，满分6分。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相关管理措施</w:t>
            </w:r>
          </w:p>
        </w:tc>
        <w:tc>
          <w:tcPr>
            <w:tcW w:type="dxa" w:w="2492"/>
          </w:tcPr>
          <w:p>
            <w:pPr>
              <w:pStyle w:val="null3"/>
            </w:pPr>
            <w:r>
              <w:rPr>
                <w:rFonts w:ascii="仿宋_GB2312" w:hAnsi="仿宋_GB2312" w:cs="仿宋_GB2312" w:eastAsia="仿宋_GB2312"/>
              </w:rPr>
              <w:t>一、评审内容 针对采购需求提出适用于本项目的措施方案，方案包括：①质量保证措施②进度控制措施③安全保障措施 二、评审标准 1、完整性：方案必须全面，对评审内容中的各项要求有详细描述； 2、可实施性：切合本项目实际情况，提出步骤清晰、合理的方案； 3、针对性：方案能够紧扣项目实际情况，内容科学合理。 二、赋分标准（满分12分） ①质量保证措施：每完全满足一个评审标准得1分，未完全满足一个评审标准得0-0.9分，满分3分； ②进度控制措施：每完全满足一个评审标准得2分，未完全满足一个评审标准得0-1.9分，满分6分； ③安全管理措施：每完全满足一个评审标准得1分，未完全满足一个评审标准得0-0.9分，满分3分。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针对本项目提出适用于本项目的服务方案，方案包括：①系统故障应急预案；②安全事件应急预案；③数据故障应急预案；④业务中断应急预案 二、评审标准 1、完整性：方案必须全面，对评审内容中的各项要求有详细描述； 2、可实施性：切合本项目实际情况，提出步骤清晰、合理的方案； 3、针对性：方案能够紧扣项目实际情况，内容科学合理。 三、赋分标准（满分15分） ①系统故障应急预案：每完全满足一个评审标准得2分，未完全满足一个评审标准得0-1.9分，满分6分；②安全事件应急预案：每完全满足一个评审标准得1分，未完全满足一个评审标准得0-0.9分，满分3分； ③数据故障应急预案：每完全满足一个评审标准得1分，未完全满足一个评审标准得0-0.9分，满分3分；④业务中断应急预案，每完全满足一个评审标准得1分，未完全满足一个评审标准得0-0.9分，满分3分。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针对本项目提出适用 于本项目的培训方案，包括：①培训人员安排②培训实施方案 二、评审标准 1、完整性：方案必须全面，对评审内容中的各项 要求有详细描述； 2、可实施性： 切合本项目实际情况，提出步骤清 晰、合理的方案； 3、针对性：方 案能够紧扣项目实际情况，内容科学合理。 三、赋分标准（满分6分 ） ①培训人员安排：每完全满足一 个评审标准得1分，未完全满足 一个评审标准要求综合赋分0-0.9 分，满分3分。 ②培训实施方案： 每完全满足一个评审标准得1分， 未完全满足一个评审标准要求综 合赋分0-0.9分，满分3分 。</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针对本项目提出适用于本项目的项目团队配置方案，包括：①团队人员各专业岗位配置②团队人员管理制度。 二、评审标准 1、完整性：方案必须全面，对评审内容中的各项要求有详细描述； 2、可实施性：切合本项目实际情况，提出步骤清晰、合理的方案； 3、针对性：方案能够紧扣项目实际情况，内容科学合理。 二、赋分标准（满分6分） ①团队人员各专业岗位配置：每完全满足一个评审标准得1分，未完全满足一个评审标准要求综合赋分0-0.9分，满分3分； ②团队人员管理制度：每完全满足一个评审标准得1分，未完全满足一个评审标准要求综合赋分0-0.9分，满分3分。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本项目拟投入人员汇总表.docx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对本项目服务工作中的常见问题进行梳理，具有良好的解决方案并及时向采购人提出合理化建议，每提供一条有效的建议得2分，满分4分。不提供不得分。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供应商每提供一项承诺得1分，满分4分。 1、供应商承诺发生紧急突发事件时，积极配合采购人工作，必要时增派人员。 2、供应商承诺人员调离时须征得采购人同意。 3、供应商承诺服从采购人指挥和调度，遵守采购人的规章制度。 4、供应商承诺接受采购人对本项目服务的考核、监督及管理，定期调研采购人对服务质量的满意度并加以改进，确保服务工作的优质高效。</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供应商近三年（2022年1月至今）具有类似项目业绩，每提供一份计2分，满分10分。 评审依据：提供供应商加盖公章的合同协议书复印件或中标通知书，以合同签订时间为准。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2.有效最低报价为基准价得10分。 3.按（有效最低报价/有效投标报价）×10的公式计算其得分。 4.经评委一致认定，投标人的投标总报价低于公认市场成本，或超过采购预算,其投标将被拒绝。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详见附件：本项目拟投入人员汇总表.docx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