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版本号：WDZB2025-118020250815001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第七届中国—阿拉伯国家博览会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WDZB2025-1180</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第七届中国—阿拉伯国家博览会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WDZB2025-1180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第七届中国—阿拉伯国家博览会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陕西省商务厅第七届中国—阿拉伯国家博览会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采购包1（陕西省商务厅第七届中国—阿拉伯国家博览会）：属于专门面向小微企业采购。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1、身份证明文件：法定代表人授权书（附法定代表人身份证复印件）及被授权人身份证。（法定代表人直接参加磋商只须提供法定代表人身份证）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湛美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029-63913867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朱旭、张静、戚洪良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及《国家发展改革委办公厅关于招标代理服务收费有关问题的通知》（发改办价格[2003]857号）中的规定，按差额定率累进法计算，以中标通知书确定的中标金额作为收费计算依据。经甲乙双方协商后决定，由中标（成交）人在领取中标（成交）通知书前向采购代理机构一次性支付。招标代理服务费支付方式：银行转账或现金方式收款单位：陕西万德招标有限公司开户银行：中国银行西安南二环支行 银行账号：103673241394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联系人：朱旭、张静、戚洪良</w:t>
      </w:r>
    </w:p>
    <w:p>
      <w:pPr>
        <w:pStyle w:val="null3"/>
      </w:pPr>
      <w:r>
        <w:rPr>
          <w:rFonts w:ascii="仿宋_GB2312" w:hAnsi="仿宋_GB2312" w:cs="仿宋_GB2312" w:eastAsia="仿宋_GB2312"/>
        </w:rPr>
        <w:t>联系电话：029-85561862/85561863转801</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陕西省商务厅第七届中国—阿拉伯国家博览会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481,000.00</w:t>
      </w:r>
    </w:p>
    <w:p>
      <w:pPr>
        <w:pStyle w:val="null3"/>
      </w:pPr>
      <w:r>
        <w:rPr>
          <w:rFonts w:ascii="仿宋_GB2312" w:hAnsi="仿宋_GB2312" w:cs="仿宋_GB2312" w:eastAsia="仿宋_GB2312"/>
        </w:rPr>
        <w:t>采购包最高限价（元）: 481,000.00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展览服务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标的名称：展览服务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一、展位情况</w:t>
            </w:r>
          </w:p>
          <w:p>
            <w:pPr>
              <w:pStyle w:val="null3"/>
              <w:ind w:firstLine="400"/>
              <w:jc w:val="both"/>
            </w:pPr>
            <w:r>
              <w:rPr>
                <w:rFonts w:ascii="仿宋_GB2312" w:hAnsi="仿宋_GB2312" w:cs="仿宋_GB2312" w:eastAsia="仿宋_GB2312"/>
                <w:sz w:val="20"/>
              </w:rPr>
              <w:t>第七届中国</w:t>
            </w:r>
            <w:r>
              <w:rPr>
                <w:rFonts w:ascii="仿宋_GB2312" w:hAnsi="仿宋_GB2312" w:cs="仿宋_GB2312" w:eastAsia="仿宋_GB2312"/>
                <w:sz w:val="20"/>
              </w:rPr>
              <w:t>—阿拉伯国家博览会(简称中阿博览会)，将于2025年8月28日至31日在银川国际会展中心举办。</w:t>
            </w:r>
            <w:r>
              <w:rPr>
                <w:rFonts w:ascii="仿宋_GB2312" w:hAnsi="仿宋_GB2312" w:cs="仿宋_GB2312" w:eastAsia="仿宋_GB2312"/>
                <w:sz w:val="20"/>
              </w:rPr>
              <w:t xml:space="preserve">陕西展区位于银川国际会展中心E馆，区域经济合作展区，展位面积140㎡（20*7米）。 </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陕西代表团组成</w:t>
            </w:r>
          </w:p>
          <w:p>
            <w:pPr>
              <w:pStyle w:val="null3"/>
              <w:jc w:val="both"/>
            </w:pPr>
            <w:r>
              <w:rPr>
                <w:rFonts w:ascii="仿宋_GB2312" w:hAnsi="仿宋_GB2312" w:cs="仿宋_GB2312" w:eastAsia="仿宋_GB2312"/>
                <w:sz w:val="20"/>
              </w:rPr>
              <w:t>政府代表团约</w:t>
            </w:r>
            <w:r>
              <w:rPr>
                <w:rFonts w:ascii="仿宋_GB2312" w:hAnsi="仿宋_GB2312" w:cs="仿宋_GB2312" w:eastAsia="仿宋_GB2312"/>
                <w:sz w:val="20"/>
              </w:rPr>
              <w:t>15人</w:t>
            </w:r>
            <w:r>
              <w:rPr>
                <w:rFonts w:ascii="仿宋_GB2312" w:hAnsi="仿宋_GB2312" w:cs="仿宋_GB2312" w:eastAsia="仿宋_GB2312"/>
                <w:sz w:val="20"/>
              </w:rPr>
              <w:t>，</w:t>
            </w:r>
            <w:r>
              <w:rPr>
                <w:rFonts w:ascii="仿宋_GB2312" w:hAnsi="仿宋_GB2312" w:cs="仿宋_GB2312" w:eastAsia="仿宋_GB2312"/>
                <w:sz w:val="20"/>
              </w:rPr>
              <w:t>经贸代表团约</w:t>
            </w:r>
            <w:r>
              <w:rPr>
                <w:rFonts w:ascii="仿宋_GB2312" w:hAnsi="仿宋_GB2312" w:cs="仿宋_GB2312" w:eastAsia="仿宋_GB2312"/>
                <w:sz w:val="20"/>
              </w:rPr>
              <w:t>30人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、展区主题</w:t>
            </w:r>
          </w:p>
          <w:p>
            <w:pPr>
              <w:pStyle w:val="null3"/>
              <w:jc w:val="both"/>
            </w:pPr>
            <w:r>
              <w:rPr>
                <w:rFonts w:ascii="仿宋_GB2312" w:hAnsi="仿宋_GB2312" w:cs="仿宋_GB2312" w:eastAsia="仿宋_GB2312"/>
                <w:sz w:val="20"/>
              </w:rPr>
              <w:t>陕宁携手合作</w:t>
            </w:r>
            <w:r>
              <w:rPr>
                <w:rFonts w:ascii="仿宋_GB2312" w:hAnsi="仿宋_GB2312" w:cs="仿宋_GB2312" w:eastAsia="仿宋_GB2312"/>
                <w:sz w:val="20"/>
              </w:rPr>
              <w:t>·</w:t>
            </w:r>
            <w:r>
              <w:rPr>
                <w:rFonts w:ascii="仿宋_GB2312" w:hAnsi="仿宋_GB2312" w:cs="仿宋_GB2312" w:eastAsia="仿宋_GB2312"/>
                <w:sz w:val="20"/>
              </w:rPr>
              <w:t>能源链动未来</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、展区设计</w:t>
            </w:r>
          </w:p>
          <w:p>
            <w:pPr>
              <w:pStyle w:val="null3"/>
              <w:jc w:val="both"/>
            </w:pPr>
            <w:r>
              <w:rPr>
                <w:rFonts w:ascii="仿宋_GB2312" w:hAnsi="仿宋_GB2312" w:cs="仿宋_GB2312" w:eastAsia="仿宋_GB2312"/>
                <w:sz w:val="20"/>
              </w:rPr>
              <w:t>陕西展区以</w:t>
            </w:r>
            <w:r>
              <w:rPr>
                <w:rFonts w:ascii="仿宋_GB2312" w:hAnsi="仿宋_GB2312" w:cs="仿宋_GB2312" w:eastAsia="仿宋_GB2312"/>
                <w:sz w:val="20"/>
              </w:rPr>
              <w:t>“陕宁携手合作</w:t>
            </w:r>
            <w:r>
              <w:rPr>
                <w:rFonts w:ascii="仿宋_GB2312" w:hAnsi="仿宋_GB2312" w:cs="仿宋_GB2312" w:eastAsia="仿宋_GB2312"/>
                <w:sz w:val="20"/>
              </w:rPr>
              <w:t>·</w:t>
            </w:r>
            <w:r>
              <w:rPr>
                <w:rFonts w:ascii="仿宋_GB2312" w:hAnsi="仿宋_GB2312" w:cs="仿宋_GB2312" w:eastAsia="仿宋_GB2312"/>
                <w:sz w:val="20"/>
              </w:rPr>
              <w:t>能源链动未来</w:t>
            </w:r>
            <w:r>
              <w:rPr>
                <w:rFonts w:ascii="仿宋_GB2312" w:hAnsi="仿宋_GB2312" w:cs="仿宋_GB2312" w:eastAsia="仿宋_GB2312"/>
                <w:sz w:val="20"/>
              </w:rPr>
              <w:t>”为主题</w:t>
            </w:r>
            <w:r>
              <w:rPr>
                <w:rFonts w:ascii="仿宋_GB2312" w:hAnsi="仿宋_GB2312" w:cs="仿宋_GB2312" w:eastAsia="仿宋_GB2312"/>
                <w:sz w:val="20"/>
              </w:rPr>
              <w:t>，组织</w:t>
            </w:r>
            <w:r>
              <w:rPr>
                <w:rFonts w:ascii="仿宋_GB2312" w:hAnsi="仿宋_GB2312" w:cs="仿宋_GB2312" w:eastAsia="仿宋_GB2312"/>
                <w:sz w:val="20"/>
              </w:rPr>
              <w:t>10家能源化工企业参展，以文字、图片、视频和实物（模型）等方式，重点宣传推介我省能源化工产业链发展新成果，为我省与宁夏及阿拉伯国家的经贸合作交流搭建互动平台。</w:t>
            </w:r>
            <w:r>
              <w:rPr>
                <w:rFonts w:ascii="仿宋_GB2312" w:hAnsi="仿宋_GB2312" w:cs="仿宋_GB2312" w:eastAsia="仿宋_GB2312"/>
                <w:sz w:val="20"/>
              </w:rPr>
              <w:t>展区设计将通过桁架构建的秦宫建筑轮廓作为展示空间载体，内部融入声光电互动技术，动态呈现陕西能源化工的科技成果。</w:t>
            </w:r>
          </w:p>
          <w:p>
            <w:pPr>
              <w:pStyle w:val="null3"/>
              <w:jc w:val="both"/>
            </w:pPr>
            <w:r>
              <w:rPr>
                <w:rFonts w:ascii="仿宋_GB2312" w:hAnsi="仿宋_GB2312" w:cs="仿宋_GB2312" w:eastAsia="仿宋_GB2312"/>
                <w:sz w:val="20"/>
                <w:color w:val="000000"/>
                <w:shd w:fill="FFFFFF" w:val="clear"/>
              </w:rPr>
              <w:t>五、</w:t>
            </w:r>
            <w:r>
              <w:rPr>
                <w:rFonts w:ascii="仿宋_GB2312" w:hAnsi="仿宋_GB2312" w:cs="仿宋_GB2312" w:eastAsia="仿宋_GB2312"/>
                <w:sz w:val="20"/>
                <w:color w:val="000000"/>
                <w:shd w:fill="FFFFFF" w:val="clear"/>
              </w:rPr>
              <w:t>服务</w:t>
            </w:r>
            <w:r>
              <w:rPr>
                <w:rFonts w:ascii="仿宋_GB2312" w:hAnsi="仿宋_GB2312" w:cs="仿宋_GB2312" w:eastAsia="仿宋_GB2312"/>
                <w:sz w:val="20"/>
              </w:rPr>
              <w:t>包含会展</w:t>
            </w:r>
            <w:r>
              <w:rPr>
                <w:rFonts w:ascii="仿宋_GB2312" w:hAnsi="仿宋_GB2312" w:cs="仿宋_GB2312" w:eastAsia="仿宋_GB2312"/>
                <w:sz w:val="20"/>
              </w:rPr>
              <w:t>区</w:t>
            </w:r>
            <w:r>
              <w:rPr>
                <w:rFonts w:ascii="仿宋_GB2312" w:hAnsi="仿宋_GB2312" w:cs="仿宋_GB2312" w:eastAsia="仿宋_GB2312"/>
                <w:sz w:val="20"/>
              </w:rPr>
              <w:t>设计、搭建及物料制作、企业展品物流及布展、展品仓储及保险、参展及调研租车、座谈会布置</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六、</w:t>
            </w:r>
            <w:r>
              <w:rPr>
                <w:rFonts w:ascii="仿宋_GB2312" w:hAnsi="仿宋_GB2312" w:cs="仿宋_GB2312" w:eastAsia="仿宋_GB2312"/>
                <w:sz w:val="20"/>
              </w:rPr>
              <w:t>其他要求：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1）按照采购人要求对接活动事宜，按时撤离活动会场，确保活动期间安全。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2）为参会单位提供与参会相关的服务，配合完成其他参会相关工作。</w:t>
            </w:r>
          </w:p>
          <w:p>
            <w:pPr>
              <w:pStyle w:val="null3"/>
              <w:jc w:val="both"/>
            </w:pPr>
            <w:r>
              <w:rPr>
                <w:rFonts w:ascii="仿宋_GB2312" w:hAnsi="仿宋_GB2312" w:cs="仿宋_GB2312" w:eastAsia="仿宋_GB2312"/>
                <w:sz w:val="20"/>
              </w:rPr>
              <w:t>七、</w:t>
            </w:r>
            <w:r>
              <w:rPr>
                <w:rFonts w:ascii="仿宋_GB2312" w:hAnsi="仿宋_GB2312" w:cs="仿宋_GB2312" w:eastAsia="仿宋_GB2312"/>
                <w:sz w:val="20"/>
              </w:rPr>
              <w:t>材质要求：布展材质优良，选用优质、环保材质。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合同签订后至服贸会结束后10天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验收合格后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成交供应商须在发布成交公告后线下提交响应文件正本壹份、副本贰份。线下提交响应文件地点：西安市南二环西段21号华融国际商务大厦A座15层B区；联系电话：029-85561862/85561863转801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1-2、财务状况报告（任选其一）：(1)、2024年度经审计的财务会计报告（须包含：资产负债表、现金流量表、利润表、所有者权益变动表、财务报表附注、审计公司证照及经办注册会计师资格证书） (2)、2025年01月01日至今基本账户银行出具的资信证明（附开户行许可证或基本存款账户信息）； 1-3、税收缴纳证明：提供2025年01月至今已缴纳的至少一个月的纳税证明或完税证明，依法免税的单位应提供相关证明材料； 1-4、社会保障资金缴纳证明：提供2025年01月至今已缴纳的至少一个月的社会保障资金缴存单据或社保机构开具的社会保险参保缴费情况证明，依法不需要缴纳社会保障资金的单位应提供相关证明材料； 1-5、提供参加政府采购活动前三年内在经营活动中没有重大违法记录的书面声明；（采购人、采购代理机构将于本项目磋商截止日在‘信用中国’网站、‘中国政府采购网’网站等渠道对供应商进行信用记录查询，凡被列入失信被执行人、重大税收违法失信主体、政府采购严重违法失信行为记录名单的，视为存在不良信用记录，参与本项目的将被拒绝。） 1-6、提供具有履行本合同所必需的设备和专业技术能力的说明及承诺。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资格证明文件格式.docx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资格证明文件格式.docx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 资格证明文件格式.docx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资格证明文件格式.docx 报价表 响应文件封面 残疾人福利性单位声明函 服务方案 标的清单 供应商业绩.docx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供应商应提交的相关资格证明材料 资格证明文件格式.docx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商务及服务要求</w:t>
            </w:r>
          </w:p>
        </w:tc>
        <w:tc>
          <w:tcPr>
            <w:tcW w:type="dxa" w:w="3322"/>
          </w:tcPr>
          <w:p>
            <w:pPr>
              <w:pStyle w:val="null3"/>
            </w:pPr>
            <w:r>
              <w:rPr>
                <w:rFonts w:ascii="仿宋_GB2312" w:hAnsi="仿宋_GB2312" w:cs="仿宋_GB2312" w:eastAsia="仿宋_GB2312"/>
              </w:rPr>
              <w:t>商务及服务要求不得出现负偏离。</w:t>
            </w:r>
          </w:p>
        </w:tc>
        <w:tc>
          <w:tcPr>
            <w:tcW w:type="dxa" w:w="1661"/>
          </w:tcPr>
          <w:p>
            <w:pPr>
              <w:pStyle w:val="null3"/>
            </w:pPr>
            <w:r>
              <w:rPr>
                <w:rFonts w:ascii="仿宋_GB2312" w:hAnsi="仿宋_GB2312" w:cs="仿宋_GB2312" w:eastAsia="仿宋_GB2312"/>
              </w:rPr>
              <w:t>服务内容及服务邀请应答表 商务应答表 服务方案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供应商应提交的相关资格证明材料 标的清单 资格证明文件格式.docx 报价表 供应商业绩.docx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内容包括但不限于①对项目理解；②功能布局方案；③履约能力等。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会务服务方案</w:t>
            </w:r>
          </w:p>
        </w:tc>
        <w:tc>
          <w:tcPr>
            <w:tcW w:type="dxa" w:w="2492"/>
          </w:tcPr>
          <w:p>
            <w:pPr>
              <w:pStyle w:val="null3"/>
            </w:pPr>
            <w:r>
              <w:rPr>
                <w:rFonts w:ascii="仿宋_GB2312" w:hAnsi="仿宋_GB2312" w:cs="仿宋_GB2312" w:eastAsia="仿宋_GB2312"/>
              </w:rPr>
              <w:t>内容包括但不限于①物料设计及制作；②会场搭建布置；③设备保障；④会务组织；⑤资料印刷；⑥用车保障；⑦安全管理等。以上内容专门针对本项目且符合本项目实际需求的得28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包括但不限于①服务质量保障措施；②服务进度保障措施；③服务承诺等。以上内容专门针对本项目且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内容包括但不限于①响应时限；②突发情况人员替补；③预防措施；④现场组织协调能力等。以上内容专门针对本项目且符合本项目实际需求的得16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配备情况，包括但不限于①团队人员配置清单；②岗位职责安排；③人员管理制度；④工作经验及年限等。以上内容专门针对本项目且符合本项目实际需求的得12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供应商具有2022年8月以来（以合同签订时间为准）同类项目业绩，响应文件中提供合同复印件加盖供应商公章，每提供一个得2分，最高得10分。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详见附件：资格证明文件格式.docx</w:t>
      </w:r>
    </w:p>
    <w:p>
      <w:pPr>
        <w:pStyle w:val="null3"/>
        <w:ind w:firstLine="960"/>
      </w:pPr>
      <w:r>
        <w:rPr>
          <w:rFonts w:ascii="仿宋_GB2312" w:hAnsi="仿宋_GB2312" w:cs="仿宋_GB2312" w:eastAsia="仿宋_GB2312"/>
        </w:rPr>
        <w:t>详见附件：供应商业绩.docx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