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BD560">
      <w:pPr>
        <w:pStyle w:val="12"/>
        <w:keepNext w:val="0"/>
        <w:keepLines w:val="0"/>
        <w:pageBreakBefore w:val="0"/>
        <w:kinsoku/>
        <w:wordWrap/>
        <w:overflowPunct/>
        <w:topLinePunct w:val="0"/>
        <w:autoSpaceDE/>
        <w:autoSpaceDN/>
        <w:bidi w:val="0"/>
        <w:adjustRightInd w:val="0"/>
        <w:snapToGrid w:val="0"/>
        <w:spacing w:line="360" w:lineRule="auto"/>
        <w:ind w:left="0"/>
        <w:jc w:val="center"/>
        <w:textAlignment w:val="auto"/>
        <w:outlineLvl w:val="0"/>
        <w:rPr>
          <w:rFonts w:hint="eastAsia" w:ascii="宋体" w:hAnsi="宋体" w:eastAsia="宋体" w:cs="宋体"/>
          <w:color w:val="auto"/>
          <w:kern w:val="2"/>
          <w:sz w:val="44"/>
          <w:szCs w:val="44"/>
          <w:highlight w:val="none"/>
          <w:lang w:val="en-US" w:eastAsia="zh-CN" w:bidi="ar-SA"/>
        </w:rPr>
      </w:pPr>
      <w:r>
        <w:rPr>
          <w:rFonts w:hint="eastAsia" w:ascii="宋体" w:hAnsi="宋体" w:eastAsia="宋体" w:cs="宋体"/>
          <w:color w:val="auto"/>
          <w:kern w:val="2"/>
          <w:sz w:val="44"/>
          <w:szCs w:val="44"/>
          <w:highlight w:val="none"/>
          <w:lang w:val="en-US" w:eastAsia="zh-CN" w:bidi="ar-SA"/>
        </w:rPr>
        <w:t>拟签订采购合同文本</w:t>
      </w:r>
    </w:p>
    <w:p w14:paraId="2534E2D4">
      <w:pPr>
        <w:pStyle w:val="4"/>
        <w:adjustRightInd w:val="0"/>
        <w:snapToGrid w:val="0"/>
        <w:spacing w:line="360" w:lineRule="auto"/>
        <w:ind w:firstLine="0"/>
        <w:jc w:val="center"/>
        <w:rPr>
          <w:rFonts w:hint="eastAsia" w:ascii="宋体" w:hAnsi="宋体" w:eastAsia="宋体" w:cs="宋体"/>
          <w:color w:val="auto"/>
          <w:sz w:val="44"/>
          <w:szCs w:val="44"/>
          <w:highlight w:val="none"/>
        </w:rPr>
      </w:pPr>
    </w:p>
    <w:p w14:paraId="437B4770">
      <w:pPr>
        <w:pStyle w:val="4"/>
        <w:adjustRightInd w:val="0"/>
        <w:snapToGrid w:val="0"/>
        <w:spacing w:line="360" w:lineRule="auto"/>
        <w:ind w:firstLine="0"/>
        <w:jc w:val="center"/>
        <w:rPr>
          <w:rFonts w:hint="eastAsia" w:ascii="宋体" w:hAnsi="宋体" w:eastAsia="宋体" w:cs="宋体"/>
          <w:color w:val="auto"/>
          <w:sz w:val="44"/>
          <w:szCs w:val="44"/>
          <w:highlight w:val="none"/>
        </w:rPr>
      </w:pPr>
      <w:r>
        <w:rPr>
          <w:rFonts w:hint="eastAsia" w:hAnsi="宋体" w:eastAsia="宋体" w:cs="宋体"/>
          <w:color w:val="auto"/>
          <w:sz w:val="44"/>
          <w:szCs w:val="44"/>
          <w:highlight w:val="none"/>
          <w:lang w:eastAsia="zh-CN"/>
        </w:rPr>
        <w:t>陕西青年职业学院2025年校级在线开放课程建设</w:t>
      </w:r>
    </w:p>
    <w:p w14:paraId="6B705DCA">
      <w:pPr>
        <w:pStyle w:val="5"/>
        <w:rPr>
          <w:rFonts w:hint="eastAsia" w:ascii="宋体" w:hAnsi="宋体" w:eastAsia="宋体" w:cs="宋体"/>
          <w:color w:val="auto"/>
          <w:highlight w:val="none"/>
        </w:rPr>
      </w:pPr>
      <w:bookmarkStart w:id="0" w:name="_GoBack"/>
      <w:bookmarkEnd w:id="0"/>
    </w:p>
    <w:p w14:paraId="50CB00DF">
      <w:pPr>
        <w:spacing w:line="360" w:lineRule="auto"/>
        <w:rPr>
          <w:rFonts w:hint="eastAsia" w:ascii="宋体" w:hAnsi="宋体" w:eastAsia="宋体" w:cs="宋体"/>
          <w:b/>
          <w:bCs/>
          <w:color w:val="auto"/>
          <w:spacing w:val="26"/>
          <w:sz w:val="84"/>
          <w:szCs w:val="84"/>
          <w:highlight w:val="none"/>
        </w:rPr>
      </w:pPr>
    </w:p>
    <w:p w14:paraId="16ED59D5">
      <w:pPr>
        <w:spacing w:line="360" w:lineRule="auto"/>
        <w:jc w:val="center"/>
        <w:rPr>
          <w:rFonts w:hint="eastAsia" w:ascii="宋体" w:hAnsi="宋体" w:eastAsia="宋体" w:cs="宋体"/>
          <w:b/>
          <w:bCs/>
          <w:color w:val="auto"/>
          <w:sz w:val="84"/>
          <w:szCs w:val="84"/>
          <w:highlight w:val="none"/>
        </w:rPr>
      </w:pPr>
      <w:r>
        <w:rPr>
          <w:rFonts w:hint="eastAsia" w:ascii="宋体" w:hAnsi="宋体" w:eastAsia="宋体" w:cs="宋体"/>
          <w:b/>
          <w:bCs/>
          <w:color w:val="auto"/>
          <w:sz w:val="84"/>
          <w:szCs w:val="84"/>
          <w:highlight w:val="none"/>
        </w:rPr>
        <w:t>采购合同</w:t>
      </w:r>
    </w:p>
    <w:p w14:paraId="2A9C0CA8">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项目编号： </w:t>
      </w:r>
    </w:p>
    <w:p w14:paraId="3F9E5F6D">
      <w:pPr>
        <w:spacing w:line="360" w:lineRule="auto"/>
        <w:jc w:val="center"/>
        <w:rPr>
          <w:rFonts w:hint="eastAsia" w:ascii="宋体" w:hAnsi="宋体" w:eastAsia="宋体" w:cs="宋体"/>
          <w:b/>
          <w:bCs/>
          <w:color w:val="auto"/>
          <w:spacing w:val="26"/>
          <w:sz w:val="36"/>
          <w:szCs w:val="36"/>
          <w:highlight w:val="none"/>
        </w:rPr>
      </w:pPr>
    </w:p>
    <w:p w14:paraId="39BF9CA2">
      <w:pPr>
        <w:spacing w:line="360" w:lineRule="auto"/>
        <w:rPr>
          <w:rFonts w:hint="eastAsia" w:ascii="宋体" w:hAnsi="宋体" w:eastAsia="宋体" w:cs="宋体"/>
          <w:b/>
          <w:color w:val="auto"/>
          <w:sz w:val="32"/>
          <w:szCs w:val="32"/>
          <w:highlight w:val="none"/>
        </w:rPr>
      </w:pPr>
    </w:p>
    <w:p w14:paraId="2B99F8A1">
      <w:pPr>
        <w:spacing w:line="360" w:lineRule="auto"/>
        <w:rPr>
          <w:rFonts w:hint="eastAsia" w:ascii="宋体" w:hAnsi="宋体" w:eastAsia="宋体" w:cs="宋体"/>
          <w:b/>
          <w:color w:val="auto"/>
          <w:sz w:val="32"/>
          <w:szCs w:val="32"/>
          <w:highlight w:val="none"/>
        </w:rPr>
      </w:pPr>
    </w:p>
    <w:p w14:paraId="4CE40CC8">
      <w:pPr>
        <w:spacing w:line="360" w:lineRule="auto"/>
        <w:rPr>
          <w:rFonts w:hint="eastAsia" w:ascii="宋体" w:hAnsi="宋体" w:eastAsia="宋体" w:cs="宋体"/>
          <w:b/>
          <w:color w:val="auto"/>
          <w:sz w:val="32"/>
          <w:szCs w:val="32"/>
          <w:highlight w:val="none"/>
        </w:rPr>
      </w:pPr>
    </w:p>
    <w:p w14:paraId="63CB3BC1">
      <w:pPr>
        <w:spacing w:line="360" w:lineRule="auto"/>
        <w:rPr>
          <w:rFonts w:hint="eastAsia" w:ascii="宋体" w:hAnsi="宋体" w:eastAsia="宋体" w:cs="宋体"/>
          <w:b/>
          <w:color w:val="auto"/>
          <w:sz w:val="32"/>
          <w:szCs w:val="32"/>
          <w:highlight w:val="none"/>
        </w:rPr>
      </w:pPr>
    </w:p>
    <w:p w14:paraId="06C058EC">
      <w:pPr>
        <w:spacing w:line="360" w:lineRule="auto"/>
        <w:ind w:firstLine="964" w:firstLineChars="300"/>
        <w:rPr>
          <w:rFonts w:hint="eastAsia" w:ascii="宋体" w:hAnsi="宋体" w:eastAsia="宋体" w:cs="宋体"/>
          <w:b/>
          <w:bCs/>
          <w:color w:val="auto"/>
          <w:sz w:val="40"/>
          <w:szCs w:val="40"/>
          <w:highlight w:val="none"/>
          <w:u w:val="single"/>
        </w:rPr>
      </w:pPr>
      <w:r>
        <w:rPr>
          <w:rFonts w:hint="eastAsia" w:ascii="宋体" w:hAnsi="宋体" w:eastAsia="宋体" w:cs="宋体"/>
          <w:b/>
          <w:bCs/>
          <w:color w:val="auto"/>
          <w:sz w:val="32"/>
          <w:szCs w:val="32"/>
          <w:highlight w:val="none"/>
        </w:rPr>
        <w:t>甲方：</w:t>
      </w:r>
    </w:p>
    <w:p w14:paraId="1C20083D">
      <w:pPr>
        <w:spacing w:line="360" w:lineRule="auto"/>
        <w:ind w:firstLine="964" w:firstLineChars="3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乙方：</w:t>
      </w:r>
    </w:p>
    <w:p w14:paraId="13E8CFF9">
      <w:pPr>
        <w:spacing w:line="360" w:lineRule="auto"/>
        <w:jc w:val="center"/>
        <w:rPr>
          <w:rFonts w:hint="eastAsia" w:ascii="宋体" w:hAnsi="宋体" w:eastAsia="宋体" w:cs="宋体"/>
          <w:b/>
          <w:bCs/>
          <w:color w:val="auto"/>
          <w:spacing w:val="26"/>
          <w:sz w:val="30"/>
          <w:szCs w:val="30"/>
          <w:highlight w:val="none"/>
        </w:rPr>
      </w:pPr>
    </w:p>
    <w:p w14:paraId="657F45B1">
      <w:pPr>
        <w:spacing w:line="360" w:lineRule="auto"/>
        <w:jc w:val="center"/>
        <w:rPr>
          <w:rFonts w:hint="eastAsia" w:ascii="宋体" w:hAnsi="宋体" w:eastAsia="宋体" w:cs="宋体"/>
          <w:b/>
          <w:bCs/>
          <w:color w:val="auto"/>
          <w:spacing w:val="26"/>
          <w:sz w:val="30"/>
          <w:szCs w:val="30"/>
          <w:highlight w:val="none"/>
        </w:rPr>
      </w:pPr>
      <w:r>
        <w:rPr>
          <w:rFonts w:hint="eastAsia" w:ascii="宋体" w:hAnsi="宋体" w:eastAsia="宋体" w:cs="宋体"/>
          <w:b/>
          <w:bCs/>
          <w:color w:val="auto"/>
          <w:spacing w:val="26"/>
          <w:sz w:val="30"/>
          <w:szCs w:val="30"/>
          <w:highlight w:val="none"/>
        </w:rPr>
        <w:t>二〇二年  月  日</w:t>
      </w:r>
    </w:p>
    <w:p w14:paraId="5EA18704">
      <w:pPr>
        <w:pStyle w:val="3"/>
        <w:rPr>
          <w:rFonts w:hint="eastAsia" w:ascii="宋体" w:hAnsi="宋体" w:eastAsia="宋体" w:cs="宋体"/>
          <w:color w:val="auto"/>
          <w:highlight w:val="none"/>
        </w:rPr>
      </w:pPr>
    </w:p>
    <w:p w14:paraId="75C59DFC">
      <w:pPr>
        <w:spacing w:line="360" w:lineRule="auto"/>
        <w:jc w:val="center"/>
        <w:rPr>
          <w:rFonts w:hint="eastAsia" w:ascii="宋体" w:hAnsi="宋体" w:eastAsia="宋体" w:cs="宋体"/>
          <w:b/>
          <w:color w:val="auto"/>
          <w:sz w:val="44"/>
          <w:szCs w:val="44"/>
          <w:highlight w:val="none"/>
        </w:rPr>
        <w:sectPr>
          <w:headerReference r:id="rId3" w:type="default"/>
          <w:footerReference r:id="rId4" w:type="default"/>
          <w:pgSz w:w="11906" w:h="16838"/>
          <w:pgMar w:top="1440" w:right="1800" w:bottom="1440" w:left="1800" w:header="851" w:footer="992" w:gutter="0"/>
          <w:cols w:space="720" w:num="1"/>
          <w:titlePg/>
          <w:docGrid w:type="lines" w:linePitch="312" w:charSpace="0"/>
        </w:sectPr>
      </w:pPr>
    </w:p>
    <w:p w14:paraId="394ABE37">
      <w:pPr>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44"/>
          <w:szCs w:val="44"/>
          <w:highlight w:val="none"/>
        </w:rPr>
        <w:t>采购合同</w:t>
      </w:r>
    </w:p>
    <w:p w14:paraId="44E17C1C">
      <w:pPr>
        <w:spacing w:line="360" w:lineRule="auto"/>
        <w:ind w:firstLine="482" w:firstLineChars="200"/>
        <w:rPr>
          <w:rFonts w:hint="default" w:ascii="宋体" w:hAnsi="宋体" w:eastAsia="宋体" w:cs="宋体"/>
          <w:b/>
          <w:bCs/>
          <w:color w:val="auto"/>
          <w:sz w:val="24"/>
          <w:szCs w:val="24"/>
          <w:highlight w:val="none"/>
          <w:u w:val="single"/>
          <w:lang w:val="en-US" w:eastAsia="zh-CN"/>
        </w:rPr>
      </w:pPr>
      <w:r>
        <w:rPr>
          <w:rFonts w:hint="eastAsia" w:ascii="宋体" w:hAnsi="宋体" w:cs="宋体"/>
          <w:b/>
          <w:bCs/>
          <w:color w:val="auto"/>
          <w:sz w:val="24"/>
          <w:szCs w:val="24"/>
          <w:highlight w:val="none"/>
        </w:rPr>
        <w:t>甲    方：</w:t>
      </w:r>
      <w:r>
        <w:rPr>
          <w:rFonts w:hint="eastAsia" w:ascii="宋体" w:hAnsi="宋体" w:cs="宋体"/>
          <w:b/>
          <w:bCs/>
          <w:color w:val="auto"/>
          <w:sz w:val="24"/>
          <w:szCs w:val="24"/>
          <w:highlight w:val="none"/>
          <w:u w:val="single"/>
        </w:rPr>
        <w:t>陕西青年职业学院</w:t>
      </w:r>
      <w:r>
        <w:rPr>
          <w:rFonts w:hint="eastAsia" w:ascii="宋体" w:hAnsi="宋体" w:cs="宋体"/>
          <w:b/>
          <w:bCs/>
          <w:color w:val="auto"/>
          <w:sz w:val="24"/>
          <w:szCs w:val="24"/>
          <w:highlight w:val="none"/>
          <w:u w:val="single"/>
          <w:lang w:val="en-US" w:eastAsia="zh-CN"/>
        </w:rPr>
        <w:t xml:space="preserve">           </w:t>
      </w:r>
    </w:p>
    <w:p w14:paraId="6DB556E2">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乙    方：</w:t>
      </w:r>
      <w:r>
        <w:rPr>
          <w:rFonts w:hint="eastAsia" w:ascii="宋体" w:hAnsi="宋体" w:cs="宋体"/>
          <w:b/>
          <w:bCs/>
          <w:color w:val="auto"/>
          <w:sz w:val="24"/>
          <w:szCs w:val="24"/>
          <w:highlight w:val="none"/>
          <w:u w:val="single"/>
        </w:rPr>
        <w:t xml:space="preserve">                           </w:t>
      </w:r>
    </w:p>
    <w:p w14:paraId="6E4A1B93">
      <w:pPr>
        <w:shd w:val="clear" w:color="auto" w:fill="FFFFFF"/>
        <w:spacing w:line="360" w:lineRule="auto"/>
        <w:ind w:firstLine="480" w:firstLineChars="200"/>
        <w:rPr>
          <w:rFonts w:hint="eastAsia" w:ascii="宋体" w:hAnsi="宋体" w:cs="宋体"/>
          <w:color w:val="auto"/>
          <w:sz w:val="24"/>
          <w:szCs w:val="24"/>
          <w:highlight w:val="none"/>
        </w:rPr>
      </w:pPr>
    </w:p>
    <w:p w14:paraId="1C7AE6FA">
      <w:pPr>
        <w:shd w:val="clear" w:color="auto"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甲方与乙方依据《中华人民共和国民典法》及其他有关法律法规，遵循平等、自愿、公平和诚实信用的原则，甲、乙双方就陕西青年职业学院2025年校级在线开放课程建设相关事项达成一致意见，订立本合同。</w:t>
      </w:r>
    </w:p>
    <w:p w14:paraId="17BC88A5">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一、合同范围：</w:t>
      </w:r>
    </w:p>
    <w:p w14:paraId="6BC6FA7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陕西青年职业学院2025年校级在线开放课程建设的</w:t>
      </w:r>
      <w:r>
        <w:rPr>
          <w:rFonts w:hint="eastAsia" w:ascii="宋体" w:hAnsi="宋体" w:cs="宋体"/>
          <w:color w:val="auto"/>
          <w:sz w:val="24"/>
          <w:szCs w:val="24"/>
          <w:highlight w:val="none"/>
          <w:lang w:eastAsia="zh-CN"/>
        </w:rPr>
        <w:t>竞争性磋商</w:t>
      </w:r>
      <w:r>
        <w:rPr>
          <w:rFonts w:hint="eastAsia" w:ascii="宋体" w:hAnsi="宋体" w:cs="宋体"/>
          <w:color w:val="auto"/>
          <w:sz w:val="24"/>
          <w:szCs w:val="24"/>
          <w:highlight w:val="none"/>
        </w:rPr>
        <w:t>文件、澄清文件及采购合同所涵盖的全部内容。</w:t>
      </w:r>
    </w:p>
    <w:p w14:paraId="384DABDB">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w:t>
      </w:r>
      <w:r>
        <w:rPr>
          <w:rFonts w:hint="eastAsia" w:ascii="宋体" w:hAnsi="宋体" w:cs="宋体"/>
          <w:b/>
          <w:bCs/>
          <w:color w:val="auto"/>
          <w:sz w:val="24"/>
          <w:szCs w:val="24"/>
          <w:highlight w:val="none"/>
          <w:lang w:eastAsia="zh-CN"/>
        </w:rPr>
        <w:t>服务</w:t>
      </w:r>
      <w:r>
        <w:rPr>
          <w:rFonts w:hint="eastAsia" w:ascii="宋体" w:hAnsi="宋体" w:cs="宋体"/>
          <w:b/>
          <w:bCs/>
          <w:color w:val="auto"/>
          <w:sz w:val="24"/>
          <w:szCs w:val="24"/>
          <w:highlight w:val="none"/>
        </w:rPr>
        <w:t>期</w:t>
      </w:r>
      <w:r>
        <w:rPr>
          <w:rFonts w:hint="eastAsia" w:ascii="宋体" w:hAnsi="宋体" w:cs="宋体"/>
          <w:b/>
          <w:bCs/>
          <w:color w:val="auto"/>
          <w:sz w:val="24"/>
          <w:szCs w:val="24"/>
          <w:highlight w:val="none"/>
          <w:lang w:eastAsia="zh-CN"/>
        </w:rPr>
        <w:t>限</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eastAsia="zh-CN"/>
        </w:rPr>
        <w:t>服务</w:t>
      </w:r>
      <w:r>
        <w:rPr>
          <w:rFonts w:hint="eastAsia" w:ascii="宋体" w:hAnsi="宋体" w:cs="宋体"/>
          <w:b/>
          <w:bCs/>
          <w:color w:val="auto"/>
          <w:sz w:val="24"/>
          <w:szCs w:val="24"/>
          <w:highlight w:val="none"/>
        </w:rPr>
        <w:t>地点、质量要求：</w:t>
      </w:r>
    </w:p>
    <w:p w14:paraId="00B7D13E">
      <w:pPr>
        <w:spacing w:line="360" w:lineRule="auto"/>
        <w:ind w:firstLine="480" w:firstLineChars="200"/>
        <w:rPr>
          <w:rFonts w:hint="eastAsia" w:ascii="宋体" w:hAnsi="宋体" w:cs="宋体"/>
          <w:color w:val="auto"/>
          <w:sz w:val="24"/>
          <w:szCs w:val="24"/>
          <w:highlight w:val="none"/>
        </w:rPr>
      </w:pPr>
      <w:r>
        <w:rPr>
          <w:rFonts w:hint="eastAsia" w:ascii="宋体" w:hAnsi="宋体" w:cs="宋体"/>
          <w:bCs/>
          <w:color w:val="auto"/>
          <w:kern w:val="0"/>
          <w:sz w:val="24"/>
          <w:szCs w:val="24"/>
          <w:highlight w:val="none"/>
          <w:lang w:eastAsia="zh-CN"/>
        </w:rPr>
        <w:t>服务</w:t>
      </w:r>
      <w:r>
        <w:rPr>
          <w:rFonts w:hint="eastAsia" w:ascii="宋体" w:hAnsi="宋体" w:cs="宋体"/>
          <w:bCs/>
          <w:color w:val="auto"/>
          <w:kern w:val="0"/>
          <w:sz w:val="24"/>
          <w:szCs w:val="24"/>
          <w:highlight w:val="none"/>
        </w:rPr>
        <w:t>期</w:t>
      </w:r>
      <w:r>
        <w:rPr>
          <w:rFonts w:hint="eastAsia" w:ascii="宋体" w:hAnsi="宋体" w:cs="宋体"/>
          <w:bCs/>
          <w:color w:val="auto"/>
          <w:kern w:val="0"/>
          <w:sz w:val="24"/>
          <w:szCs w:val="24"/>
          <w:highlight w:val="none"/>
          <w:lang w:eastAsia="zh-CN"/>
        </w:rPr>
        <w:t>限</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合同签订后的100日历日</w:t>
      </w:r>
      <w:r>
        <w:rPr>
          <w:rFonts w:hint="eastAsia" w:ascii="宋体" w:hAnsi="宋体" w:cs="宋体"/>
          <w:color w:val="auto"/>
          <w:sz w:val="24"/>
          <w:szCs w:val="24"/>
          <w:highlight w:val="none"/>
        </w:rPr>
        <w:t>；</w:t>
      </w:r>
    </w:p>
    <w:p w14:paraId="07502FA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服务</w:t>
      </w:r>
      <w:r>
        <w:rPr>
          <w:rFonts w:hint="eastAsia" w:ascii="宋体" w:hAnsi="宋体" w:cs="宋体"/>
          <w:color w:val="auto"/>
          <w:sz w:val="24"/>
          <w:szCs w:val="24"/>
          <w:highlight w:val="none"/>
        </w:rPr>
        <w:t>地点：</w:t>
      </w:r>
      <w:r>
        <w:rPr>
          <w:rFonts w:hint="eastAsia" w:ascii="宋体" w:hAnsi="宋体" w:cs="宋体"/>
          <w:color w:val="auto"/>
          <w:sz w:val="24"/>
          <w:szCs w:val="24"/>
          <w:highlight w:val="none"/>
          <w:u w:val="none"/>
          <w:lang w:eastAsia="zh-CN"/>
        </w:rPr>
        <w:t>采购人指定地点</w:t>
      </w:r>
      <w:r>
        <w:rPr>
          <w:rFonts w:hint="eastAsia" w:ascii="宋体" w:hAnsi="宋体" w:cs="宋体"/>
          <w:color w:val="auto"/>
          <w:sz w:val="24"/>
          <w:szCs w:val="24"/>
          <w:highlight w:val="none"/>
        </w:rPr>
        <w:t>；</w:t>
      </w:r>
    </w:p>
    <w:p w14:paraId="5BD7755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质量要求：合格（达到国家强制性合格标准）；</w:t>
      </w:r>
    </w:p>
    <w:p w14:paraId="08E3420D">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三、合同文件及解释</w:t>
      </w:r>
    </w:p>
    <w:p w14:paraId="4843622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合同协议书</w:t>
      </w:r>
    </w:p>
    <w:p w14:paraId="47CB9D5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成交通知书</w:t>
      </w:r>
    </w:p>
    <w:p w14:paraId="2076B7A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竞争性磋商</w:t>
      </w:r>
      <w:r>
        <w:rPr>
          <w:rFonts w:hint="eastAsia" w:ascii="宋体" w:hAnsi="宋体" w:cs="宋体"/>
          <w:color w:val="auto"/>
          <w:sz w:val="24"/>
          <w:szCs w:val="24"/>
          <w:highlight w:val="none"/>
        </w:rPr>
        <w:t>文件及相关补遗文件</w:t>
      </w:r>
    </w:p>
    <w:p w14:paraId="3D6AF65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技术标准、规范。</w:t>
      </w:r>
    </w:p>
    <w:p w14:paraId="74AC8321">
      <w:pPr>
        <w:spacing w:line="360" w:lineRule="auto"/>
        <w:ind w:firstLine="480" w:firstLineChars="200"/>
        <w:rPr>
          <w:rFonts w:hint="eastAsia" w:ascii="宋体" w:hAnsi="宋体" w:cs="宋体"/>
          <w:color w:val="auto"/>
          <w:kern w:val="28"/>
          <w:sz w:val="24"/>
          <w:szCs w:val="24"/>
          <w:highlight w:val="none"/>
        </w:rPr>
      </w:pPr>
      <w:r>
        <w:rPr>
          <w:rFonts w:hint="eastAsia" w:ascii="宋体" w:hAnsi="宋体" w:cs="宋体"/>
          <w:color w:val="auto"/>
          <w:sz w:val="24"/>
          <w:szCs w:val="24"/>
          <w:highlight w:val="none"/>
        </w:rPr>
        <w:t>其他合同文件</w:t>
      </w:r>
    </w:p>
    <w:p w14:paraId="4FF0D328">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四、合同价款、结算与支付</w:t>
      </w:r>
    </w:p>
    <w:p w14:paraId="5FD70718">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1、本合同固定总价合同</w:t>
      </w:r>
    </w:p>
    <w:p w14:paraId="4550D8E6">
      <w:pPr>
        <w:spacing w:line="360" w:lineRule="auto"/>
        <w:ind w:firstLine="480" w:firstLineChars="200"/>
        <w:rPr>
          <w:rFonts w:hint="eastAsia" w:ascii="宋体" w:hAnsi="宋体" w:eastAsia="宋体" w:cs="宋体"/>
          <w:color w:val="auto"/>
          <w:kern w:val="28"/>
          <w:sz w:val="24"/>
          <w:szCs w:val="24"/>
          <w:highlight w:val="none"/>
          <w:lang w:eastAsia="zh-CN"/>
        </w:rPr>
      </w:pPr>
      <w:r>
        <w:rPr>
          <w:rFonts w:hint="eastAsia" w:ascii="宋体" w:hAnsi="宋体" w:cs="宋体"/>
          <w:color w:val="auto"/>
          <w:kern w:val="28"/>
          <w:sz w:val="24"/>
          <w:szCs w:val="24"/>
          <w:highlight w:val="none"/>
        </w:rPr>
        <w:t>本合同总价款：</w:t>
      </w:r>
      <w:r>
        <w:rPr>
          <w:rFonts w:hint="eastAsia" w:ascii="宋体" w:hAnsi="宋体" w:cs="宋体"/>
          <w:color w:val="auto"/>
          <w:kern w:val="28"/>
          <w:sz w:val="24"/>
          <w:szCs w:val="24"/>
          <w:highlight w:val="none"/>
          <w:u w:val="single"/>
        </w:rPr>
        <w:t>人民</w:t>
      </w:r>
      <w:r>
        <w:rPr>
          <w:rFonts w:hint="eastAsia" w:ascii="宋体" w:hAnsi="宋体" w:cs="宋体"/>
          <w:color w:val="auto"/>
          <w:sz w:val="24"/>
          <w:szCs w:val="24"/>
          <w:highlight w:val="none"/>
          <w:u w:val="single"/>
        </w:rPr>
        <w:t>币大写：         （RMB         ）。</w:t>
      </w:r>
      <w:r>
        <w:rPr>
          <w:rFonts w:hint="eastAsia" w:ascii="宋体" w:hAnsi="宋体" w:cs="宋体"/>
          <w:color w:val="auto"/>
          <w:sz w:val="24"/>
          <w:szCs w:val="24"/>
          <w:highlight w:val="none"/>
        </w:rPr>
        <w:t>该</w:t>
      </w:r>
      <w:r>
        <w:rPr>
          <w:rFonts w:hint="eastAsia" w:ascii="宋体" w:hAnsi="宋体" w:cs="宋体"/>
          <w:color w:val="auto"/>
          <w:kern w:val="28"/>
          <w:sz w:val="24"/>
          <w:szCs w:val="24"/>
          <w:highlight w:val="none"/>
        </w:rPr>
        <w:t>总价</w:t>
      </w:r>
      <w:r>
        <w:rPr>
          <w:rFonts w:hint="eastAsia" w:ascii="宋体" w:hAnsi="宋体" w:eastAsia="宋体" w:cs="宋体"/>
          <w:color w:val="auto"/>
          <w:sz w:val="24"/>
          <w:szCs w:val="24"/>
          <w:highlight w:val="none"/>
        </w:rPr>
        <w:t>包括但不限于：服务人员的工资、管理费、利润、税金、直接费、间接费等相关的一切费用</w:t>
      </w:r>
      <w:r>
        <w:rPr>
          <w:rFonts w:hint="eastAsia" w:ascii="宋体" w:hAnsi="宋体" w:eastAsia="宋体" w:cs="宋体"/>
          <w:color w:val="auto"/>
          <w:sz w:val="24"/>
          <w:szCs w:val="24"/>
          <w:highlight w:val="none"/>
          <w:lang w:eastAsia="zh-CN"/>
        </w:rPr>
        <w:t>。</w:t>
      </w:r>
    </w:p>
    <w:p w14:paraId="17248A7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2、支付方式: 合同款支付全部通过银行转账：</w:t>
      </w:r>
    </w:p>
    <w:p w14:paraId="488D576A">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名     称：</w:t>
      </w:r>
      <w:r>
        <w:rPr>
          <w:rFonts w:hint="eastAsia" w:ascii="宋体" w:hAnsi="宋体" w:cs="宋体"/>
          <w:color w:val="auto"/>
          <w:sz w:val="24"/>
          <w:szCs w:val="24"/>
          <w:highlight w:val="none"/>
          <w:u w:val="single"/>
        </w:rPr>
        <w:t xml:space="preserve">                 </w:t>
      </w:r>
    </w:p>
    <w:p w14:paraId="7B8721C4">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开  户 行：</w:t>
      </w:r>
      <w:r>
        <w:rPr>
          <w:rFonts w:hint="eastAsia" w:ascii="宋体" w:hAnsi="宋体" w:cs="宋体"/>
          <w:color w:val="auto"/>
          <w:sz w:val="24"/>
          <w:szCs w:val="24"/>
          <w:highlight w:val="none"/>
          <w:u w:val="single"/>
        </w:rPr>
        <w:t xml:space="preserve">                 </w:t>
      </w:r>
    </w:p>
    <w:p w14:paraId="0746CE80">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账     号：</w:t>
      </w:r>
      <w:r>
        <w:rPr>
          <w:rFonts w:hint="eastAsia" w:ascii="宋体" w:hAnsi="宋体" w:cs="宋体"/>
          <w:color w:val="auto"/>
          <w:sz w:val="24"/>
          <w:szCs w:val="24"/>
          <w:highlight w:val="none"/>
          <w:u w:val="single"/>
        </w:rPr>
        <w:t xml:space="preserve">                 </w:t>
      </w:r>
    </w:p>
    <w:p w14:paraId="042FA366">
      <w:pPr>
        <w:spacing w:line="360" w:lineRule="auto"/>
        <w:rPr>
          <w:rFonts w:hint="eastAsia" w:ascii="宋体" w:hAnsi="宋体" w:cs="宋体"/>
          <w:color w:val="auto"/>
          <w:kern w:val="28"/>
          <w:sz w:val="24"/>
          <w:szCs w:val="24"/>
          <w:highlight w:val="none"/>
        </w:rPr>
      </w:pPr>
      <w:r>
        <w:rPr>
          <w:rFonts w:hint="eastAsia" w:ascii="宋体" w:hAnsi="宋体" w:cs="宋体"/>
          <w:color w:val="auto"/>
          <w:kern w:val="28"/>
          <w:sz w:val="24"/>
          <w:szCs w:val="24"/>
          <w:highlight w:val="none"/>
        </w:rPr>
        <w:t xml:space="preserve">2.1 付款方式: </w:t>
      </w:r>
    </w:p>
    <w:p w14:paraId="5D0C2F4E">
      <w:pPr>
        <w:spacing w:line="360" w:lineRule="auto"/>
        <w:ind w:firstLine="480" w:firstLineChars="200"/>
        <w:rPr>
          <w:rFonts w:hint="eastAsia" w:ascii="宋体" w:hAnsi="宋体" w:cs="宋体"/>
          <w:b/>
          <w:bCs/>
          <w:color w:val="auto"/>
          <w:sz w:val="24"/>
          <w:szCs w:val="24"/>
          <w:highlight w:val="none"/>
        </w:rPr>
      </w:pPr>
      <w:r>
        <w:rPr>
          <w:rFonts w:hint="eastAsia" w:ascii="宋体" w:hAnsi="宋体" w:eastAsia="宋体" w:cs="宋体"/>
          <w:color w:val="auto"/>
          <w:sz w:val="24"/>
          <w:szCs w:val="24"/>
          <w:highlight w:val="none"/>
        </w:rPr>
        <w:t>签订合同后</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日内甲方支付合同总价款40%；乙方提交课程成果文件，经甲方项目验收结束后支付合同总价款60%。</w:t>
      </w:r>
    </w:p>
    <w:p w14:paraId="0CF95A2E">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五、权利与义务</w:t>
      </w:r>
    </w:p>
    <w:p w14:paraId="000447F4">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（一）甲方的权利与义务</w:t>
      </w:r>
    </w:p>
    <w:p w14:paraId="54C18647">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3976AE55">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甲方有权依据双方签订的考评办法对乙方提供的服务进行定期考评。当考评结果未达到标准时，有权依据考评办法约定的数额扣除履约保证金。</w:t>
      </w:r>
    </w:p>
    <w:p w14:paraId="4C964502">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负责检查监督乙方管理工作的实施及制度的执行情况。</w:t>
      </w:r>
    </w:p>
    <w:p w14:paraId="4413F364">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根据本合同规定，按时向乙方支付应付服务费用。</w:t>
      </w:r>
    </w:p>
    <w:p w14:paraId="43BD657F">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国家法律、法规所规定由甲方承担的其它责任。</w:t>
      </w:r>
    </w:p>
    <w:p w14:paraId="4FAD0CA6">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（二）乙方的权利与义务</w:t>
      </w:r>
    </w:p>
    <w:p w14:paraId="17ED5B92">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对本合同规定的委托服务范围内的项目享有管理权及服务义务。</w:t>
      </w:r>
    </w:p>
    <w:p w14:paraId="0DBF7528">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根据本合同的规定向甲方收取相关服务费用，并有权在本项目管理范围内管理及合理使用。</w:t>
      </w:r>
    </w:p>
    <w:p w14:paraId="3294109E">
      <w:pPr>
        <w:adjustRightIn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及时向甲方通告本项目服务范围内有关服务的重大事项，及时配合处理投诉。</w:t>
      </w:r>
    </w:p>
    <w:p w14:paraId="7B79446B">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rPr>
        <w:t>接受项目行业管理部门及政府有关部门的指导，接受甲方的监督。</w:t>
      </w:r>
    </w:p>
    <w:p w14:paraId="37830196">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国家法律、法规所规定由乙方承担的其它责任。</w:t>
      </w:r>
    </w:p>
    <w:p w14:paraId="650998BB">
      <w:pPr>
        <w:spacing w:line="360" w:lineRule="auto"/>
        <w:ind w:firstLine="0" w:firstLineChars="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六、质量要求</w:t>
      </w:r>
    </w:p>
    <w:p w14:paraId="77586C6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质量要求：合格（达到国家强制性合格标准）。</w:t>
      </w:r>
    </w:p>
    <w:p w14:paraId="6E70963D">
      <w:pPr>
        <w:numPr>
          <w:ilvl w:val="0"/>
          <w:numId w:val="0"/>
        </w:num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七、服务</w:t>
      </w:r>
      <w:r>
        <w:rPr>
          <w:rFonts w:hint="eastAsia" w:ascii="宋体" w:hAnsi="宋体" w:cs="宋体"/>
          <w:b/>
          <w:bCs/>
          <w:color w:val="auto"/>
          <w:sz w:val="24"/>
          <w:szCs w:val="24"/>
          <w:highlight w:val="none"/>
        </w:rPr>
        <w:t>要求</w:t>
      </w:r>
    </w:p>
    <w:p w14:paraId="26CCB6C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（一）</w:t>
      </w:r>
      <w:r>
        <w:rPr>
          <w:rFonts w:hint="eastAsia" w:ascii="宋体" w:hAnsi="宋体" w:eastAsia="宋体" w:cs="宋体"/>
          <w:b w:val="0"/>
          <w:color w:val="auto"/>
          <w:sz w:val="24"/>
          <w:szCs w:val="24"/>
          <w:highlight w:val="none"/>
        </w:rPr>
        <w:t>基本要求</w:t>
      </w:r>
    </w:p>
    <w:p w14:paraId="6BA12F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本项目作为我</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在线开放课程建设的组成部分，必须以学生为本，凸显特色，强调应用。同时，遵循以下要求：</w:t>
      </w:r>
    </w:p>
    <w:p w14:paraId="72601A6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1.项目要按照《教育部关于加强高等学校在线开放课程建设应用与管理的意见》（教高〔2015〕3号）精神进行总体规划和实施，在教学设计、技术参数、资源配置等方面达到国家精品在线课程认定标准，能够与学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本地部署的在线课程平台及国家认定的精品在线开放课程平台（如爱课程、智慧树、</w:t>
      </w:r>
      <w:r>
        <w:rPr>
          <w:rFonts w:hint="eastAsia" w:ascii="宋体" w:hAnsi="宋体" w:cs="宋体"/>
          <w:color w:val="auto"/>
          <w:sz w:val="24"/>
          <w:szCs w:val="24"/>
          <w:highlight w:val="none"/>
          <w:lang w:eastAsia="zh-CN"/>
        </w:rPr>
        <w:t>学银在线</w:t>
      </w:r>
      <w:r>
        <w:rPr>
          <w:rFonts w:hint="eastAsia" w:ascii="宋体" w:hAnsi="宋体" w:eastAsia="宋体" w:cs="宋体"/>
          <w:color w:val="auto"/>
          <w:sz w:val="24"/>
          <w:szCs w:val="24"/>
          <w:highlight w:val="none"/>
        </w:rPr>
        <w:t>、学堂在线等）实现无缝对接和共享。</w:t>
      </w:r>
    </w:p>
    <w:p w14:paraId="02B0D66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2.供应商应熟悉教学，具备丰富的课程设计经验以及设计能力，能够辅助教师进行课程教学设计。</w:t>
      </w:r>
    </w:p>
    <w:p w14:paraId="5057AE9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需要对老师提供的素材（包含视频、图片、讲义、试卷、习题、参考资料及其他与课程相关的资源）进行整合、修改、完善，包含视频剪辑、图片处理、PPT美化、试卷格式调整等。</w:t>
      </w:r>
      <w:r>
        <w:rPr>
          <w:rFonts w:hint="eastAsia" w:ascii="宋体" w:hAnsi="宋体" w:eastAsia="宋体" w:cs="宋体"/>
          <w:b w:val="0"/>
          <w:color w:val="auto"/>
          <w:sz w:val="24"/>
          <w:szCs w:val="24"/>
          <w:highlight w:val="none"/>
        </w:rPr>
        <w:t>最终交付产品要求是以授课内容视频为中心的课程资源包，囊括课程介绍、课程视频、教学演示文稿、试题库、素材图片、电子教材及其</w:t>
      </w:r>
      <w:r>
        <w:rPr>
          <w:rFonts w:hint="eastAsia" w:ascii="宋体" w:hAnsi="宋体" w:eastAsia="宋体" w:cs="宋体"/>
          <w:b w:val="0"/>
          <w:color w:val="auto"/>
          <w:sz w:val="24"/>
          <w:szCs w:val="24"/>
          <w:highlight w:val="none"/>
          <w:lang w:val="en-US" w:eastAsia="zh-CN"/>
        </w:rPr>
        <w:t>他</w:t>
      </w:r>
      <w:r>
        <w:rPr>
          <w:rFonts w:hint="eastAsia" w:ascii="宋体" w:hAnsi="宋体" w:eastAsia="宋体" w:cs="宋体"/>
          <w:b w:val="0"/>
          <w:color w:val="auto"/>
          <w:sz w:val="24"/>
          <w:szCs w:val="24"/>
          <w:highlight w:val="none"/>
        </w:rPr>
        <w:t>相关资源等，除了实训在线课程学习功能外，还要适用翻转课堂等教学形式。</w:t>
      </w:r>
    </w:p>
    <w:p w14:paraId="1321D60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4.课程制作完毕后，制作方须全程辅助教师将课程应用于实际教学中，</w:t>
      </w:r>
      <w:r>
        <w:rPr>
          <w:rFonts w:hint="eastAsia" w:ascii="宋体" w:hAnsi="宋体" w:eastAsia="宋体" w:cs="宋体"/>
          <w:b w:val="0"/>
          <w:color w:val="auto"/>
          <w:sz w:val="24"/>
          <w:szCs w:val="24"/>
          <w:highlight w:val="none"/>
        </w:rPr>
        <w:t>协助和指导教师在学</w:t>
      </w:r>
      <w:r>
        <w:rPr>
          <w:rFonts w:hint="eastAsia" w:ascii="宋体" w:hAnsi="宋体" w:eastAsia="宋体" w:cs="宋体"/>
          <w:b w:val="0"/>
          <w:color w:val="auto"/>
          <w:sz w:val="24"/>
          <w:szCs w:val="24"/>
          <w:highlight w:val="none"/>
          <w:lang w:val="en-US" w:eastAsia="zh-CN"/>
        </w:rPr>
        <w:t>校</w:t>
      </w:r>
      <w:r>
        <w:rPr>
          <w:rFonts w:hint="eastAsia" w:ascii="宋体" w:hAnsi="宋体" w:eastAsia="宋体" w:cs="宋体"/>
          <w:b w:val="0"/>
          <w:color w:val="auto"/>
          <w:sz w:val="24"/>
          <w:szCs w:val="24"/>
          <w:highlight w:val="none"/>
        </w:rPr>
        <w:t>本地部署的在线课程平台及国家认定的精品在线开放课程平台（如爱课程、智慧树、</w:t>
      </w:r>
      <w:r>
        <w:rPr>
          <w:rFonts w:hint="eastAsia" w:ascii="宋体" w:hAnsi="宋体" w:cs="宋体"/>
          <w:b w:val="0"/>
          <w:color w:val="auto"/>
          <w:sz w:val="24"/>
          <w:szCs w:val="24"/>
          <w:highlight w:val="none"/>
          <w:lang w:eastAsia="zh-CN"/>
        </w:rPr>
        <w:t>学银在线</w:t>
      </w:r>
      <w:r>
        <w:rPr>
          <w:rFonts w:hint="eastAsia" w:ascii="宋体" w:hAnsi="宋体" w:eastAsia="宋体" w:cs="宋体"/>
          <w:b w:val="0"/>
          <w:color w:val="auto"/>
          <w:sz w:val="24"/>
          <w:szCs w:val="24"/>
          <w:highlight w:val="none"/>
        </w:rPr>
        <w:t>、学堂在线等）认证上线，实现网络教学、翻转</w:t>
      </w:r>
      <w:r>
        <w:rPr>
          <w:rFonts w:hint="eastAsia" w:ascii="宋体" w:hAnsi="宋体" w:eastAsia="宋体" w:cs="宋体"/>
          <w:b w:val="0"/>
          <w:color w:val="auto"/>
          <w:sz w:val="24"/>
          <w:szCs w:val="24"/>
          <w:highlight w:val="none"/>
          <w:lang w:eastAsia="zh-CN"/>
        </w:rPr>
        <w:t>课堂</w:t>
      </w:r>
      <w:r>
        <w:rPr>
          <w:rFonts w:hint="eastAsia" w:ascii="宋体" w:hAnsi="宋体" w:eastAsia="宋体" w:cs="宋体"/>
          <w:b w:val="0"/>
          <w:color w:val="auto"/>
          <w:sz w:val="24"/>
          <w:szCs w:val="24"/>
          <w:highlight w:val="none"/>
        </w:rPr>
        <w:t>教学。</w:t>
      </w:r>
    </w:p>
    <w:p w14:paraId="1F9E161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5.保证因课程建设需要提供的学术视频、动画、片头片尾、图片、音频、图书论文等素材不存在产权纠纷，且因课程所开发的一切动画、图片、PPT、视频、音频等版权归学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所有，</w:t>
      </w:r>
      <w:r>
        <w:rPr>
          <w:rFonts w:hint="eastAsia" w:ascii="宋体" w:hAnsi="宋体" w:eastAsia="宋体" w:cs="宋体"/>
          <w:b w:val="0"/>
          <w:color w:val="auto"/>
          <w:sz w:val="24"/>
          <w:szCs w:val="24"/>
          <w:highlight w:val="none"/>
        </w:rPr>
        <w:t>并提供可进行再次修改编辑的</w:t>
      </w:r>
      <w:r>
        <w:rPr>
          <w:rFonts w:hint="eastAsia" w:ascii="宋体" w:hAnsi="宋体" w:eastAsia="宋体" w:cs="宋体"/>
          <w:b w:val="0"/>
          <w:color w:val="auto"/>
          <w:sz w:val="24"/>
          <w:szCs w:val="24"/>
          <w:highlight w:val="none"/>
          <w:lang w:eastAsia="zh-CN"/>
        </w:rPr>
        <w:t>原始</w:t>
      </w:r>
      <w:r>
        <w:rPr>
          <w:rFonts w:hint="eastAsia" w:ascii="宋体" w:hAnsi="宋体" w:eastAsia="宋体" w:cs="宋体"/>
          <w:b w:val="0"/>
          <w:color w:val="auto"/>
          <w:sz w:val="24"/>
          <w:szCs w:val="24"/>
          <w:highlight w:val="none"/>
        </w:rPr>
        <w:t>文件。</w:t>
      </w:r>
    </w:p>
    <w:p w14:paraId="3EF5991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6.项目实施周期为合同签订后的100个</w:t>
      </w:r>
      <w:r>
        <w:rPr>
          <w:rFonts w:hint="eastAsia" w:ascii="宋体" w:hAnsi="宋体" w:eastAsia="宋体" w:cs="宋体"/>
          <w:color w:val="auto"/>
          <w:sz w:val="24"/>
          <w:szCs w:val="24"/>
          <w:highlight w:val="none"/>
          <w:lang w:eastAsia="zh-CN"/>
        </w:rPr>
        <w:t>日历日</w:t>
      </w:r>
      <w:r>
        <w:rPr>
          <w:rFonts w:hint="eastAsia" w:ascii="宋体" w:hAnsi="宋体" w:eastAsia="宋体" w:cs="宋体"/>
          <w:color w:val="auto"/>
          <w:sz w:val="24"/>
          <w:szCs w:val="24"/>
          <w:highlight w:val="none"/>
        </w:rPr>
        <w:t>，在项目实施周期内完成项目交付。为保证项目按时交付，</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应在必要时指派多组课程策划、课程拍摄、后期制作团队实施项目。</w:t>
      </w:r>
    </w:p>
    <w:p w14:paraId="0CF7F63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（二）</w:t>
      </w:r>
      <w:r>
        <w:rPr>
          <w:rFonts w:hint="eastAsia" w:ascii="宋体" w:hAnsi="宋体" w:eastAsia="宋体" w:cs="宋体"/>
          <w:b w:val="0"/>
          <w:color w:val="auto"/>
          <w:sz w:val="24"/>
          <w:szCs w:val="24"/>
          <w:highlight w:val="none"/>
        </w:rPr>
        <w:t>制作团队要求</w:t>
      </w:r>
    </w:p>
    <w:p w14:paraId="4C187AE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1.课程策划团队：</w:t>
      </w:r>
      <w:r>
        <w:rPr>
          <w:rFonts w:hint="eastAsia" w:ascii="宋体" w:hAnsi="宋体" w:eastAsia="宋体" w:cs="宋体"/>
          <w:b w:val="0"/>
          <w:color w:val="auto"/>
          <w:sz w:val="24"/>
          <w:szCs w:val="24"/>
          <w:highlight w:val="none"/>
        </w:rPr>
        <w:t>每门课程配备专门的</w:t>
      </w:r>
      <w:r>
        <w:rPr>
          <w:rFonts w:hint="eastAsia" w:ascii="宋体" w:hAnsi="宋体" w:eastAsia="宋体" w:cs="宋体"/>
          <w:b w:val="0"/>
          <w:color w:val="auto"/>
          <w:sz w:val="24"/>
          <w:szCs w:val="24"/>
          <w:highlight w:val="none"/>
          <w:lang w:eastAsia="zh-CN"/>
        </w:rPr>
        <w:t>课程顾问、</w:t>
      </w:r>
      <w:r>
        <w:rPr>
          <w:rFonts w:hint="eastAsia" w:ascii="宋体" w:hAnsi="宋体" w:eastAsia="宋体" w:cs="宋体"/>
          <w:b w:val="0"/>
          <w:color w:val="auto"/>
          <w:sz w:val="24"/>
          <w:szCs w:val="24"/>
          <w:highlight w:val="none"/>
        </w:rPr>
        <w:t>课程编导</w:t>
      </w:r>
      <w:r>
        <w:rPr>
          <w:rFonts w:hint="eastAsia" w:ascii="宋体" w:hAnsi="宋体" w:eastAsia="宋体" w:cs="宋体"/>
          <w:b w:val="0"/>
          <w:color w:val="auto"/>
          <w:sz w:val="24"/>
          <w:szCs w:val="24"/>
          <w:highlight w:val="none"/>
          <w:lang w:eastAsia="zh-CN"/>
        </w:rPr>
        <w:t>等</w:t>
      </w:r>
      <w:r>
        <w:rPr>
          <w:rFonts w:hint="eastAsia" w:ascii="宋体" w:hAnsi="宋体" w:eastAsia="宋体" w:cs="宋体"/>
          <w:b w:val="0"/>
          <w:color w:val="auto"/>
          <w:sz w:val="24"/>
          <w:szCs w:val="24"/>
          <w:highlight w:val="none"/>
        </w:rPr>
        <w:t>服务人员</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并提供驻场服务。</w:t>
      </w:r>
      <w:r>
        <w:rPr>
          <w:rFonts w:hint="eastAsia" w:ascii="宋体" w:hAnsi="宋体" w:eastAsia="宋体" w:cs="宋体"/>
          <w:color w:val="auto"/>
          <w:sz w:val="24"/>
          <w:szCs w:val="24"/>
          <w:highlight w:val="none"/>
        </w:rPr>
        <w:t>为学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课程制作团队提供</w:t>
      </w:r>
      <w:r>
        <w:rPr>
          <w:rFonts w:hint="eastAsia" w:ascii="宋体" w:hAnsi="宋体" w:eastAsia="宋体" w:cs="宋体"/>
          <w:color w:val="auto"/>
          <w:sz w:val="24"/>
          <w:szCs w:val="24"/>
          <w:highlight w:val="none"/>
          <w:lang w:eastAsia="zh-CN"/>
        </w:rPr>
        <w:t>2～3天</w:t>
      </w:r>
      <w:r>
        <w:rPr>
          <w:rFonts w:hint="eastAsia" w:ascii="宋体" w:hAnsi="宋体" w:eastAsia="宋体" w:cs="宋体"/>
          <w:color w:val="auto"/>
          <w:sz w:val="24"/>
          <w:szCs w:val="24"/>
          <w:highlight w:val="none"/>
        </w:rPr>
        <w:t>的培训。任务及要求如下：</w:t>
      </w:r>
    </w:p>
    <w:p w14:paraId="77A42A9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（1）课程顾问：辅助教师策划设计课程，课程知识点设计，协助教师团队分析课程，完成课程标准、课程设计及实施，要求具有丰富的课程制作经验。</w:t>
      </w:r>
    </w:p>
    <w:p w14:paraId="23DBD91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课程编导：与教师深度沟通，协助教师团队对课程知识点进行设计。协助教师团队完成课程的框架设计、资源的组织与运用，收集材料，起草课程脚本、拟定分组镜头大纲；协助教师团队制作与课程相关的数字教学资源，包括讲义、幻灯片、教学大纲、视频、课堂笔记、测验题和讨论主题等。</w:t>
      </w:r>
    </w:p>
    <w:p w14:paraId="723AF5B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课程拍摄团队：具备在线课程制作经验的资深专业摄像师（4-6人）、摄像助理、化妆师（必须全程跟妆，直至拍摄结束）、灯光师、场记员、制景、音频人员等专业摄像团队，提供包括拍摄前及拍摄过程摄像机、机位位置、音频设备、灯管调试管理，教师形象设计、化妆，拍摄进度、时间、内容、景别等内容的记录服务。</w:t>
      </w:r>
      <w:r>
        <w:rPr>
          <w:rFonts w:hint="eastAsia" w:ascii="宋体" w:hAnsi="宋体" w:eastAsia="宋体" w:cs="宋体"/>
          <w:color w:val="auto"/>
          <w:sz w:val="24"/>
          <w:szCs w:val="24"/>
          <w:highlight w:val="none"/>
          <w:lang w:val="en-US" w:eastAsia="zh-CN"/>
        </w:rPr>
        <w:t xml:space="preserve">                                                                                                                                                                                                                                                                                                                       </w:t>
      </w:r>
    </w:p>
    <w:p w14:paraId="2B55D64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3.专业后期制作团队：具备片头制作师、课程精剪师、调色师、特效包装师、二维动画师&amp;三维动画师、视频格式转换、后期修改人员等专业后期制作处理团队。</w:t>
      </w:r>
    </w:p>
    <w:p w14:paraId="2344B10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要求提供制作团队人员名单及职务等信息，课程顾问及课程编导还需提供近一年社保缴纳证明。</w:t>
      </w:r>
    </w:p>
    <w:p w14:paraId="0BFB648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lang w:eastAsia="zh-CN"/>
        </w:rPr>
        <w:t>（三）</w:t>
      </w:r>
      <w:r>
        <w:rPr>
          <w:rFonts w:hint="eastAsia" w:ascii="宋体" w:hAnsi="宋体" w:eastAsia="宋体" w:cs="宋体"/>
          <w:b w:val="0"/>
          <w:color w:val="auto"/>
          <w:sz w:val="24"/>
          <w:szCs w:val="24"/>
          <w:highlight w:val="none"/>
        </w:rPr>
        <w:t>拍摄条件要求</w:t>
      </w:r>
    </w:p>
    <w:p w14:paraId="7AEAA80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val="0"/>
          <w:color w:val="auto"/>
          <w:sz w:val="24"/>
          <w:szCs w:val="24"/>
          <w:highlight w:val="none"/>
        </w:rPr>
        <w:t>应根据实际拍摄需求灵活提供校外摄影棚拍摄、校园拍摄、实训现场拍摄等形式。</w:t>
      </w:r>
    </w:p>
    <w:p w14:paraId="7213558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2.为本项目提供不少于2个西安市内专业摄影棚，</w:t>
      </w:r>
      <w:r>
        <w:rPr>
          <w:rFonts w:hint="eastAsia" w:ascii="宋体" w:hAnsi="宋体" w:eastAsia="宋体" w:cs="宋体"/>
          <w:b w:val="0"/>
          <w:color w:val="auto"/>
          <w:sz w:val="24"/>
          <w:szCs w:val="24"/>
          <w:highlight w:val="none"/>
        </w:rPr>
        <w:t>如需前往拍摄，需为学</w:t>
      </w:r>
      <w:r>
        <w:rPr>
          <w:rFonts w:hint="eastAsia" w:ascii="宋体" w:hAnsi="宋体" w:eastAsia="宋体" w:cs="宋体"/>
          <w:b w:val="0"/>
          <w:color w:val="auto"/>
          <w:sz w:val="24"/>
          <w:szCs w:val="24"/>
          <w:highlight w:val="none"/>
          <w:lang w:val="en-US" w:eastAsia="zh-CN"/>
        </w:rPr>
        <w:t>校</w:t>
      </w:r>
      <w:r>
        <w:rPr>
          <w:rFonts w:hint="eastAsia" w:ascii="宋体" w:hAnsi="宋体" w:eastAsia="宋体" w:cs="宋体"/>
          <w:b w:val="0"/>
          <w:color w:val="auto"/>
          <w:sz w:val="24"/>
          <w:szCs w:val="24"/>
          <w:highlight w:val="none"/>
        </w:rPr>
        <w:t>老师提供接送</w:t>
      </w:r>
      <w:r>
        <w:rPr>
          <w:rFonts w:hint="eastAsia" w:ascii="宋体" w:hAnsi="宋体" w:eastAsia="宋体" w:cs="宋体"/>
          <w:color w:val="auto"/>
          <w:sz w:val="24"/>
          <w:szCs w:val="24"/>
          <w:highlight w:val="none"/>
        </w:rPr>
        <w:t>。</w:t>
      </w:r>
    </w:p>
    <w:p w14:paraId="42CBFB8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b w:val="0"/>
          <w:color w:val="auto"/>
          <w:sz w:val="24"/>
          <w:szCs w:val="24"/>
          <w:highlight w:val="none"/>
        </w:rPr>
        <w:t>如在学</w:t>
      </w:r>
      <w:r>
        <w:rPr>
          <w:rFonts w:hint="eastAsia" w:ascii="宋体" w:hAnsi="宋体" w:eastAsia="宋体" w:cs="宋体"/>
          <w:b w:val="0"/>
          <w:color w:val="auto"/>
          <w:sz w:val="24"/>
          <w:szCs w:val="24"/>
          <w:highlight w:val="none"/>
          <w:lang w:val="en-US" w:eastAsia="zh-CN"/>
        </w:rPr>
        <w:t>校</w:t>
      </w:r>
      <w:r>
        <w:rPr>
          <w:rFonts w:hint="eastAsia" w:ascii="宋体" w:hAnsi="宋体" w:eastAsia="宋体" w:cs="宋体"/>
          <w:b w:val="0"/>
          <w:color w:val="auto"/>
          <w:sz w:val="24"/>
          <w:szCs w:val="24"/>
          <w:highlight w:val="none"/>
        </w:rPr>
        <w:t>内进行拍摄，应提供拍摄需要的所有设备并搭建场景</w:t>
      </w:r>
      <w:r>
        <w:rPr>
          <w:rFonts w:hint="eastAsia" w:ascii="宋体" w:hAnsi="宋体" w:eastAsia="宋体" w:cs="宋体"/>
          <w:color w:val="auto"/>
          <w:sz w:val="24"/>
          <w:szCs w:val="24"/>
          <w:highlight w:val="none"/>
        </w:rPr>
        <w:t>。</w:t>
      </w:r>
    </w:p>
    <w:p w14:paraId="4032CE0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应为拍摄场地配备可供书写板书的电子设备、液晶电脑和中控台等提词器及相关的教学设备、器材；根据课程性质，课程顾问团队与教师一起确定课程最合理拍摄方式，提供不少于6种的拍摄模式可供老师选择，如拍摄基地PPT模式、拍摄基地演示模式、拍摄基地访谈模式、真人动画模式、完全动画模式等。</w:t>
      </w:r>
    </w:p>
    <w:p w14:paraId="2DC4BC1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5.应为拍摄场地配备灯光系统，达到补光要求。</w:t>
      </w:r>
    </w:p>
    <w:p w14:paraId="10DEE9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根据课程内容及教师需求，提供2-3机位拍摄，配备音频设备及专业话筒。</w:t>
      </w:r>
    </w:p>
    <w:p w14:paraId="1344700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应使用广播级全高清摄像机，多台高清摄像机要同型同款，分辨率应达到1920×1080、25fps的要求；剪辑成片采用1920×1080的格式进行输出。</w:t>
      </w:r>
    </w:p>
    <w:p w14:paraId="3100A2B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sz w:val="24"/>
          <w:szCs w:val="24"/>
          <w:highlight w:val="none"/>
          <w:lang w:eastAsia="zh-CN"/>
        </w:rPr>
        <w:t>（四）</w:t>
      </w:r>
      <w:r>
        <w:rPr>
          <w:rFonts w:hint="eastAsia" w:ascii="宋体" w:hAnsi="宋体" w:eastAsia="宋体" w:cs="宋体"/>
          <w:b w:val="0"/>
          <w:color w:val="auto"/>
          <w:sz w:val="24"/>
          <w:szCs w:val="24"/>
          <w:highlight w:val="none"/>
        </w:rPr>
        <w:t>课程设计要求</w:t>
      </w:r>
    </w:p>
    <w:p w14:paraId="6E79CA7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1.课程设计环节</w:t>
      </w:r>
    </w:p>
    <w:p w14:paraId="62D24EA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课程顾问同课程主要负责人根据课程标准制定整体教学设计方案。选题要围绕课程培训要求，确定主题、梳理知识体系、划分并确立慕课知识点；教学设计要围绕选题和知识点教学要求，反映教学思想、课程设计思路和教学特色，突出重点、注重实效；精心设计讲课脚本，讲解精炼、突出重点，根据不同课程类型采取相对应的教学方式，突出学生的主体性以及教与学活动的有机结合；教学过程主线清晰、重点突出，逻辑性强，明了易懂；同一课程系列中，各知识点之间要有整体性，内容容量和时间长短基本一致，技术参数统一；视频文件应采用摄像拍摄等方式完成，正式输出成果必须支持网络运行。</w:t>
      </w:r>
    </w:p>
    <w:p w14:paraId="4C75206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课程顾问和课程编导要辅助教学团队完成混合式的课程设计，主要包括课程背景、课程目标、课程设计原则、学时分配、教学大纲、内容框架、考核方式、教学团队、章、节、知识点、见面课教程等的开发与设计。</w:t>
      </w:r>
    </w:p>
    <w:p w14:paraId="6B6F6B4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（3）以知识点或专题组织基础教学内容，每个教学视频内容为5-15分钟，每门课程按照需要拍摄</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eastAsia="zh-CN"/>
        </w:rPr>
        <w:t>45</w:t>
      </w:r>
      <w:r>
        <w:rPr>
          <w:rFonts w:hint="eastAsia" w:ascii="宋体" w:hAnsi="宋体" w:eastAsia="宋体" w:cs="宋体"/>
          <w:color w:val="auto"/>
          <w:sz w:val="24"/>
          <w:szCs w:val="24"/>
          <w:highlight w:val="none"/>
        </w:rPr>
        <w:t>个教学视频，课程视频总时长</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00-</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00分钟。应根据课程内容，为课程设计不同的展现形式，需结合课程内容用纪录片（现场教学式、现场实操式、影棚录播式等）、情景剧、访谈、虚拟现实等不同的制作手法。</w:t>
      </w:r>
    </w:p>
    <w:p w14:paraId="680C667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（4）课程编导与课程教师按课程章节和知识点进行分镜头设计。收集材料包括：PPT、视频、文档、老师资料以及一些辅助课程的拓展资料等。</w:t>
      </w:r>
    </w:p>
    <w:p w14:paraId="706D3F8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（5）课程编导与课程教师确定拍摄章节和知识点，根据课程内容进行策划制作效果，选择场地、服装搭配，协调拍摄注意事项等问题。</w:t>
      </w:r>
    </w:p>
    <w:p w14:paraId="1C4948E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（6）为提高课程建设和使用的效率，承建方需要提供具备课程建设功能和学习功能的苹果、安卓手机端的APP，让老师们的建课、内容更新、检查修正更便捷。</w:t>
      </w:r>
    </w:p>
    <w:p w14:paraId="10FF029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门课程须制作课程介绍宣传片，宣传片要求：制作1～4分钟的课程介绍，要求能够较充分的反映课程的主要内容概况，集形、声、色、动态于一体，生动直观、易于接受、感染力强、形式新颖、生动有趣、富有新意。</w:t>
      </w:r>
    </w:p>
    <w:p w14:paraId="6D5FFF8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3.制作学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在线课程统一使用的LOGO，要求：长度10～15秒钟，形式新颖，贴合学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校园文化、具有学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元素以及适当的音乐。</w:t>
      </w:r>
    </w:p>
    <w:p w14:paraId="078FB65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sz w:val="24"/>
          <w:szCs w:val="24"/>
          <w:highlight w:val="none"/>
          <w:lang w:eastAsia="zh-CN"/>
        </w:rPr>
        <w:t>（五）</w:t>
      </w:r>
      <w:r>
        <w:rPr>
          <w:rFonts w:hint="eastAsia" w:ascii="宋体" w:hAnsi="宋体" w:eastAsia="宋体" w:cs="宋体"/>
          <w:b w:val="0"/>
          <w:color w:val="auto"/>
          <w:sz w:val="24"/>
          <w:szCs w:val="24"/>
          <w:highlight w:val="none"/>
        </w:rPr>
        <w:t>课程制作技术要求</w:t>
      </w:r>
    </w:p>
    <w:p w14:paraId="5276CE4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1.视频图像要求</w:t>
      </w:r>
    </w:p>
    <w:p w14:paraId="7AC589C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（1）稳定性：全片图像同步性能要稳定，无失步现象，CTL同步控制信号必须连续；图像无抖动跳跃，色彩无突变，编辑点处图像稳定。</w:t>
      </w:r>
    </w:p>
    <w:p w14:paraId="2EA8570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（2）信噪比：图像信噪比不低于55dB，无明显杂波。</w:t>
      </w:r>
    </w:p>
    <w:p w14:paraId="138409A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（3）色调：白平衡正确，无明显偏色，多机拍摄的镜头衔接处无明显色差。</w:t>
      </w:r>
    </w:p>
    <w:p w14:paraId="15F225A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（4）视频电平：视频全讯号幅度为1V p-p，最大不超过1.1Vp-p。其中，消隐电平为0V时，白电平幅度0.7Vp-p，同步信号-0.3V，色同步信号幅度0.3V p-p (以消隐线上下对称)，全片一致。</w:t>
      </w:r>
    </w:p>
    <w:p w14:paraId="6C7BA39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（5）视频画幅宽高比：宽高比为16:9;在同一课程中，各讲应统一画幅的宽高比，不得混用。</w:t>
      </w:r>
    </w:p>
    <w:p w14:paraId="6498E7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（6）视频压缩采用H.264(MPEG-4 Part10：profile=main, level=3.0)编码方式，码流率5000kbps以上，帧率不低于25fps，分辨率应不低于1920×1080，成片格式采用MP4格式，每门课程3分钟片花及15秒片头设计和制作。</w:t>
      </w:r>
    </w:p>
    <w:p w14:paraId="3CFC911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（7）视频类素材每帧图像颜色数不低于256色或灰度级不低于128级。</w:t>
      </w:r>
    </w:p>
    <w:p w14:paraId="031D0DE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b w:val="0"/>
          <w:color w:val="auto"/>
          <w:sz w:val="24"/>
          <w:szCs w:val="24"/>
          <w:highlight w:val="none"/>
        </w:rPr>
        <w:t>为视频制作符合电视节目标准的字幕，字幕格式为独立的SRT格式，在视频播放时可选择字幕显示或不显示。</w:t>
      </w:r>
    </w:p>
    <w:p w14:paraId="2A437E2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2.音频压缩格式及技术参数  </w:t>
      </w:r>
    </w:p>
    <w:p w14:paraId="277AA1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（1）音频压缩采用AAC(MPEG4 Part3)格式。</w:t>
      </w:r>
    </w:p>
    <w:p w14:paraId="756D07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（2）采样率48KHz。</w:t>
      </w:r>
    </w:p>
    <w:p w14:paraId="32B128D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（3）音频码流率256kbps (恒定)。</w:t>
      </w:r>
    </w:p>
    <w:p w14:paraId="759D52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（4）信噪比：音频信噪比不低于48db。</w:t>
      </w:r>
    </w:p>
    <w:p w14:paraId="0B21F2F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（5）声道：中文内容音频信号记录于第1声道，音乐、音效、同期声记录于第2声道，若有其他文字解说记录于第3声道。</w:t>
      </w:r>
    </w:p>
    <w:p w14:paraId="7DDFE11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（6）要求声音和画面同步，无交流声、无明显失真。伴音清晰，解说声、现场声与背景音乐无明显比例失调。</w:t>
      </w:r>
    </w:p>
    <w:p w14:paraId="56B4848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3.脚本制作标准</w:t>
      </w:r>
    </w:p>
    <w:p w14:paraId="561428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（1）课程脚本应满足150字-180字/分钟；</w:t>
      </w:r>
    </w:p>
    <w:p w14:paraId="5AEA6B4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（2）脚本的设计需根据老师的课程设计编排趣味性强、重点难点疑点突出、主题鲜明、深入简出的教学任务，吸引学生学习兴趣、启发独立思考。</w:t>
      </w:r>
    </w:p>
    <w:p w14:paraId="2BADCDB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4.课程交付文件方式要求：</w:t>
      </w:r>
    </w:p>
    <w:p w14:paraId="5C0954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所交付内容应为包含课程介绍、课程视频、教学演示文稿、试题库、素材图片、电子教材及其</w:t>
      </w:r>
      <w:r>
        <w:rPr>
          <w:rFonts w:hint="eastAsia" w:ascii="宋体" w:hAnsi="宋体" w:eastAsia="宋体" w:cs="宋体"/>
          <w:b w:val="0"/>
          <w:color w:val="auto"/>
          <w:sz w:val="24"/>
          <w:szCs w:val="24"/>
          <w:highlight w:val="none"/>
          <w:lang w:val="en-US" w:eastAsia="zh-CN"/>
        </w:rPr>
        <w:t>他</w:t>
      </w:r>
      <w:r>
        <w:rPr>
          <w:rFonts w:hint="eastAsia" w:ascii="宋体" w:hAnsi="宋体" w:eastAsia="宋体" w:cs="宋体"/>
          <w:b w:val="0"/>
          <w:color w:val="auto"/>
          <w:sz w:val="24"/>
          <w:szCs w:val="24"/>
          <w:highlight w:val="none"/>
        </w:rPr>
        <w:t>相关资源等的课程资源包以及可再次编辑的各类原始文件。</w:t>
      </w:r>
      <w:r>
        <w:rPr>
          <w:rFonts w:hint="eastAsia" w:ascii="宋体" w:hAnsi="宋体" w:eastAsia="宋体" w:cs="宋体"/>
          <w:color w:val="auto"/>
          <w:sz w:val="24"/>
          <w:szCs w:val="24"/>
          <w:highlight w:val="none"/>
        </w:rPr>
        <w:t>课程资源包刻录在DVD+R光盘，并对刻录光盘做封口处理。每张DVD+R光盘可以刻录多讲内容，并在盘面上注明光盘中的内容清单（标记学校名称、课程名称、讲次及标题、主讲教师、时长等）；</w:t>
      </w:r>
      <w:r>
        <w:rPr>
          <w:rFonts w:hint="eastAsia" w:ascii="宋体" w:hAnsi="宋体" w:eastAsia="宋体" w:cs="宋体"/>
          <w:b w:val="0"/>
          <w:color w:val="auto"/>
          <w:sz w:val="24"/>
          <w:szCs w:val="24"/>
          <w:highlight w:val="none"/>
        </w:rPr>
        <w:t>同时将每门课程的资源包及各类原始文件分别备份至空间充足的可移动存储设备中交付。交付的资源包保证内容完整可直接投入运行。</w:t>
      </w:r>
    </w:p>
    <w:p w14:paraId="45604B9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（六）知识图谱构建</w:t>
      </w:r>
    </w:p>
    <w:p w14:paraId="17AB39F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1.课程的需求分析</w:t>
      </w:r>
    </w:p>
    <w:p w14:paraId="6C35FAE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供应商按要求对建设课程进行需求分析，结合四新建设、“101计划”等政策要求，结合学校办学定位和专业培养目标，进行课程目标分析、学习者分析、教学模式分析和课程建设的限制性条件分析等。</w:t>
      </w:r>
    </w:p>
    <w:p w14:paraId="6BEC115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（1）支持基于政策和学校定位构建专业目标达成度。可导入专业达成度相关指标体系，与知识图谱对接，生成专业达成度计算结果；</w:t>
      </w:r>
    </w:p>
    <w:p w14:paraId="17B5CD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）支持细化拆解课程目标，基于OBE理念逐项完成课程目标。</w:t>
      </w:r>
    </w:p>
    <w:p w14:paraId="6F84648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zh-CN" w:eastAsia="zh-CN" w:bidi="ar-SA"/>
        </w:rPr>
        <w:t>） 支持完成课程内容体系设计梳理，重构课程。</w:t>
      </w:r>
    </w:p>
    <w:p w14:paraId="0949263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2.课程知识图谱框架设计</w:t>
      </w:r>
    </w:p>
    <w:p w14:paraId="788C58F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 xml:space="preserve">支持搭建知识图谱、问题图谱、目标图谱三层图谱框架，知识图谱模式支持大纲模式、思维导图模式、图谱模式、地图模式4种形态。 </w:t>
      </w:r>
    </w:p>
    <w:p w14:paraId="6776111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目标图谱：支持基于专业培养方案，将课程的能力目标与毕业要求关联，支持设置课程目标并与知识点关联，每门课程设定清晰的课程目标，形成知识点-课程目标-毕业要求关联体系，形成能力画像，包含能力名称、能力详情、关联问题、关联主题、关联知识点等。</w:t>
      </w:r>
    </w:p>
    <w:p w14:paraId="4B7797F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问题图谱：支持指向高阶思维与能力提升的问题图谱创建，从高阶目标出发，通过基本问题、组合问题和疑难问题的设置，通过问题间的逻辑关系，将三层问题体系相关联，通过建设完整的问题体系及关联的问题描述、问题标签，关联知识点，形成基于问题的学习路径，引导学生从知识吸收到应用创造的能力提升。</w:t>
      </w:r>
    </w:p>
    <w:p w14:paraId="485E601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支持对问题进行命名、描述，添加重点、难点等标签，具有问题图谱的探索模式，支持学生自己设计问题探索路径，并与老师设置的问题图谱进行对比。支持根据需要修改问题图谱的概念及内涵，自定义问题图谱下分项名称；</w:t>
      </w:r>
    </w:p>
    <w:p w14:paraId="7A30D89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知识图谱：支持设置课程里的全部知识点及其属性、知识点之间的关联关系，知识点需要覆盖整门课程理论知识体系，用知识点掌握率考察目标达成度。支持通过大纲视图、思维导图视图、地图视图、图谱视图4种形式呈现知识图谱。</w:t>
      </w:r>
    </w:p>
    <w:p w14:paraId="6879A4D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3.知识点梳理</w:t>
      </w:r>
    </w:p>
    <w:p w14:paraId="53E5077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 xml:space="preserve">知识点是知识图谱的基本构成单位，是教学活动中传递教学信息的基本单元。知识图谱的梳理要服务于实际的教学活动，要符合教师的教学思路；知识图谱要符合揭示课程内在的逻辑结构。 </w:t>
      </w:r>
    </w:p>
    <w:p w14:paraId="67510F0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zh-CN" w:eastAsia="zh-CN" w:bidi="ar-SA"/>
        </w:rPr>
        <w:t>知识点的命名规范：支持对知识点进行准确命名。知识点名称要具有具体含义，知识点的命名要标准化、术语化，能够合理概括教学内容。知识点不能太琐碎，一般是词汇。</w:t>
      </w:r>
    </w:p>
    <w:p w14:paraId="32F6493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（2）知识点的认知维度设定</w:t>
      </w:r>
    </w:p>
    <w:p w14:paraId="6D4F6ED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在知识图谱课程中，需要支持对每个知识点的认知维度作出明确标注，制定双向细目表，使教学更精准。知识点的教学目标设定需根据布鲁姆的教学目标结合本校教师、课程和学生特点设定、标注，应包含记忆、理解、应用、分析、评价、创造六个维度，并支持基于认知维度查看学生学习画像。</w:t>
      </w:r>
    </w:p>
    <w:p w14:paraId="0EA3A60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4.课程知识图谱创建</w:t>
      </w:r>
    </w:p>
    <w:p w14:paraId="5DA02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zh-CN" w:eastAsia="zh-CN" w:bidi="ar-SA"/>
        </w:rPr>
        <w:t>支持多种图谱类型：支持按照实际需要创建知识图谱、问题图谱、目标图谱，支持自动生成课程思政图谱；</w:t>
      </w:r>
    </w:p>
    <w:p w14:paraId="0594572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支持多种智能化创建方式：支持智能导入教学大纲、电子教材等，系统智能识别构建生成知识图谱；</w:t>
      </w:r>
    </w:p>
    <w:p w14:paraId="414A3EC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zh-CN" w:eastAsia="zh-CN" w:bidi="ar-SA"/>
        </w:rPr>
        <w:t>支持思维导图导入知识图谱：支持本地导入xmind格式的思维导图文件，自动读取文件数据，生成课程知识图谱；</w:t>
      </w:r>
    </w:p>
    <w:p w14:paraId="3730760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zh-CN" w:eastAsia="zh-CN" w:bidi="ar-SA"/>
        </w:rPr>
        <w:t>支持在线课程章节目录智能导入：可直接导入已有在线课程章节目录，自动生成知识图谱；</w:t>
      </w:r>
    </w:p>
    <w:p w14:paraId="0F95AAD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zh-CN" w:eastAsia="zh-CN" w:bidi="ar-SA"/>
        </w:rPr>
        <w:t xml:space="preserve"> 支持教务课程和网络课程知识图谱互相同步调用；</w:t>
      </w:r>
    </w:p>
    <w:p w14:paraId="21E56BB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zh-CN" w:eastAsia="zh-CN" w:bidi="ar-SA"/>
        </w:rPr>
        <w:t>支持手动添加、模板导入等方式手动构建知识图谱；</w:t>
      </w:r>
    </w:p>
    <w:p w14:paraId="6A72357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zh-CN" w:eastAsia="zh-CN" w:bidi="ar-SA"/>
        </w:rPr>
        <w:t>支持克隆或继承前课程的知识图谱以及相关关系，同时支持继承图谱自定义样式和布局。</w:t>
      </w:r>
    </w:p>
    <w:p w14:paraId="2E567C0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zh-CN" w:eastAsia="zh-CN" w:bidi="ar-SA"/>
        </w:rPr>
        <w:t xml:space="preserve"> 支持自定义创建图谱知识点：支持在已有的知识图谱大纲模式下任意位置，手动创建空白知识点；</w:t>
      </w:r>
    </w:p>
    <w:p w14:paraId="26A8A76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zh-CN" w:eastAsia="zh-CN" w:bidi="ar-SA"/>
        </w:rPr>
        <w:t>支持自定义移动重构图谱顺序：支持大纲模式下移动图谱顺序，调整结构；支持图谱模式下，拖拽移动知识点顺序，调整展示结构；</w:t>
      </w:r>
    </w:p>
    <w:p w14:paraId="1C31D09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zh-CN" w:eastAsia="zh-CN" w:bidi="ar-SA"/>
        </w:rPr>
        <w:t xml:space="preserve"> 支持自定义图谱知识点样式：支持用户修改图谱知识点的名称、颜色（需要提供颜色的色盘）、形状（包括圆形、圆角矩形、菱形）；支持按知识点单元、掌握率、完成率等选择配色，支持拖拽摆放位置；</w:t>
      </w:r>
    </w:p>
    <w:p w14:paraId="14893AA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11）</w:t>
      </w:r>
      <w:r>
        <w:rPr>
          <w:rFonts w:hint="eastAsia" w:ascii="宋体" w:hAnsi="宋体" w:eastAsia="宋体" w:cs="宋体"/>
          <w:color w:val="auto"/>
          <w:kern w:val="2"/>
          <w:sz w:val="24"/>
          <w:szCs w:val="24"/>
          <w:highlight w:val="none"/>
          <w:lang w:val="zh-CN" w:eastAsia="zh-CN" w:bidi="ar-SA"/>
        </w:rPr>
        <w:t>支持设置知识点逻辑关系：支持自定义设置知识点之间的关系，知识点关系需要包含父子、前后置、关联等关系；</w:t>
      </w:r>
    </w:p>
    <w:p w14:paraId="2906412D">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5.知识图谱资源建设</w:t>
      </w:r>
    </w:p>
    <w:p w14:paraId="1C00852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zh-CN" w:eastAsia="zh-CN" w:bidi="ar-SA"/>
        </w:rPr>
        <w:t>支持智能化推送教材教参、视频等教学资源。支持在线查找并添加相关的学术视频、教材教参、期刊文献资料，推荐给学生直接在线阅读和观看。</w:t>
      </w:r>
    </w:p>
    <w:p w14:paraId="0DF9409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支持课程题库/作业库/试卷库建设。题库支持excel及word格式的模版批量导入或逐个添加，支持对已添加的试题进行修改、删除、查询、排序、浏览等功能，题型包括单选、多选、判断、简答、填空等，题目可进行分值分配、难度系数、适用层级等设置。</w:t>
      </w:r>
    </w:p>
    <w:p w14:paraId="65B38CA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（3）支持课程资源标记为知识点，可实现知识图谱的双向互通链接使用。支持从知识图谱中点击各知识点，选择匹配的资源；支持从课程资料、在线课程章节中点击各资源，关联知识点。</w:t>
      </w:r>
    </w:p>
    <w:p w14:paraId="7ECA443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（4）支持系统智能识别视频内容，在视频时间点上自动打知识点标签，教师可以编辑修改；视频播放时学生可以定位到时间点观看对应知识点的视频讲解；</w:t>
      </w:r>
    </w:p>
    <w:p w14:paraId="6EFBE1B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（5）支持课程章节中的视频手动进行知识点标记，视频若涉及多个知识点，可以标记知识点的具体时间点；</w:t>
      </w:r>
    </w:p>
    <w:p w14:paraId="2090636D">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（6）支持引用图书、期刊等资源到知识点下；支持教师将自己建设的资源添加到知识点；</w:t>
      </w:r>
    </w:p>
    <w:p w14:paraId="7B265F6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6.课程知识图谱管理</w:t>
      </w:r>
    </w:p>
    <w:p w14:paraId="47D357A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（1）支持基于虚拟教研室协同创建管理知识图谱：支持跨学校、学</w:t>
      </w:r>
      <w:r>
        <w:rPr>
          <w:rFonts w:hint="eastAsia" w:ascii="宋体" w:hAnsi="宋体" w:eastAsia="宋体" w:cs="宋体"/>
          <w:color w:val="auto"/>
          <w:kern w:val="2"/>
          <w:sz w:val="24"/>
          <w:szCs w:val="24"/>
          <w:highlight w:val="none"/>
          <w:lang w:val="en-US" w:eastAsia="zh-CN" w:bidi="ar-SA"/>
        </w:rPr>
        <w:t>校</w:t>
      </w:r>
      <w:r>
        <w:rPr>
          <w:rFonts w:hint="eastAsia" w:ascii="宋体" w:hAnsi="宋体" w:eastAsia="宋体" w:cs="宋体"/>
          <w:color w:val="auto"/>
          <w:kern w:val="2"/>
          <w:sz w:val="24"/>
          <w:szCs w:val="24"/>
          <w:highlight w:val="none"/>
          <w:lang w:val="zh-CN" w:eastAsia="zh-CN" w:bidi="ar-SA"/>
        </w:rPr>
        <w:t>基于虚拟教研室创建知识图谱，教研室主任可设置团队成员权限，授权团队成员管理、编辑、应用图谱权限；</w:t>
      </w:r>
    </w:p>
    <w:p w14:paraId="14AD4B5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支持虚拟教研团队管理：对于当前知识图谱管理员可修改、删除团队成员的图谱权限；</w:t>
      </w:r>
    </w:p>
    <w:p w14:paraId="7481414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zh-CN" w:eastAsia="zh-CN" w:bidi="ar-SA"/>
        </w:rPr>
        <w:t xml:space="preserve"> 支持协同创建知识图谱：支持多人在线协同创建知识图谱；</w:t>
      </w:r>
    </w:p>
    <w:p w14:paraId="3C8A948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 支持知识图谱历史记录：支持团队成员按时间维度查看团队历史编辑记录，包括主题、知识点、知识关系的增加、修改、删除；</w:t>
      </w:r>
    </w:p>
    <w:p w14:paraId="60AE419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7.课程知识图谱展示</w:t>
      </w:r>
    </w:p>
    <w:p w14:paraId="5605385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1</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 xml:space="preserve"> 支持知识图谱全局展示：支持学科、专业、课程类型的知识图谱的全局展示。可根据知识单元、知识点层次、掌握率完成率等设置图谱配色方案；</w:t>
      </w:r>
    </w:p>
    <w:p w14:paraId="06F8061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支持知识图谱自适应调节：通过滚动鼠标，自动调整图谱大小和比例，并自适应显示效果，方便用户查看知识图谱;</w:t>
      </w:r>
    </w:p>
    <w:p w14:paraId="0C6384F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zh-CN" w:eastAsia="zh-CN" w:bidi="ar-SA"/>
        </w:rPr>
        <w:t xml:space="preserve"> 支持知识图谱基础数据统计：自动统计并显示当前知识图谱累计建设的知识点数量、学习资源数量和试题数量等数据;</w:t>
      </w:r>
    </w:p>
    <w:p w14:paraId="1F9DA22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zh-CN" w:eastAsia="zh-CN" w:bidi="ar-SA"/>
        </w:rPr>
        <w:t xml:space="preserve"> 支持知识图谱按关系显示：支持图谱按关系显示，点击子级、后置、关联，只显示相关图谱，方便用户针对性学习;</w:t>
      </w:r>
    </w:p>
    <w:p w14:paraId="2C1E4CF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zh-CN" w:eastAsia="zh-CN" w:bidi="ar-SA"/>
        </w:rPr>
        <w:t>支持按照知识点的关系属性（父子、关联、前后置关系）联动筛选；</w:t>
      </w:r>
    </w:p>
    <w:p w14:paraId="53BD1E8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zh-CN" w:eastAsia="zh-CN" w:bidi="ar-SA"/>
        </w:rPr>
        <w:t>支持按照知识点的标签、层次、认知维度、分类及关联关系等多个维度进行知识点的筛选查看；</w:t>
      </w:r>
    </w:p>
    <w:p w14:paraId="02C68BD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（七）AI工作台教学应用</w:t>
      </w:r>
    </w:p>
    <w:p w14:paraId="1229E27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1.AI教案</w:t>
      </w:r>
    </w:p>
    <w:p w14:paraId="25CC2A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(1)教师输入教学材料或关键词，AI自动生成教案，并支持教师借助写作助手进行再次编辑。</w:t>
      </w:r>
    </w:p>
    <w:p w14:paraId="692B82B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(2)支持教师补充所教层次、适合的教学风格，形成更加具有个性化的教案。</w:t>
      </w:r>
    </w:p>
    <w:p w14:paraId="2E7F908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2.AI 课件</w:t>
      </w:r>
    </w:p>
    <w:p w14:paraId="1171F1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zh-CN" w:eastAsia="zh-CN" w:bidi="ar-SA"/>
        </w:rPr>
        <w:t>通过输入PPT内容要求，AI智能生成PPT大纲</w:t>
      </w:r>
    </w:p>
    <w:p w14:paraId="562139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）支持AI自动根据大纲生成PPT，教师可以进行在线编辑或下载</w:t>
      </w:r>
    </w:p>
    <w:p w14:paraId="0986F7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zh-CN" w:eastAsia="zh-CN" w:bidi="ar-SA"/>
        </w:rPr>
        <w:t>）支持选择PPT模板场景、设计风格、主题颜色，生成个性化PPT</w:t>
      </w:r>
    </w:p>
    <w:p w14:paraId="4823535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3.AI写作</w:t>
      </w:r>
    </w:p>
    <w:p w14:paraId="45552B6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1）老师可以向AI写作助手提出需求，点击“生成”，写作助手会根据要求智能生成相应的内容，老师点击保存可以将内容输出到章节编辑页面上</w:t>
      </w:r>
    </w:p>
    <w:p w14:paraId="72265E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2）老师可进行文本修改、删减或排版</w:t>
      </w:r>
    </w:p>
    <w:p w14:paraId="796C3EC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AI出题</w:t>
      </w:r>
    </w:p>
    <w:p w14:paraId="10CE047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1）支持教师通过输入相关的教学材料和知识点，AI系统可以自动生成对应的题目并且不限制教师使用次数。</w:t>
      </w:r>
    </w:p>
    <w:p w14:paraId="5D69913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2）支持多种题型，题型包括选择题、填空题、简答题等，以便满足不同类型考题的需求</w:t>
      </w:r>
    </w:p>
    <w:p w14:paraId="5636C18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zh-CN" w:eastAsia="zh-CN" w:bidi="ar-SA"/>
        </w:rPr>
        <w:t>3）教师可以根据课程内容和学生水平，将生成的题目添加到题库。并随时使用这些题目进行测验、考试或者课堂练习。</w:t>
      </w:r>
    </w:p>
    <w:p w14:paraId="6C05415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5.AI批阅</w:t>
      </w:r>
    </w:p>
    <w:p w14:paraId="4B4A190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 使用先进的 AI 技术，能够批阅学生的主观题、论述题、小论文等</w:t>
      </w:r>
    </w:p>
    <w:p w14:paraId="5AD3E97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 对参考答案和学生答案进行分词处理和语法分析，以便计算词语和语句的相似度，从而量化学生答案与标准答案的匹配程度</w:t>
      </w:r>
    </w:p>
    <w:p w14:paraId="624AEA6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（3）支持利用语义相似度计算结果给出学生相应的得分，通过深度学习等技术来模拟人类对语义相似度的判断，从而更准确地评估学生的答案质量</w:t>
      </w:r>
    </w:p>
    <w:p w14:paraId="33A46E0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zh-CN" w:eastAsia="zh-CN" w:bidi="ar-SA"/>
        </w:rPr>
        <w:t>）支持智能批阅程序题</w:t>
      </w:r>
    </w:p>
    <w:p w14:paraId="7C326C9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w:t>
      </w: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zh-CN" w:eastAsia="zh-CN" w:bidi="ar-SA"/>
        </w:rPr>
        <w:t>）支持智能批阅口语题</w:t>
      </w:r>
    </w:p>
    <w:p w14:paraId="3A052AC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6.AI学情分析</w:t>
      </w:r>
    </w:p>
    <w:p w14:paraId="5B501B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（1）支持智能呈现班级整体知识点分析数据，提供个性化学习路径。</w:t>
      </w:r>
    </w:p>
    <w:p w14:paraId="657F4D8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（2）可查看知识点平均完成率、平均掌握率、完成率分布和掌握率分布等。支持按知识点查看每个知识点的关联学习资源数、平均完成率、平均掌握率、课程资料数、课程资料人均阅读情况等。</w:t>
      </w:r>
    </w:p>
    <w:p w14:paraId="641BDE3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7.个性化学习路径推荐</w:t>
      </w:r>
    </w:p>
    <w:p w14:paraId="4335856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（1）为学生智能化推荐个性化学习路径，呈现路径中各知识点掌握率</w:t>
      </w:r>
    </w:p>
    <w:p w14:paraId="0F7B91C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（2）基于知识点的学习，智能化分析学生学习进度与掌握情况，掌握率高于90%的知识点在学习路径上不再显示</w:t>
      </w:r>
    </w:p>
    <w:p w14:paraId="2F6EFA0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（3）基于错题智能推荐薄弱知识点</w:t>
      </w:r>
    </w:p>
    <w:p w14:paraId="3AE9FBD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8.智能推荐资源</w:t>
      </w:r>
    </w:p>
    <w:p w14:paraId="1227413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根据需求，可通过问答方式由AI助教提供智能化资源推荐，通过关键词识别，智能化挖掘呈现相关联学术资源，包含期刊、图书等内容，助力学生复习相关知识、扩展学习的深度与广度。</w:t>
      </w:r>
    </w:p>
    <w:p w14:paraId="5659C43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9.文献阅读</w:t>
      </w:r>
    </w:p>
    <w:p w14:paraId="54BA7F8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(1)根据原文内容支持随机生成并显示默认问题，可通过点击默认问题或自定义输入问题查看回复，平台通过匹配向量之间的相似性，支持文字、表格等多种输出格式；</w:t>
      </w:r>
    </w:p>
    <w:p w14:paraId="5320122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(2)支持点击词云查看人物、机构、地名在原文出现次数、页码以及原文信息，快速了解原文的重点和主题；</w:t>
      </w:r>
    </w:p>
    <w:p w14:paraId="0212FA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(3)通过对于原文的分析，支持按照章节提取关键信息，生成摘要列表；</w:t>
      </w:r>
    </w:p>
    <w:p w14:paraId="0EC4F08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(4)通过对原文的分析，支持按照章节查看系统生成的相关试题，试题可以章节为维度进行筛选，生成的试题均为本章节相关内容试题；</w:t>
      </w:r>
    </w:p>
    <w:p w14:paraId="15CDF40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10.视频理解</w:t>
      </w:r>
    </w:p>
    <w:p w14:paraId="60F9879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(1)支持自定义上传视频，AI智能分析生成“智能速览”，总结视频摘要、片段摘要。</w:t>
      </w:r>
    </w:p>
    <w:p w14:paraId="7782F69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(2)智能分析视频中的发言人，按发言人统计发言百分比、发言段落，以时间轴形式展示。</w:t>
      </w:r>
    </w:p>
    <w:p w14:paraId="47F86DE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(3)支持点击词云查看实体出现次数、时间段以及视频文本信息，快速了解视频的重点和主题；</w:t>
      </w:r>
    </w:p>
    <w:p w14:paraId="7D8EF6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(4)通过对于视频的片段分析将复杂的概念和关系可视化，支持按照脑图或markdown格式切换查看，帮助知识整理和信息归纳；</w:t>
      </w:r>
    </w:p>
    <w:p w14:paraId="12D9217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(5)通过对视频片段的分析，支持按照片段查看系统生成的相关试题，生成的试题均为本视频相关内容试题。</w:t>
      </w:r>
    </w:p>
    <w:p w14:paraId="0255D4D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11.章节内容智能审查与文本纠错</w:t>
      </w:r>
    </w:p>
    <w:p w14:paraId="3515AAF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支持实现文字自动校对，包括错字、漏字、缺字、多字、语法、错误、语义错误等都可以实现自动校对标注。</w:t>
      </w:r>
    </w:p>
    <w:p w14:paraId="1EFCD64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12.作业智能查重</w:t>
      </w:r>
    </w:p>
    <w:p w14:paraId="7F203E3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(1)比对基础库中的数据包含图书、报纸、期刊、网络文档等多种文献类型；</w:t>
      </w:r>
    </w:p>
    <w:p w14:paraId="13896A5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(2)支持选择不同的比对库，包含全部全文比对库、图书全文比对库、非图书全文比对库、法律法规比对库、自建库选择进行检测。</w:t>
      </w:r>
    </w:p>
    <w:p w14:paraId="1F5A5AD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(3)每万字的检测需在数秒内完成，并在10分钟内提供检测报告；</w:t>
      </w:r>
    </w:p>
    <w:p w14:paraId="09AE398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(4)支持30M以上的TXT、DOC、PDF、DOCX、ZIP、RAR多种格式以及非加密文档的上传检测；支持ZIP、RAR压缩包形式上传（大小需在50M以内）；</w:t>
      </w:r>
    </w:p>
    <w:p w14:paraId="31EC826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(5)支持点击选择文件上传文档或者将50字以上、1万字以下的文本直接粘贴到文本框中进行检测；</w:t>
      </w:r>
    </w:p>
    <w:p w14:paraId="6081748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(6)支持根据上传的检测文献生成检测报告，支持查看在线报告，也支持批量下载全部检测报告、批量下载PDF报告；</w:t>
      </w:r>
    </w:p>
    <w:p w14:paraId="0F5D56E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(7)用户可下载PDF报告（简</w:t>
      </w:r>
      <w:r>
        <w:rPr>
          <w:rFonts w:hint="eastAsia" w:ascii="宋体" w:hAnsi="宋体" w:eastAsia="宋体" w:cs="宋体"/>
          <w:color w:val="auto"/>
          <w:kern w:val="2"/>
          <w:sz w:val="24"/>
          <w:szCs w:val="24"/>
          <w:highlight w:val="none"/>
          <w:lang w:val="en-US" w:eastAsia="zh-CN" w:bidi="ar-SA"/>
        </w:rPr>
        <w:t>洁</w:t>
      </w:r>
      <w:r>
        <w:rPr>
          <w:rFonts w:hint="eastAsia" w:ascii="宋体" w:hAnsi="宋体" w:eastAsia="宋体" w:cs="宋体"/>
          <w:color w:val="auto"/>
          <w:kern w:val="2"/>
          <w:sz w:val="24"/>
          <w:szCs w:val="24"/>
          <w:highlight w:val="none"/>
          <w:lang w:val="zh-CN" w:eastAsia="zh-CN" w:bidi="ar-SA"/>
        </w:rPr>
        <w:t>报告、全文检测报告）和HTML报告（综合评估、相似片段、全文对比）进行查看和打印，（PDF报告和HTML报告均提供相似度检测专用印章）；</w:t>
      </w:r>
    </w:p>
    <w:p w14:paraId="7BFB47E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(8)支持查看最密集相似段、密集相似段、非密集相似段；</w:t>
      </w:r>
    </w:p>
    <w:p w14:paraId="32C34DD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zh-CN" w:eastAsia="zh-CN" w:bidi="ar-SA"/>
        </w:rPr>
        <w:t>支持按文献类型查看典型相似图书列表、典型相似报纸列表、典型相似期刊列表、典型相似网络文档列表，支持在检测结果中，单独查看两两文献的比对结果。</w:t>
      </w:r>
    </w:p>
    <w:p w14:paraId="041E460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color w:val="auto"/>
          <w:sz w:val="24"/>
          <w:szCs w:val="24"/>
          <w:highlight w:val="none"/>
          <w:lang w:val="zh-CN" w:eastAsia="zh-CN"/>
        </w:rPr>
      </w:pPr>
      <w:r>
        <w:rPr>
          <w:rFonts w:hint="eastAsia" w:ascii="宋体" w:hAnsi="宋体" w:eastAsia="宋体" w:cs="宋体"/>
          <w:b w:val="0"/>
          <w:color w:val="auto"/>
          <w:sz w:val="24"/>
          <w:szCs w:val="24"/>
          <w:highlight w:val="none"/>
          <w:lang w:val="en-US" w:eastAsia="zh-CN"/>
        </w:rPr>
        <w:t>（八）</w:t>
      </w:r>
      <w:r>
        <w:rPr>
          <w:rFonts w:hint="eastAsia" w:ascii="宋体" w:hAnsi="宋体" w:eastAsia="宋体" w:cs="宋体"/>
          <w:b w:val="0"/>
          <w:color w:val="auto"/>
          <w:sz w:val="24"/>
          <w:szCs w:val="24"/>
          <w:highlight w:val="none"/>
          <w:lang w:val="zh-CN" w:eastAsia="zh-CN"/>
        </w:rPr>
        <w:t>售后服务要求</w:t>
      </w:r>
    </w:p>
    <w:p w14:paraId="70FB230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1.提供不少于1年的无偿修改服务，根据课程在使用过程中反馈的意见和建议，配合学</w:t>
      </w:r>
      <w:r>
        <w:rPr>
          <w:rFonts w:hint="eastAsia" w:ascii="宋体" w:hAnsi="宋体" w:eastAsia="宋体" w:cs="宋体"/>
          <w:color w:val="auto"/>
          <w:kern w:val="2"/>
          <w:sz w:val="24"/>
          <w:szCs w:val="24"/>
          <w:highlight w:val="none"/>
          <w:lang w:val="en-US" w:eastAsia="zh-CN" w:bidi="ar-SA"/>
        </w:rPr>
        <w:t>校</w:t>
      </w:r>
      <w:r>
        <w:rPr>
          <w:rFonts w:hint="eastAsia" w:ascii="宋体" w:hAnsi="宋体" w:eastAsia="宋体" w:cs="宋体"/>
          <w:color w:val="auto"/>
          <w:kern w:val="2"/>
          <w:sz w:val="24"/>
          <w:szCs w:val="24"/>
          <w:highlight w:val="none"/>
          <w:lang w:val="zh-CN" w:eastAsia="zh-CN" w:bidi="ar-SA"/>
        </w:rPr>
        <w:t>及时进行内容的修改与更新。</w:t>
      </w:r>
    </w:p>
    <w:p w14:paraId="104F41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2.提供不少于3年的指导服务，协助和指导教师在学</w:t>
      </w:r>
      <w:r>
        <w:rPr>
          <w:rFonts w:hint="eastAsia" w:ascii="宋体" w:hAnsi="宋体" w:eastAsia="宋体" w:cs="宋体"/>
          <w:color w:val="auto"/>
          <w:kern w:val="2"/>
          <w:sz w:val="24"/>
          <w:szCs w:val="24"/>
          <w:highlight w:val="none"/>
          <w:lang w:val="en-US" w:eastAsia="zh-CN" w:bidi="ar-SA"/>
        </w:rPr>
        <w:t>校</w:t>
      </w:r>
      <w:r>
        <w:rPr>
          <w:rFonts w:hint="eastAsia" w:ascii="宋体" w:hAnsi="宋体" w:eastAsia="宋体" w:cs="宋体"/>
          <w:color w:val="auto"/>
          <w:kern w:val="2"/>
          <w:sz w:val="24"/>
          <w:szCs w:val="24"/>
          <w:highlight w:val="none"/>
          <w:lang w:val="zh-CN" w:eastAsia="zh-CN" w:bidi="ar-SA"/>
        </w:rPr>
        <w:t>本地部署的在线课程平台及国家认定的精品在线开放课程平台（如爱课程、智慧树、</w:t>
      </w:r>
      <w:r>
        <w:rPr>
          <w:rFonts w:hint="eastAsia" w:ascii="宋体" w:hAnsi="宋体" w:cs="宋体"/>
          <w:color w:val="auto"/>
          <w:kern w:val="2"/>
          <w:sz w:val="24"/>
          <w:szCs w:val="24"/>
          <w:highlight w:val="none"/>
          <w:lang w:val="zh-CN" w:eastAsia="zh-CN" w:bidi="ar-SA"/>
        </w:rPr>
        <w:t>学银在线</w:t>
      </w:r>
      <w:r>
        <w:rPr>
          <w:rFonts w:hint="eastAsia" w:ascii="宋体" w:hAnsi="宋体" w:eastAsia="宋体" w:cs="宋体"/>
          <w:color w:val="auto"/>
          <w:kern w:val="2"/>
          <w:sz w:val="24"/>
          <w:szCs w:val="24"/>
          <w:highlight w:val="none"/>
          <w:lang w:val="zh-CN" w:eastAsia="zh-CN" w:bidi="ar-SA"/>
        </w:rPr>
        <w:t>、学堂在线等）认证上线。</w:t>
      </w:r>
    </w:p>
    <w:p w14:paraId="0CD6331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zh-CN" w:eastAsia="zh-CN" w:bidi="ar-SA"/>
        </w:rPr>
        <w:t>3.针对学</w:t>
      </w:r>
      <w:r>
        <w:rPr>
          <w:rFonts w:hint="eastAsia" w:ascii="宋体" w:hAnsi="宋体" w:eastAsia="宋体" w:cs="宋体"/>
          <w:color w:val="auto"/>
          <w:kern w:val="2"/>
          <w:sz w:val="24"/>
          <w:szCs w:val="24"/>
          <w:highlight w:val="none"/>
          <w:lang w:val="en-US" w:eastAsia="zh-CN" w:bidi="ar-SA"/>
        </w:rPr>
        <w:t>校</w:t>
      </w:r>
      <w:r>
        <w:rPr>
          <w:rFonts w:hint="eastAsia" w:ascii="宋体" w:hAnsi="宋体" w:eastAsia="宋体" w:cs="宋体"/>
          <w:color w:val="auto"/>
          <w:kern w:val="2"/>
          <w:sz w:val="24"/>
          <w:szCs w:val="24"/>
          <w:highlight w:val="none"/>
          <w:lang w:val="zh-CN" w:eastAsia="zh-CN" w:bidi="ar-SA"/>
        </w:rPr>
        <w:t>提出的问题，4小时内响应，24小时解决问题。</w:t>
      </w:r>
    </w:p>
    <w:p w14:paraId="439F9BC3">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八</w:t>
      </w:r>
      <w:r>
        <w:rPr>
          <w:rFonts w:hint="eastAsia" w:ascii="宋体" w:hAnsi="宋体" w:cs="宋体"/>
          <w:b/>
          <w:bCs/>
          <w:color w:val="auto"/>
          <w:sz w:val="24"/>
          <w:szCs w:val="24"/>
          <w:highlight w:val="none"/>
        </w:rPr>
        <w:t>、保密条款</w:t>
      </w:r>
    </w:p>
    <w:p w14:paraId="16D2D22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双方承诺，除非法律另有规定或双方一致同意，任何一方不得将本协议的内容向第三方透露，否则，应向对方承担相应的违约责任。</w:t>
      </w:r>
    </w:p>
    <w:p w14:paraId="4C223D4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49975F5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协议中，保密资料是指任何一方所有的与披露方现有的潜在的业务、运营或财务状况直接或间接有关的书面、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022E8CD">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九</w:t>
      </w:r>
      <w:r>
        <w:rPr>
          <w:rFonts w:hint="eastAsia" w:ascii="宋体" w:hAnsi="宋体" w:cs="宋体"/>
          <w:b/>
          <w:bCs/>
          <w:color w:val="auto"/>
          <w:sz w:val="24"/>
          <w:szCs w:val="24"/>
          <w:highlight w:val="none"/>
        </w:rPr>
        <w:t>、违约责任</w:t>
      </w:r>
    </w:p>
    <w:p w14:paraId="0073A940">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甲乙双方必须遵守本合同并执行合同中的各项规定，保证本合同的正常履行。</w:t>
      </w:r>
    </w:p>
    <w:p w14:paraId="333F5452">
      <w:pPr>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9A56522">
      <w:pPr>
        <w:autoSpaceDE w:val="0"/>
        <w:autoSpaceDN w:val="0"/>
        <w:spacing w:line="360" w:lineRule="auto"/>
        <w:ind w:firstLine="0" w:firstLineChars="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十、争议解决</w:t>
      </w:r>
    </w:p>
    <w:p w14:paraId="1993676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1967BF46">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一</w:t>
      </w:r>
      <w:r>
        <w:rPr>
          <w:rFonts w:hint="eastAsia" w:ascii="宋体" w:hAnsi="宋体" w:cs="宋体"/>
          <w:b/>
          <w:bCs/>
          <w:color w:val="auto"/>
          <w:sz w:val="24"/>
          <w:szCs w:val="24"/>
          <w:highlight w:val="none"/>
        </w:rPr>
        <w:t>、协议期限</w:t>
      </w:r>
    </w:p>
    <w:p w14:paraId="6F5D126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pacing w:val="10"/>
          <w:sz w:val="24"/>
          <w:szCs w:val="24"/>
          <w:highlight w:val="none"/>
        </w:rPr>
        <w:t>合同经</w:t>
      </w:r>
      <w:r>
        <w:rPr>
          <w:rFonts w:hint="eastAsia" w:ascii="宋体" w:hAnsi="宋体" w:cs="宋体"/>
          <w:color w:val="auto"/>
          <w:sz w:val="24"/>
          <w:szCs w:val="24"/>
          <w:highlight w:val="none"/>
        </w:rPr>
        <w:t>发包</w:t>
      </w:r>
      <w:r>
        <w:rPr>
          <w:rFonts w:hint="eastAsia" w:ascii="宋体" w:hAnsi="宋体" w:cs="宋体"/>
          <w:color w:val="auto"/>
          <w:spacing w:val="10"/>
          <w:sz w:val="24"/>
          <w:szCs w:val="24"/>
          <w:highlight w:val="none"/>
        </w:rPr>
        <w:t>方和</w:t>
      </w:r>
      <w:r>
        <w:rPr>
          <w:rFonts w:hint="eastAsia" w:ascii="宋体" w:hAnsi="宋体" w:cs="宋体"/>
          <w:color w:val="auto"/>
          <w:sz w:val="24"/>
          <w:szCs w:val="24"/>
          <w:highlight w:val="none"/>
        </w:rPr>
        <w:t>承包</w:t>
      </w:r>
      <w:r>
        <w:rPr>
          <w:rFonts w:hint="eastAsia" w:ascii="宋体" w:hAnsi="宋体" w:cs="宋体"/>
          <w:color w:val="auto"/>
          <w:spacing w:val="10"/>
          <w:sz w:val="24"/>
          <w:szCs w:val="24"/>
          <w:highlight w:val="none"/>
        </w:rPr>
        <w:t>方双方法定代表人或者代表人签字并加盖公章(或合同章)即行生效。</w:t>
      </w:r>
    </w:p>
    <w:p w14:paraId="0AC1351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2、合同签订之日起双方即直接产生权利与义务的关系，合同执行过程中出现的问题应按照合同法等有关规定办理。</w:t>
      </w:r>
    </w:p>
    <w:p w14:paraId="63996ED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3、合同在执行过程中出现的未尽事宜，双方在不违背本合同和</w:t>
      </w:r>
      <w:r>
        <w:rPr>
          <w:rFonts w:hint="eastAsia" w:ascii="宋体" w:hAnsi="宋体" w:cs="宋体"/>
          <w:color w:val="auto"/>
          <w:sz w:val="24"/>
          <w:szCs w:val="24"/>
          <w:highlight w:val="none"/>
          <w:lang w:eastAsia="zh-CN"/>
        </w:rPr>
        <w:t>磋商</w:t>
      </w:r>
      <w:r>
        <w:rPr>
          <w:rFonts w:hint="eastAsia" w:ascii="宋体" w:hAnsi="宋体" w:cs="宋体"/>
          <w:color w:val="auto"/>
          <w:sz w:val="24"/>
          <w:szCs w:val="24"/>
          <w:highlight w:val="none"/>
        </w:rPr>
        <w:t>文件的原则下协商解决，协商结果以“纪要”形式盖章记录在案，作为本合同的附件，与本合同具有同等效力。</w:t>
      </w:r>
    </w:p>
    <w:p w14:paraId="3044915B">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二</w:t>
      </w:r>
      <w:r>
        <w:rPr>
          <w:rFonts w:hint="eastAsia" w:ascii="宋体" w:hAnsi="宋体" w:cs="宋体"/>
          <w:b/>
          <w:bCs/>
          <w:color w:val="auto"/>
          <w:sz w:val="24"/>
          <w:szCs w:val="24"/>
          <w:highlight w:val="none"/>
        </w:rPr>
        <w:t>、不可抗力</w:t>
      </w:r>
    </w:p>
    <w:p w14:paraId="4D0AECC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本合同项下的“不可抗力”是指不能预见，不能避免且不能克服的客观情况，使得本合同一方当事人无法履行合同义务，不可抗力事由发生三日内，不能履行合同方应当向向对方发出书面通知。不可抗力之政治因素及自然灾害：如战争、严重火灾、水灾、风灾和地震属于不可抗力的事故。</w:t>
      </w:r>
    </w:p>
    <w:p w14:paraId="4861074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EF61A2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3、如不可抗力时间延续120天以上的，各方通过协商达成在合理的时间内继续履行合同，或部分履行合同，或终止合同的履行。</w:t>
      </w:r>
    </w:p>
    <w:p w14:paraId="5E70AD4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4、一方迟延履行后发生不可抗力的，不能免除责任。</w:t>
      </w:r>
    </w:p>
    <w:p w14:paraId="11587CF9">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三</w:t>
      </w:r>
      <w:r>
        <w:rPr>
          <w:rFonts w:hint="eastAsia" w:ascii="宋体" w:hAnsi="宋体" w:cs="宋体"/>
          <w:b/>
          <w:bCs/>
          <w:color w:val="auto"/>
          <w:sz w:val="24"/>
          <w:szCs w:val="24"/>
          <w:highlight w:val="none"/>
        </w:rPr>
        <w:t>、通知和合同修改</w:t>
      </w:r>
    </w:p>
    <w:p w14:paraId="1000179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本合同一方给另一方的通知，都应以书面的形式（信函、传真）发送至对方，对本合同条款进行任何改动，均须由甲乙双方签署书面合同修改签证，方为有效。</w:t>
      </w:r>
    </w:p>
    <w:p w14:paraId="6294F842">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四</w:t>
      </w:r>
      <w:r>
        <w:rPr>
          <w:rFonts w:hint="eastAsia" w:ascii="宋体" w:hAnsi="宋体" w:cs="宋体"/>
          <w:b/>
          <w:bCs/>
          <w:color w:val="auto"/>
          <w:sz w:val="24"/>
          <w:szCs w:val="24"/>
          <w:highlight w:val="none"/>
        </w:rPr>
        <w:t>、其他规定</w:t>
      </w:r>
    </w:p>
    <w:p w14:paraId="1A65046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2FFDBF8B">
      <w:pPr>
        <w:rPr>
          <w:rFonts w:hint="eastAsia" w:ascii="宋体" w:hAnsi="宋体" w:cs="宋体"/>
          <w:color w:val="auto"/>
          <w:sz w:val="24"/>
          <w:szCs w:val="24"/>
          <w:highlight w:val="none"/>
        </w:rPr>
      </w:pPr>
    </w:p>
    <w:p w14:paraId="4DF7F5D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本合同甲、乙双方均同意以上条款内容。</w:t>
      </w:r>
    </w:p>
    <w:p w14:paraId="6A882B9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本合同一式陆份，甲方肆份，乙方贰份，具有同等效力。自双方法定代表人或授权代表人签字、并加盖单位公章之日起生效。</w:t>
      </w:r>
    </w:p>
    <w:p w14:paraId="1E2E47D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本合同的订立、履行、变更、终止、解释等均适用中华人民共和国法律。</w:t>
      </w:r>
    </w:p>
    <w:p w14:paraId="0602ABB9">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本合同未尽事宜由双方共同协商，另行订立补充协议，补充协议与本协议具有同样的法律效力。如果本合同之附件与本合同规定不符, 以本合同规定为准。</w:t>
      </w:r>
    </w:p>
    <w:p w14:paraId="08E4660E">
      <w:pPr>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w:t>
      </w:r>
    </w:p>
    <w:p w14:paraId="6F5D9B0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（以下无正文）</w:t>
      </w:r>
    </w:p>
    <w:p w14:paraId="43C30A61">
      <w:pPr>
        <w:spacing w:line="72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甲方：</w:t>
      </w:r>
      <w:r>
        <w:rPr>
          <w:rFonts w:hint="eastAsia" w:ascii="宋体" w:hAnsi="宋体" w:cs="宋体"/>
          <w:color w:val="auto"/>
          <w:sz w:val="24"/>
          <w:szCs w:val="24"/>
          <w:highlight w:val="none"/>
          <w:u w:val="single"/>
        </w:rPr>
        <w:t xml:space="preserve"> 陕西青年职业学院</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乙方：</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081B3A13">
      <w:pPr>
        <w:spacing w:line="720" w:lineRule="auto"/>
        <w:jc w:val="left"/>
        <w:rPr>
          <w:rFonts w:hint="eastAsia" w:ascii="宋体" w:hAnsi="宋体" w:cs="宋体"/>
          <w:b/>
          <w:bCs/>
          <w:color w:val="auto"/>
          <w:sz w:val="44"/>
          <w:szCs w:val="44"/>
          <w:highlight w:val="none"/>
        </w:rPr>
      </w:pPr>
      <w:r>
        <w:rPr>
          <w:rFonts w:hint="eastAsia" w:ascii="宋体" w:hAnsi="宋体" w:cs="宋体"/>
          <w:color w:val="auto"/>
          <w:sz w:val="24"/>
          <w:szCs w:val="24"/>
          <w:highlight w:val="none"/>
        </w:rPr>
        <w:t>法人代表或授权代表：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法人代表或授权代表：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签订日期：202</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        签订日期：202</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5E90CBC8">
      <w:pPr>
        <w:pStyle w:val="8"/>
        <w:numPr>
          <w:ilvl w:val="0"/>
          <w:numId w:val="0"/>
        </w:numPr>
        <w:spacing w:line="520" w:lineRule="exact"/>
        <w:ind w:leftChars="200"/>
        <w:rPr>
          <w:rFonts w:hint="eastAsia" w:ascii="宋体" w:hAnsi="宋体" w:eastAsia="宋体" w:cs="宋体"/>
          <w:color w:val="auto"/>
          <w:sz w:val="24"/>
          <w:szCs w:val="24"/>
          <w:highlight w:val="none"/>
          <w:lang w:val="en-US"/>
        </w:rPr>
      </w:pPr>
    </w:p>
    <w:p w14:paraId="2DC22EC2">
      <w:pPr>
        <w:rPr>
          <w:color w:val="auto"/>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0C792">
    <w:pPr>
      <w:pStyle w:val="6"/>
      <w:rPr>
        <w:rStyle w:val="11"/>
        <w:rFonts w:hint="eastAsia"/>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1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13BC016">
                          <w:pPr>
                            <w:pStyle w:val="6"/>
                          </w:pPr>
                          <w:r>
                            <w:fldChar w:fldCharType="begin"/>
                          </w:r>
                          <w:r>
                            <w:instrText xml:space="preserve"> PAGE  \* MERGEFORMAT </w:instrText>
                          </w:r>
                          <w:r>
                            <w:fldChar w:fldCharType="separate"/>
                          </w:r>
                          <w:r>
                            <w:t>23</w:t>
                          </w:r>
                          <w:r>
                            <w:fldChar w:fldCharType="end"/>
                          </w:r>
                        </w:p>
                      </w:txbxContent>
                    </wps:txbx>
                    <wps:bodyPr vert="horz" wrap="none" lIns="0" tIns="0" rIns="0" bIns="0" anchor="t" upright="0">
                      <a:spAutoFit/>
                    </wps:bodyPr>
                  </wps:wsp>
                </a:graphicData>
              </a:graphic>
            </wp:anchor>
          </w:drawing>
        </mc:Choice>
        <mc:Fallback>
          <w:pict>
            <v:rect id="文本框 1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qcPXU9IBAACfAwAADgAAAAAAAAABACAAAAAfAQAA&#10;ZHJzL2Uyb0RvYy54bWxQSwUGAAAAAAYABgBZAQAAYwUAAAAA&#10;">
              <v:fill on="f" focussize="0,0"/>
              <v:stroke on="f"/>
              <v:imagedata o:title=""/>
              <o:lock v:ext="edit" aspectratio="f"/>
              <v:textbox inset="0mm,0mm,0mm,0mm" style="mso-fit-shape-to-text:t;">
                <w:txbxContent>
                  <w:p w14:paraId="113BC016">
                    <w:pPr>
                      <w:pStyle w:val="6"/>
                    </w:pPr>
                    <w:r>
                      <w:fldChar w:fldCharType="begin"/>
                    </w:r>
                    <w:r>
                      <w:instrText xml:space="preserve"> PAGE  \* MERGEFORMAT </w:instrText>
                    </w:r>
                    <w:r>
                      <w:fldChar w:fldCharType="separate"/>
                    </w:r>
                    <w:r>
                      <w:t>23</w:t>
                    </w:r>
                    <w:r>
                      <w:fldChar w:fldCharType="end"/>
                    </w:r>
                  </w:p>
                </w:txbxContent>
              </v:textbox>
            </v:rect>
          </w:pict>
        </mc:Fallback>
      </mc:AlternateContent>
    </w:r>
  </w:p>
  <w:p w14:paraId="282BCE50">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F3C85">
    <w:pPr>
      <w:pStyle w:val="7"/>
      <w:pBdr>
        <w:bottom w:val="none" w:color="auto" w:sz="0" w:space="1"/>
      </w:pBdr>
      <w:jc w:val="right"/>
      <w:rPr>
        <w:rFonts w:hint="eastAsia"/>
      </w:rPr>
    </w:pPr>
    <w:r>
      <w:rPr>
        <w:rFonts w:hint="eastAsia"/>
      </w:rPr>
      <w:t xml:space="preserve"> </w:t>
    </w:r>
  </w:p>
  <w:p w14:paraId="6CF4D3B0">
    <w:pPr>
      <w:pStyle w:val="7"/>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12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spacing w:after="120"/>
    </w:pPr>
    <w:rPr>
      <w:szCs w:val="24"/>
    </w:rPr>
  </w:style>
  <w:style w:type="paragraph" w:styleId="4">
    <w:name w:val="Body Text Indent"/>
    <w:basedOn w:val="1"/>
    <w:next w:val="5"/>
    <w:qFormat/>
    <w:uiPriority w:val="0"/>
    <w:pPr>
      <w:ind w:firstLine="552"/>
    </w:pPr>
    <w:rPr>
      <w:rFonts w:ascii="宋体"/>
      <w:sz w:val="28"/>
    </w:rPr>
  </w:style>
  <w:style w:type="paragraph" w:customStyle="1" w:styleId="5">
    <w:name w:val="font5"/>
    <w:basedOn w:val="1"/>
    <w:qFormat/>
    <w:uiPriority w:val="0"/>
    <w:pPr>
      <w:widowControl/>
      <w:spacing w:before="100" w:beforeAutospacing="1" w:after="100" w:afterAutospacing="1"/>
      <w:jc w:val="left"/>
    </w:pPr>
    <w:rPr>
      <w:rFonts w:hint="eastAsia" w:ascii="宋体" w:hAnsi="宋体"/>
      <w:kern w:val="0"/>
      <w:sz w:val="24"/>
    </w:rPr>
  </w:style>
  <w:style w:type="paragraph" w:styleId="6">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topLinePunct/>
      <w:spacing w:line="360" w:lineRule="auto"/>
      <w:ind w:left="199" w:leftChars="95" w:firstLine="210" w:firstLineChars="100"/>
    </w:pPr>
    <w:rPr>
      <w:color w:val="000000"/>
    </w:rPr>
  </w:style>
  <w:style w:type="character" w:styleId="11">
    <w:name w:val="page number"/>
    <w:basedOn w:val="10"/>
    <w:qFormat/>
    <w:uiPriority w:val="0"/>
  </w:style>
  <w:style w:type="paragraph" w:customStyle="1" w:styleId="12">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2025-08-18T09:51:23Z</dcterms:created>
  <dc:creator>Administrator</dc:creator>
  <cp:lastModifiedBy>KM</cp:lastModifiedBy>
  <dcterms:modified xsi:type="dcterms:W3CDTF">2025-08-18T09:51:50Z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4EFD9EF6B4D6492ABDEB229EDA1749D4_12</vt:lpwstr>
  </property>
</Properties>
</file>