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CC4282">
      <w:pPr>
        <w:jc w:val="center"/>
        <w:rPr>
          <w:rFonts w:hint="eastAsia"/>
          <w:b/>
          <w:bCs/>
          <w:sz w:val="30"/>
          <w:szCs w:val="30"/>
          <w:lang w:val="en-US" w:eastAsia="zh-CN"/>
        </w:rPr>
      </w:pPr>
      <w:r>
        <w:rPr>
          <w:rFonts w:hint="eastAsia"/>
          <w:b/>
          <w:bCs/>
          <w:sz w:val="30"/>
          <w:szCs w:val="30"/>
          <w:lang w:val="en-US" w:eastAsia="zh-CN"/>
        </w:rPr>
        <w:t>演示项清单</w:t>
      </w:r>
    </w:p>
    <w:p w14:paraId="0024D648">
      <w:pPr>
        <w:pStyle w:val="2"/>
        <w:rPr>
          <w:rFonts w:hint="eastAsia" w:ascii="仿宋" w:hAnsi="仿宋" w:eastAsia="仿宋" w:cs="仿宋"/>
          <w:b/>
          <w:bCs/>
          <w:sz w:val="24"/>
          <w:lang w:val="en-US" w:eastAsia="zh-CN"/>
        </w:rPr>
      </w:pPr>
      <w:r>
        <w:rPr>
          <w:rFonts w:hint="eastAsia" w:ascii="仿宋" w:hAnsi="仿宋" w:eastAsia="仿宋" w:cs="仿宋"/>
          <w:b/>
          <w:bCs/>
          <w:sz w:val="24"/>
          <w:lang w:eastAsia="zh-CN"/>
        </w:rPr>
        <w:t>“</w:t>
      </w:r>
      <w:r>
        <w:rPr>
          <w:rFonts w:ascii="仿宋" w:hAnsi="仿宋" w:eastAsia="仿宋" w:cs="仿宋"/>
          <w:b/>
          <w:bCs/>
          <w:sz w:val="24"/>
        </w:rPr>
        <w:t>★</w:t>
      </w:r>
      <w:r>
        <w:rPr>
          <w:rFonts w:hint="eastAsia" w:ascii="仿宋" w:hAnsi="仿宋" w:eastAsia="仿宋" w:cs="仿宋"/>
          <w:b/>
          <w:bCs/>
          <w:sz w:val="24"/>
          <w:lang w:eastAsia="zh-CN"/>
        </w:rPr>
        <w:t>”</w:t>
      </w:r>
      <w:r>
        <w:rPr>
          <w:rFonts w:hint="eastAsia" w:ascii="仿宋" w:hAnsi="仿宋" w:eastAsia="仿宋" w:cs="仿宋"/>
          <w:b/>
          <w:bCs/>
          <w:sz w:val="24"/>
          <w:lang w:val="en-US" w:eastAsia="zh-CN"/>
        </w:rPr>
        <w:t>号项演示清单：</w:t>
      </w:r>
    </w:p>
    <w:p w14:paraId="129FACCC">
      <w:pPr>
        <w:pStyle w:val="7"/>
        <w:keepNext w:val="0"/>
        <w:keepLines w:val="0"/>
        <w:pageBreakBefore w:val="0"/>
        <w:widowControl/>
        <w:numPr>
          <w:ilvl w:val="0"/>
          <w:numId w:val="0"/>
        </w:numPr>
        <w:wordWrap/>
        <w:overflowPunct/>
        <w:topLinePunct w:val="0"/>
        <w:bidi w:val="0"/>
        <w:spacing w:before="255" w:after="255" w:line="360" w:lineRule="auto"/>
        <w:jc w:val="left"/>
        <w:outlineLvl w:val="2"/>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一</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sz w:val="24"/>
          <w:szCs w:val="24"/>
          <w:lang w:eastAsia="zh-CN"/>
        </w:rPr>
        <w:t>数智化审计实验教学平台</w:t>
      </w:r>
    </w:p>
    <w:p w14:paraId="0EFB56D3">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2.6★自然语言处理技术在审计实务中的应用案例。平台提供自然语言处理技术，深入分析与审计任务相关的非结构化文本数据。学生在指导下学习并应用了包括文本预处理、关键词提取、词云图制作等自然语言处理技术，实训平台内嵌来自行业新闻网站等公开信息数据源。在此基础上，进一步运用词频和情感分析方法，判断被审单位所在行业的关注点，确定行业进而辅助评估被审计单位所处外部环境的稳定性与风险水平。（需提供现场演示）</w:t>
      </w:r>
    </w:p>
    <w:p w14:paraId="082B4219">
      <w:pPr>
        <w:pStyle w:val="7"/>
        <w:keepNext w:val="0"/>
        <w:keepLines w:val="0"/>
        <w:pageBreakBefore w:val="0"/>
        <w:widowControl/>
        <w:numPr>
          <w:ilvl w:val="0"/>
          <w:numId w:val="1"/>
        </w:numPr>
        <w:wordWrap/>
        <w:overflowPunct/>
        <w:topLinePunct w:val="0"/>
        <w:bidi w:val="0"/>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数智化审计实验研究平台</w:t>
      </w:r>
    </w:p>
    <w:p w14:paraId="6C0CD2E6">
      <w:pPr>
        <w:pStyle w:val="2"/>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2.2.3 ★实训提供历史银行交易流水作为训练数据，其中包含已标记的异常交易记录，如频繁小额转账、资金集中转入后快速分散转出、关联账户间非正常资金往来等典型异常模式对样本数据进行预处理，提取关键特征变量，从而识别异常银行交易记录。模型训练完成后，将其应用于被审计单位在审计期间的银行交易流水中，逐笔评估每项交易的异常概率。根据设定的判断阈值，筛选出具有较高异常可能性的交易记录，作为下一步审计工作的重点核查对象。（需提供现场演示）</w:t>
      </w:r>
    </w:p>
    <w:p w14:paraId="6FC59EDC">
      <w:p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2.3.2★提供被审计单位的多维度财务数据和神经网络模型，对其潜在的舞弊风险进行智能识别。实训基于企业财务指标的内在关联性，收集舞弊和非舞弊的样本企业财务数据，利用BP神经网络算法，样本企业的财务异常信号进行非线性建模。通过调整参数提升模型的准确率，模型训练完成后，将投入被审计单位的财务数据进行分析，把网络输出的风险评分作为被审计单位披露的财务健康度的参考，判断异常信号是否具有业务实质的合理性。若发现关键指标的风险评分异常或呈现特殊波动模式，则可能存在财务异常。通过对神经网络中间层特征的可视化分析，可以挖掘出潜在的异常关联关系或隐蔽的舞弊模式，为设计针对性审计程序提供线索支持。（需提供现场演示）</w:t>
      </w:r>
    </w:p>
    <w:p w14:paraId="501E3D3C">
      <w:pPr>
        <w:pStyle w:val="7"/>
        <w:keepNext w:val="0"/>
        <w:keepLines w:val="0"/>
        <w:pageBreakBefore w:val="0"/>
        <w:widowControl/>
        <w:numPr>
          <w:ilvl w:val="0"/>
          <w:numId w:val="0"/>
        </w:numPr>
        <w:wordWrap/>
        <w:overflowPunct/>
        <w:topLinePunct w:val="0"/>
        <w:bidi w:val="0"/>
        <w:spacing w:line="360" w:lineRule="auto"/>
        <w:jc w:val="left"/>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备注：标“★”号条款为实质性要求，供应商未演示或演示不全，不满足的，将被视为无效投标。</w:t>
      </w:r>
    </w:p>
    <w:p w14:paraId="01C6DBBE">
      <w:pPr>
        <w:pStyle w:val="2"/>
        <w:spacing w:line="360" w:lineRule="auto"/>
        <w:rPr>
          <w:rFonts w:hint="eastAsia" w:ascii="宋体" w:hAnsi="宋体" w:eastAsia="宋体" w:cs="宋体"/>
          <w:b w:val="0"/>
          <w:bCs w:val="0"/>
          <w:sz w:val="24"/>
          <w:szCs w:val="24"/>
          <w:lang w:eastAsia="zh-CN"/>
        </w:rPr>
      </w:pPr>
    </w:p>
    <w:p w14:paraId="444C9922">
      <w:pPr>
        <w:pStyle w:val="2"/>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号项演示清单：</w:t>
      </w:r>
    </w:p>
    <w:p w14:paraId="685BE18C">
      <w:pPr>
        <w:pStyle w:val="7"/>
        <w:keepNext w:val="0"/>
        <w:keepLines w:val="0"/>
        <w:pageBreakBefore w:val="0"/>
        <w:widowControl/>
        <w:numPr>
          <w:ilvl w:val="0"/>
          <w:numId w:val="0"/>
        </w:numPr>
        <w:wordWrap/>
        <w:overflowPunct/>
        <w:topLinePunct w:val="0"/>
        <w:bidi w:val="0"/>
        <w:spacing w:before="255" w:after="255" w:line="360" w:lineRule="auto"/>
        <w:jc w:val="left"/>
        <w:outlineLvl w:val="2"/>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一</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sz w:val="24"/>
          <w:szCs w:val="24"/>
          <w:lang w:eastAsia="zh-CN"/>
        </w:rPr>
        <w:t>数智化审计实验教学平台</w:t>
      </w:r>
    </w:p>
    <w:p w14:paraId="7B4A4597">
      <w:pPr>
        <w:spacing w:line="360" w:lineRule="auto"/>
        <w:ind w:firstLine="420"/>
        <w:jc w:val="left"/>
        <w:rPr>
          <w:rFonts w:hint="eastAsia" w:ascii="宋体" w:hAnsi="宋体" w:eastAsia="宋体" w:cs="宋体"/>
          <w:b w:val="0"/>
          <w:bCs w:val="0"/>
          <w:strike/>
          <w:sz w:val="24"/>
          <w:szCs w:val="24"/>
          <w:highlight w:val="red"/>
        </w:rPr>
      </w:pPr>
      <w:r>
        <w:rPr>
          <w:rFonts w:hint="eastAsia" w:ascii="宋体" w:hAnsi="宋体" w:eastAsia="宋体" w:cs="宋体"/>
          <w:b w:val="0"/>
          <w:bCs w:val="0"/>
          <w:sz w:val="24"/>
          <w:szCs w:val="24"/>
        </w:rPr>
        <w:t>1.1.16▲平台具备案例设计模板库，涵盖≥七大精选模板类别，包括富文本模板、场景模板、客观题模板、泳道图模板、数据3D透视模板、多功能教学创作模板、数字化工具通用模板等。其中，富文本模板支持快速排版图文课件设置插连接；场景模板支持角色对话情景教学，支持自定义场景图片、职位、角色、角色发言；泳道图模板支持拖拽式流程设计，实现自定义任务流程；数据3D透视模板支持货位优化等多场景3d交互，支持设置任务描述图文上传附件、设置超链接，支持开启学生规划结果上传；多功能教学创作模板支持设置任务描述图文上传附件、支持开启学生图片结果上传、开启作品社区，同时还支持视觉子模板设计，涵盖图文设计、H5设计、网店设计；数字化工具通用模板为一工具集，涵盖内置数据可视化工具、BI互动决策、BI作品上传、python引导式编程、Python自主编程、SQL代码、Excel下载答题、报告题，全面支撑实训任务。（需提供现场演示）</w:t>
      </w:r>
    </w:p>
    <w:p w14:paraId="58CAA5FB">
      <w:pPr>
        <w:spacing w:line="360" w:lineRule="auto"/>
        <w:ind w:firstLine="42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2.3▲数智审计分析工具-SQL。SQL基础知识包含数据库的基本概念，运用SQL进行数据定义、数据查询、数据插入、数据更新、数据删除的基础操作，以及运用SQL进行数据采集、数据处理和数据分析的相关函数。提供运用SQL实现采购交易授权异常分析和检查应收账款异常项目中的应用实例。系统需支持AI对学生编写SQL代码智能评分。（需提供现场演示）</w:t>
      </w:r>
    </w:p>
    <w:p w14:paraId="6EC4B7A2">
      <w:pPr>
        <w:pStyle w:val="7"/>
        <w:keepNext w:val="0"/>
        <w:keepLines w:val="0"/>
        <w:pageBreakBefore w:val="0"/>
        <w:widowControl/>
        <w:numPr>
          <w:ilvl w:val="0"/>
          <w:numId w:val="0"/>
        </w:numPr>
        <w:wordWrap/>
        <w:overflowPunct/>
        <w:topLinePunct w:val="0"/>
        <w:bidi w:val="0"/>
        <w:spacing w:line="360" w:lineRule="auto"/>
        <w:ind w:leftChars="0"/>
        <w:jc w:val="left"/>
        <w:rPr>
          <w:rFonts w:hint="eastAsia" w:ascii="宋体" w:hAnsi="宋体" w:eastAsia="宋体" w:cs="宋体"/>
          <w:b w:val="0"/>
          <w:bCs w:val="0"/>
          <w:color w:val="000000"/>
          <w:sz w:val="24"/>
          <w:szCs w:val="24"/>
          <w:lang w:eastAsia="zh-CN"/>
        </w:rPr>
      </w:pPr>
    </w:p>
    <w:p w14:paraId="0319C9C6">
      <w:pPr>
        <w:pStyle w:val="7"/>
        <w:keepNext w:val="0"/>
        <w:keepLines w:val="0"/>
        <w:pageBreakBefore w:val="0"/>
        <w:widowControl/>
        <w:numPr>
          <w:numId w:val="0"/>
        </w:numPr>
        <w:wordWrap/>
        <w:overflowPunct/>
        <w:topLinePunct w:val="0"/>
        <w:bidi w:val="0"/>
        <w:spacing w:line="360" w:lineRule="auto"/>
        <w:jc w:val="left"/>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三）</w:t>
      </w:r>
      <w:r>
        <w:rPr>
          <w:rFonts w:hint="eastAsia" w:ascii="宋体" w:hAnsi="宋体" w:eastAsia="宋体" w:cs="宋体"/>
          <w:b w:val="0"/>
          <w:bCs w:val="0"/>
          <w:sz w:val="24"/>
          <w:szCs w:val="24"/>
        </w:rPr>
        <w:t>数智化审计实验研究平台</w:t>
      </w:r>
    </w:p>
    <w:p w14:paraId="3DE5D9C4">
      <w:pPr>
        <w:spacing w:line="360" w:lineRule="auto"/>
        <w:ind w:firstLine="42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1.1▲智能</w:t>
      </w:r>
      <w:r>
        <w:rPr>
          <w:rFonts w:hint="eastAsia" w:ascii="宋体" w:hAnsi="宋体" w:eastAsia="宋体" w:cs="宋体"/>
          <w:b w:val="0"/>
          <w:bCs w:val="0"/>
          <w:sz w:val="24"/>
          <w:szCs w:val="24"/>
          <w:lang w:val="en-US" w:eastAsia="zh-CN"/>
        </w:rPr>
        <w:t>评分</w:t>
      </w:r>
      <w:r>
        <w:rPr>
          <w:rFonts w:hint="eastAsia" w:ascii="宋体" w:hAnsi="宋体" w:eastAsia="宋体" w:cs="宋体"/>
          <w:b w:val="0"/>
          <w:bCs w:val="0"/>
          <w:sz w:val="24"/>
          <w:szCs w:val="24"/>
        </w:rPr>
        <w:t>。利用AI技术，根据教师预设的参考答案与评分规则，对学生问答题进行精准、高效地评分，并详细展示评分过程与依据。AI评分支持简单题型和复杂题型，简单题型为单一题干对应单一问题，复杂题型为单一题干对应多个子问题，对每个子问题进行独立评分，并汇总形成最终成绩，确保评分的全面性与准确性。（需提供现场演示）</w:t>
      </w:r>
    </w:p>
    <w:p w14:paraId="79FF5346">
      <w:pPr>
        <w:pStyle w:val="7"/>
        <w:keepNext w:val="0"/>
        <w:keepLines w:val="0"/>
        <w:pageBreakBefore w:val="0"/>
        <w:widowControl/>
        <w:numPr>
          <w:numId w:val="0"/>
        </w:numPr>
        <w:wordWrap/>
        <w:overflowPunct/>
        <w:topLinePunct w:val="0"/>
        <w:bidi w:val="0"/>
        <w:spacing w:line="360" w:lineRule="auto"/>
        <w:ind w:firstLine="240" w:firstLineChars="1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2.4▲平台具备审计行业数字化转型场景，支持通过数据预处理、滑动窗口算法和向量化构建问答知识库，可以高效提取和管理非结构化文档信息。对审计行业问答数据库进行数据预处理。通过滑动窗口算法读取PDF内容并转换为结构化信息。通过向量化构建问答知识库。完成审计检索函数以实现审计检索增强生成功能（RAG）。（需提供现场演示）</w:t>
      </w:r>
      <w:r>
        <w:rPr>
          <w:rFonts w:hint="eastAsia" w:ascii="宋体" w:hAnsi="宋体" w:eastAsia="宋体" w:cs="宋体"/>
          <w:b w:val="0"/>
          <w:bCs w:val="0"/>
          <w:sz w:val="24"/>
          <w:szCs w:val="24"/>
        </w:rPr>
        <w:br w:type="textWrapping"/>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2.5.1▲平台具备对语料内容进行预处理，将文本类语料内容转换成目标格式，并支持预览数据集。支持选定微调方法，设置学习率与学习率调节器、训练轮数、最大梯度范数、计算类型截断长度、批处理大小、梯度积累、验证集比例。参数设定完毕后可进行模型微调，微调后的模型可保存并调用，可在平台上完成训练效果检验。（需提供现场演示）</w:t>
      </w:r>
    </w:p>
    <w:p w14:paraId="3EC2D431">
      <w:pPr>
        <w:spacing w:line="360" w:lineRule="auto"/>
        <w:ind w:firstLine="420"/>
        <w:jc w:val="left"/>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2.10.3▲基于虚拟 3D 技术，构建高度还原真实环境资源审计的数字孪生场景，学生可通过第一人称视角，在该场景中操控虚拟无人机，自定义飞行参数与航线，完成多光谱影像数据采集；通过空间分析功能构建动态地形模型，可直观观察环境资源数量指标，辅助完成资源数据采集模拟实训。（需提供现场演示）</w:t>
      </w:r>
    </w:p>
    <w:p w14:paraId="76128DDA">
      <w:pPr>
        <w:spacing w:line="360" w:lineRule="auto"/>
        <w:ind w:firstLine="42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2.11.2▲审计法治与监督效能。具备某企业财务造假案例，具备北斗卫星提供的航行器坐标数据，并下载国家海洋数据中心的海洋坐标数据。通过编写Python代码分析航行数据，精确还原其捕捞区域，并将之与账面记录的捕捞区域进行对比，发现成本结转记录存在造假行为。这一过程展示了如何运用数智手段，借助Python收集和分析第三方数据来识别审计问题，提高审计的准确性和效率。（需提供现场演示）</w:t>
      </w:r>
    </w:p>
    <w:p w14:paraId="026EB8E1">
      <w:pPr>
        <w:ind w:firstLine="602" w:firstLineChars="200"/>
        <w:rPr>
          <w:rFonts w:hint="eastAsia" w:ascii="宋体" w:hAnsi="宋体" w:eastAsia="宋体" w:cs="宋体"/>
          <w:b/>
          <w:bCs/>
          <w:sz w:val="30"/>
          <w:szCs w:val="30"/>
        </w:rPr>
      </w:pPr>
      <w:r>
        <w:rPr>
          <w:rFonts w:hint="eastAsia" w:ascii="宋体" w:hAnsi="宋体" w:eastAsia="宋体" w:cs="宋体"/>
          <w:b/>
          <w:bCs/>
          <w:sz w:val="30"/>
          <w:szCs w:val="30"/>
        </w:rPr>
        <w:t>每位供应商演示时间不超过</w:t>
      </w:r>
      <w:r>
        <w:rPr>
          <w:rFonts w:hint="eastAsia" w:ascii="宋体" w:hAnsi="宋体" w:eastAsia="宋体" w:cs="宋体"/>
          <w:b/>
          <w:bCs/>
          <w:sz w:val="30"/>
          <w:szCs w:val="30"/>
          <w:lang w:val="en-US" w:eastAsia="zh-CN"/>
        </w:rPr>
        <w:t>10</w:t>
      </w:r>
      <w:r>
        <w:rPr>
          <w:rFonts w:hint="eastAsia" w:ascii="宋体" w:hAnsi="宋体" w:eastAsia="宋体" w:cs="宋体"/>
          <w:b/>
          <w:bCs/>
          <w:sz w:val="30"/>
          <w:szCs w:val="30"/>
        </w:rPr>
        <w:t>分钟，演示人员不超过2人，供应商自行准备演示所需各类设备和网络环境，演示现场仅提供投影。</w:t>
      </w:r>
    </w:p>
    <w:p w14:paraId="12609FF0">
      <w:pPr>
        <w:rPr>
          <w:rFonts w:hint="eastAsia" w:ascii="宋体" w:hAnsi="宋体" w:eastAsia="宋体" w:cs="宋体"/>
          <w:b/>
          <w:bCs/>
          <w:sz w:val="30"/>
          <w:szCs w:val="30"/>
        </w:rPr>
      </w:pPr>
      <w:r>
        <w:rPr>
          <w:rFonts w:hint="eastAsia" w:ascii="宋体" w:hAnsi="宋体" w:eastAsia="宋体" w:cs="宋体"/>
          <w:b/>
          <w:bCs/>
          <w:sz w:val="30"/>
          <w:szCs w:val="30"/>
        </w:rPr>
        <w:t>演示地点：西安市高新区唐延路旺座现代城 C 座 2504 室。</w:t>
      </w:r>
    </w:p>
    <w:p w14:paraId="4DA00E7B">
      <w:pPr>
        <w:rPr>
          <w:rFonts w:hint="eastAsia" w:ascii="宋体" w:hAnsi="宋体" w:eastAsia="宋体" w:cs="宋体"/>
          <w:b/>
          <w:bCs/>
          <w:sz w:val="30"/>
          <w:szCs w:val="30"/>
          <w:lang w:val="en-US" w:eastAsia="zh-CN"/>
        </w:rPr>
      </w:pPr>
      <w:r>
        <w:rPr>
          <w:rFonts w:hint="eastAsia" w:ascii="宋体" w:hAnsi="宋体" w:eastAsia="宋体" w:cs="宋体"/>
          <w:b/>
          <w:bCs/>
          <w:sz w:val="30"/>
          <w:szCs w:val="30"/>
        </w:rPr>
        <w:t>演示时间：同开标时间。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88D512"/>
    <w:multiLevelType w:val="singleLevel"/>
    <w:tmpl w:val="4B88D51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68221E"/>
    <w:rsid w:val="1CA4388D"/>
    <w:rsid w:val="3FFD6B0B"/>
    <w:rsid w:val="55A91441"/>
    <w:rsid w:val="56D93B58"/>
    <w:rsid w:val="5D68221E"/>
    <w:rsid w:val="74B65081"/>
    <w:rsid w:val="7DBC0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customStyle="1" w:styleId="6">
    <w:name w:val="列出段落1"/>
    <w:basedOn w:val="1"/>
    <w:autoRedefine/>
    <w:qFormat/>
    <w:uiPriority w:val="34"/>
    <w:pPr>
      <w:ind w:firstLine="420" w:firstLineChars="200"/>
    </w:pPr>
    <w:rPr>
      <w:rFonts w:ascii="Calibri" w:hAnsi="Calibri"/>
      <w:szCs w:val="22"/>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1921</Words>
  <Characters>2078</Characters>
  <Lines>0</Lines>
  <Paragraphs>0</Paragraphs>
  <TotalTime>1</TotalTime>
  <ScaleCrop>false</ScaleCrop>
  <LinksUpToDate>false</LinksUpToDate>
  <CharactersWithSpaces>2088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2025-08-05T02:58:00Z</dcterms:created>
  <dc:creator>知行合一</dc:creator>
  <cp:lastModifiedBy>十五</cp:lastModifiedBy>
  <dcterms:modified xsi:type="dcterms:W3CDTF">2025-08-19T03:16:15Z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0445D6C896C24B18AC4A0E990530FE02_11</vt:lpwstr>
  </property>
  <property fmtid="{D5CDD505-2E9C-101B-9397-08002B2CF9AE}" pid="4" name="KSOTemplateDocerSaveRecord">
    <vt:lpwstr>eyJoZGlkIjoiMzg2MWM3NDRiODFjMTY5ZjQ3NWVkNzIxZDU3YTBhY2IiLCJ1c2VySWQiOiI0NzM2OTcxODIifQ==</vt:lpwstr>
  </property>
</Properties>
</file>