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版本号：TWZB2025-14320250818001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2025年度陕西省政务服务能力评估与效能监测服务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TWZB2025-143</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2025年度陕西省政务服务能力评估与效能监测服务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TWZB2025-143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2025年度陕西省政务服务能力评估与效能监测服务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陕西省政务服务能力评估与效能监测服务，结合国家层面对政务服务效能提升的新要求和我省政务服务能力现状，引入专业化的第三方咨询机构和方法体系，深入研究制约我省政务服务能力提升的因素，为2025年度政务服务能力提升提供智库咨询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2、法定代表人授权书及被授权人身份证：法定代表人授权书及被授权人身份证（法定代表人直接参与，只须提交其身份证明）</w:t>
      </w:r>
    </w:p>
    <w:p>
      <w:pPr>
        <w:pStyle w:val="null3"/>
      </w:pPr>
      <w:r>
        <w:rPr>
          <w:rFonts w:ascii="仿宋_GB2312" w:hAnsi="仿宋_GB2312" w:cs="仿宋_GB2312" w:eastAsia="仿宋_GB2312"/>
        </w:rPr>
        <w:t>3、设备和专业技术能力的说明及承诺：具备履行合同所必须的设备和专业技术能力的说明及承诺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时间以税款所属日期为准）证明应有税务机关或代收机关的公章或业务专用章）；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9、非联合体承诺书：本项目不接受联合体磋商（提供非联合体承诺书）</w:t>
      </w:r>
    </w:p>
    <w:p>
      <w:pPr>
        <w:pStyle w:val="null3"/>
      </w:pPr>
      <w:r>
        <w:rPr>
          <w:rFonts w:ascii="仿宋_GB2312" w:hAnsi="仿宋_GB2312" w:cs="仿宋_GB2312" w:eastAsia="仿宋_GB2312"/>
        </w:rPr>
        <w:t>10、供应商企业关系关联承诺书：单位负责人为同一人或者存在控股、管理关系的不同单位不得同时磋商（提供供应商企业关系关联承诺书）</w:t>
      </w:r>
    </w:p>
    <w:p>
      <w:pPr>
        <w:pStyle w:val="null3"/>
      </w:pPr>
      <w:r>
        <w:rPr>
          <w:rFonts w:ascii="仿宋_GB2312" w:hAnsi="仿宋_GB2312" w:cs="仿宋_GB2312" w:eastAsia="仿宋_GB2312"/>
        </w:rPr>
        <w:t>11、磋商保证金：磋商保证金交纳凭证及开户许可证或基本账户存款信息</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陕西省数据和政务服务中心经办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陕西省政务服务能力评估与效能监测服务，结合国家层面对政务服务效能提升的新要求和我省政务服务能力现状，引入专业化的第三方咨询机构和方法体系，深入研究制约我省政务服务能力提升的因素，为2025年度政务服务能力提升提供智库咨询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2,300,400.00</w:t>
      </w:r>
    </w:p>
    <w:p>
      <w:pPr>
        <w:pStyle w:val="null3"/>
      </w:pPr>
      <w:r>
        <w:rPr>
          <w:rFonts w:ascii="仿宋_GB2312" w:hAnsi="仿宋_GB2312" w:cs="仿宋_GB2312" w:eastAsia="仿宋_GB2312"/>
        </w:rPr>
        <w:t>采购包最高限价（元）: 2,300,400.00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研究咨询服务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标的名称：研究咨询服务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项目技术、服务</w:t>
            </w:r>
          </w:p>
          <w:p>
            <w:pPr>
              <w:pStyle w:val="null3"/>
              <w:ind w:firstLine="480"/>
              <w:jc w:val="both"/>
            </w:pPr>
            <w:r>
              <w:rPr>
                <w:rFonts w:ascii="仿宋_GB2312" w:hAnsi="仿宋_GB2312" w:cs="仿宋_GB2312" w:eastAsia="仿宋_GB2312"/>
                <w:sz w:val="24"/>
              </w:rPr>
              <w:t>一、项目背景</w:t>
            </w:r>
          </w:p>
          <w:p>
            <w:pPr>
              <w:pStyle w:val="null3"/>
              <w:ind w:firstLine="480"/>
              <w:jc w:val="both"/>
            </w:pPr>
            <w:r>
              <w:rPr>
                <w:rFonts w:ascii="仿宋_GB2312" w:hAnsi="仿宋_GB2312" w:cs="仿宋_GB2312" w:eastAsia="仿宋_GB2312"/>
                <w:sz w:val="24"/>
              </w:rPr>
              <w:t>拟采购陕西省政务服务能力评估与效能监测服务，结合国家层面对政务服务效能提升的新要求和我省政务服务能力现状，引入专业化的第三方咨询机构和方法体系，深入研究制约我省政务服务能力提升的因素，为</w:t>
            </w:r>
            <w:r>
              <w:rPr>
                <w:rFonts w:ascii="仿宋_GB2312" w:hAnsi="仿宋_GB2312" w:cs="仿宋_GB2312" w:eastAsia="仿宋_GB2312"/>
                <w:sz w:val="24"/>
              </w:rPr>
              <w:t>2025年度政务服务能力提升提供智库咨询保障。</w:t>
            </w:r>
          </w:p>
          <w:p>
            <w:pPr>
              <w:pStyle w:val="null3"/>
              <w:ind w:firstLine="480"/>
              <w:jc w:val="both"/>
            </w:pPr>
            <w:r>
              <w:rPr>
                <w:rFonts w:ascii="仿宋_GB2312" w:hAnsi="仿宋_GB2312" w:cs="仿宋_GB2312" w:eastAsia="仿宋_GB2312"/>
                <w:sz w:val="24"/>
              </w:rPr>
              <w:t>二、项目目标</w:t>
            </w:r>
          </w:p>
          <w:p>
            <w:pPr>
              <w:pStyle w:val="null3"/>
              <w:ind w:firstLine="480"/>
              <w:jc w:val="both"/>
            </w:pPr>
            <w:r>
              <w:rPr>
                <w:rFonts w:ascii="仿宋_GB2312" w:hAnsi="仿宋_GB2312" w:cs="仿宋_GB2312" w:eastAsia="仿宋_GB2312"/>
                <w:sz w:val="24"/>
              </w:rPr>
              <w:t>邀请第三方咨询机构合作，针对陕西省政务服务能力体系开展</w:t>
            </w:r>
            <w:r>
              <w:rPr>
                <w:rFonts w:ascii="仿宋_GB2312" w:hAnsi="仿宋_GB2312" w:cs="仿宋_GB2312" w:eastAsia="仿宋_GB2312"/>
                <w:sz w:val="24"/>
              </w:rPr>
              <w:t>“三评估一咨询四监测”8个方面的系统性服务，通过建立科学、全面的评估标准和监测指标体系，精准识别政务服务短板和薄弱环节，督促各部门优化政务服务流程、提升政务服务效率、强化各级业务协同，持续提升服务能力和群众满意度，实现政务服务高质量发展。</w:t>
            </w:r>
          </w:p>
          <w:p>
            <w:pPr>
              <w:pStyle w:val="null3"/>
              <w:ind w:firstLine="480"/>
              <w:jc w:val="both"/>
            </w:pPr>
            <w:r>
              <w:rPr>
                <w:rFonts w:ascii="仿宋_GB2312" w:hAnsi="仿宋_GB2312" w:cs="仿宋_GB2312" w:eastAsia="仿宋_GB2312"/>
                <w:sz w:val="24"/>
              </w:rPr>
              <w:t>三、服务时间</w:t>
            </w:r>
          </w:p>
          <w:p>
            <w:pPr>
              <w:pStyle w:val="null3"/>
              <w:ind w:firstLine="480"/>
              <w:jc w:val="both"/>
            </w:pPr>
            <w:r>
              <w:rPr>
                <w:rFonts w:ascii="仿宋_GB2312" w:hAnsi="仿宋_GB2312" w:cs="仿宋_GB2312" w:eastAsia="仿宋_GB2312"/>
                <w:sz w:val="24"/>
              </w:rPr>
              <w:t>自合同签订之日起一年。</w:t>
            </w:r>
          </w:p>
          <w:p>
            <w:pPr>
              <w:pStyle w:val="null3"/>
              <w:ind w:firstLine="480"/>
              <w:jc w:val="both"/>
            </w:pPr>
            <w:r>
              <w:rPr>
                <w:rFonts w:ascii="仿宋_GB2312" w:hAnsi="仿宋_GB2312" w:cs="仿宋_GB2312" w:eastAsia="仿宋_GB2312"/>
                <w:sz w:val="24"/>
              </w:rPr>
              <w:t>四、服务内容及要求</w:t>
            </w:r>
          </w:p>
          <w:p>
            <w:pPr>
              <w:pStyle w:val="null3"/>
              <w:ind w:firstLine="480"/>
              <w:jc w:val="both"/>
            </w:pPr>
            <w:r>
              <w:rPr>
                <w:rFonts w:ascii="仿宋_GB2312" w:hAnsi="仿宋_GB2312" w:cs="仿宋_GB2312" w:eastAsia="仿宋_GB2312"/>
                <w:sz w:val="24"/>
              </w:rPr>
              <w:t>（一）开展</w:t>
            </w:r>
            <w:r>
              <w:rPr>
                <w:rFonts w:ascii="仿宋_GB2312" w:hAnsi="仿宋_GB2312" w:cs="仿宋_GB2312" w:eastAsia="仿宋_GB2312"/>
                <w:sz w:val="24"/>
              </w:rPr>
              <w:t>“只进一门”“一网通办”“一线应答”服务能力评估</w:t>
            </w:r>
          </w:p>
          <w:p>
            <w:pPr>
              <w:pStyle w:val="null3"/>
              <w:ind w:firstLine="480"/>
              <w:jc w:val="both"/>
            </w:pPr>
            <w:r>
              <w:rPr>
                <w:rFonts w:ascii="仿宋_GB2312" w:hAnsi="仿宋_GB2312" w:cs="仿宋_GB2312" w:eastAsia="仿宋_GB2312"/>
                <w:sz w:val="24"/>
              </w:rPr>
              <w:t>推进</w:t>
            </w:r>
            <w:r>
              <w:rPr>
                <w:rFonts w:ascii="仿宋_GB2312" w:hAnsi="仿宋_GB2312" w:cs="仿宋_GB2312" w:eastAsia="仿宋_GB2312"/>
                <w:sz w:val="24"/>
              </w:rPr>
              <w:t>“互联网+政务服务”是党中央、国务院作出的重大决策部署，是优化营商环境的重要举措。近年来，陕西省积极推进政务服务平台建设，在“只进一门”“一网通办”“一线应答”等方面取得了积极成效，但仍存在一些问题，开展政务服务平台服务能力评估，对于摸清现状、找准问题、明确方向、提升服务能力具有重要意义。</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1）“只进一门”现状评估及能力提升建议</w:t>
            </w:r>
          </w:p>
          <w:p>
            <w:pPr>
              <w:pStyle w:val="null3"/>
              <w:ind w:firstLine="480"/>
              <w:jc w:val="both"/>
            </w:pPr>
            <w:r>
              <w:rPr>
                <w:rFonts w:ascii="仿宋_GB2312" w:hAnsi="仿宋_GB2312" w:cs="仿宋_GB2312" w:eastAsia="仿宋_GB2312"/>
                <w:sz w:val="24"/>
              </w:rPr>
              <w:t>通过实地走访、问卷调查、数据分析等方式对陕西省级政务大厅进行调研，全面评估大厅在事项进驻、窗口设置、流程优化、信息化建设、服务态度、群众满意度等方面的现状，深入分析存在的问题和不足，针对性地提出改进措施和提升建议，为企业和群众的政务服务体验提升提供有力支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2）“一网通办”现状评估及能力提升建议</w:t>
            </w:r>
          </w:p>
          <w:p>
            <w:pPr>
              <w:pStyle w:val="null3"/>
              <w:ind w:firstLine="480"/>
              <w:jc w:val="both"/>
            </w:pPr>
            <w:r>
              <w:rPr>
                <w:rFonts w:ascii="仿宋_GB2312" w:hAnsi="仿宋_GB2312" w:cs="仿宋_GB2312" w:eastAsia="仿宋_GB2312"/>
                <w:sz w:val="24"/>
              </w:rPr>
              <w:t>开展陕西省级政务服务平台（包括省政务服务平台和省统建系统）调研评估工作，通过实地走访、会议访谈、系统测试等方式，全面掌握省级平台的建设运行现状，重点评估事项覆盖度、系统功能完备性、数据共享水平、运营体系构建、用户体验满意度等指标，深入分析存在问题短板，提出优化建议。对标全国一体化政务服务和监管平台运营中心的运营体系构建，结合陕西省情，提出</w:t>
            </w:r>
            <w:r>
              <w:rPr>
                <w:rFonts w:ascii="仿宋_GB2312" w:hAnsi="仿宋_GB2312" w:cs="仿宋_GB2312" w:eastAsia="仿宋_GB2312"/>
                <w:sz w:val="24"/>
              </w:rPr>
              <w:t>“秦务员”平台运营体系的构建建议。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3）“一线应答”现状评估及能力提升建议</w:t>
            </w:r>
          </w:p>
          <w:p>
            <w:pPr>
              <w:pStyle w:val="null3"/>
              <w:ind w:firstLine="480"/>
              <w:jc w:val="both"/>
            </w:pPr>
            <w:r>
              <w:rPr>
                <w:rFonts w:ascii="仿宋_GB2312" w:hAnsi="仿宋_GB2312" w:cs="仿宋_GB2312" w:eastAsia="仿宋_GB2312"/>
                <w:sz w:val="24"/>
              </w:rPr>
              <w:t>开展陕西</w:t>
            </w:r>
            <w:r>
              <w:rPr>
                <w:rFonts w:ascii="仿宋_GB2312" w:hAnsi="仿宋_GB2312" w:cs="仿宋_GB2312" w:eastAsia="仿宋_GB2312"/>
                <w:sz w:val="24"/>
              </w:rPr>
              <w:t>12345政务服务便民热线省级平台专项调研，全面评估当前“一线应答”服务的运行现状，重点梳理接通服务流程、响应效率、数据共享、人员配置等方面存在的问题，并提出优化建议。</w:t>
            </w:r>
          </w:p>
          <w:p>
            <w:pPr>
              <w:pStyle w:val="null3"/>
              <w:ind w:firstLine="480"/>
              <w:jc w:val="both"/>
            </w:pPr>
            <w:r>
              <w:rPr>
                <w:rFonts w:ascii="仿宋_GB2312" w:hAnsi="仿宋_GB2312" w:cs="仿宋_GB2312" w:eastAsia="仿宋_GB2312"/>
                <w:sz w:val="24"/>
              </w:rPr>
              <w:t>2.交付成果</w:t>
            </w:r>
          </w:p>
          <w:p>
            <w:pPr>
              <w:pStyle w:val="null3"/>
              <w:ind w:firstLine="480"/>
              <w:jc w:val="both"/>
            </w:pPr>
            <w:r>
              <w:rPr>
                <w:rFonts w:ascii="仿宋_GB2312" w:hAnsi="仿宋_GB2312" w:cs="仿宋_GB2312" w:eastAsia="仿宋_GB2312"/>
                <w:sz w:val="24"/>
              </w:rPr>
              <w:t>《陕西省级政务大厅现状评估及能力提升建议（</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《陕西省级政务服务平台现状评估及能力提升建议（</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《陕西省一体化政务服务平台运营体系构建咨询意见（</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《陕西省</w:t>
            </w:r>
            <w:r>
              <w:rPr>
                <w:rFonts w:ascii="仿宋_GB2312" w:hAnsi="仿宋_GB2312" w:cs="仿宋_GB2312" w:eastAsia="仿宋_GB2312"/>
                <w:sz w:val="24"/>
              </w:rPr>
              <w:t>12345政务服务便民热线现状评估及能力提升建议（2025年度）》（1份）。</w:t>
            </w:r>
          </w:p>
          <w:p>
            <w:pPr>
              <w:pStyle w:val="null3"/>
              <w:ind w:firstLine="480"/>
              <w:jc w:val="both"/>
            </w:pPr>
            <w:r>
              <w:rPr>
                <w:rFonts w:ascii="仿宋_GB2312" w:hAnsi="仿宋_GB2312" w:cs="仿宋_GB2312" w:eastAsia="仿宋_GB2312"/>
                <w:sz w:val="24"/>
              </w:rPr>
              <w:t>3.服务要求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1）研究服务参照《GB/T 42652-2023 政府和社会资本合作 咨询服务要求》执行；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2）研究人员应签署保密协议；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研究过程原则上应包含现状调研、意见征集、技术研究、内部论证、专家审议、征求意见等环节，最终由局按照程序审定发布。对于研究内容单一的，经局项目负责人同意后，在不影响研究成果质量情况下，可以整合或减少部分环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4）研究成果经专家审议通过后，视为验收通过。</w:t>
            </w:r>
          </w:p>
          <w:p>
            <w:pPr>
              <w:pStyle w:val="null3"/>
              <w:ind w:firstLine="480"/>
              <w:jc w:val="both"/>
            </w:pPr>
            <w:r>
              <w:rPr>
                <w:rFonts w:ascii="仿宋_GB2312" w:hAnsi="仿宋_GB2312" w:cs="仿宋_GB2312" w:eastAsia="仿宋_GB2312"/>
                <w:sz w:val="24"/>
              </w:rPr>
              <w:t>（二）开展人工智能在政务服务领域应用咨询服务</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开展人工智能在政务服务领域应用咨询服务，充分发挥第三方咨询机构在人工智能领域的研究引领作用，从场景应用角度提出符合陕西省情的实施方案，推动政务服务创新，提升政务服务智能化水平。从智能客服角度，提出诸如</w:t>
            </w:r>
            <w:r>
              <w:rPr>
                <w:rFonts w:ascii="仿宋_GB2312" w:hAnsi="仿宋_GB2312" w:cs="仿宋_GB2312" w:eastAsia="仿宋_GB2312"/>
                <w:sz w:val="24"/>
              </w:rPr>
              <w:t>7×24小时全时段智能客服矩阵、高频事项智能分流、敏感问答预警与人工座席转接等服务策略。从政务知识图谱优化角度，提出诸如部门政务数据资源梳理、知识网络动态更新等先进理念。从个性化推荐角度，提出用户画像建设方案、“政策找人”、服务找人等实施方案。从智能预检预审角度，提出“一次跑动”、审批流程再造、“AI+人工”协同审批、“智能秒批”等优化模式。</w:t>
            </w:r>
          </w:p>
          <w:p>
            <w:pPr>
              <w:pStyle w:val="null3"/>
              <w:ind w:firstLine="480"/>
              <w:jc w:val="both"/>
            </w:pPr>
            <w:r>
              <w:rPr>
                <w:rFonts w:ascii="仿宋_GB2312" w:hAnsi="仿宋_GB2312" w:cs="仿宋_GB2312" w:eastAsia="仿宋_GB2312"/>
                <w:sz w:val="24"/>
              </w:rPr>
              <w:t>2.交付成果</w:t>
            </w:r>
          </w:p>
          <w:p>
            <w:pPr>
              <w:pStyle w:val="null3"/>
              <w:ind w:firstLine="480"/>
              <w:jc w:val="both"/>
            </w:pPr>
            <w:r>
              <w:rPr>
                <w:rFonts w:ascii="仿宋_GB2312" w:hAnsi="仿宋_GB2312" w:cs="仿宋_GB2312" w:eastAsia="仿宋_GB2312"/>
                <w:sz w:val="24"/>
              </w:rPr>
              <w:t>《人工智能陕西省政务服务领域应用咨询方案（</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3.服务要求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1）研究服务参照《GB/T 42652-2023 政府和社会资本合作 咨询服务要求》执行；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2）研究人员应签署保密协议；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研究过程原则上应包含现状调研、意见征集、技术研究、内部论证、专家审议、征求意见等环节，最终由局按照程序审定发布。对于研究内容单一的，经局项目负责人同意后，在不影响研究成果质量情况下，可以整合或减少部分环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4）研究成果经专家审议通过后，视为验收通过。</w:t>
            </w:r>
          </w:p>
          <w:p>
            <w:pPr>
              <w:pStyle w:val="null3"/>
              <w:ind w:firstLine="480"/>
              <w:jc w:val="both"/>
            </w:pPr>
            <w:r>
              <w:rPr>
                <w:rFonts w:ascii="仿宋_GB2312" w:hAnsi="仿宋_GB2312" w:cs="仿宋_GB2312" w:eastAsia="仿宋_GB2312"/>
                <w:sz w:val="24"/>
              </w:rPr>
              <w:t>（三）开展政务服务常态化监测服务</w:t>
            </w:r>
          </w:p>
          <w:p>
            <w:pPr>
              <w:pStyle w:val="null3"/>
              <w:ind w:firstLine="480"/>
              <w:jc w:val="both"/>
            </w:pPr>
            <w:r>
              <w:rPr>
                <w:rFonts w:ascii="仿宋_GB2312" w:hAnsi="仿宋_GB2312" w:cs="仿宋_GB2312" w:eastAsia="仿宋_GB2312"/>
                <w:sz w:val="24"/>
              </w:rPr>
              <w:t>在政务服务效能评价、</w:t>
            </w:r>
            <w:r>
              <w:rPr>
                <w:rFonts w:ascii="仿宋_GB2312" w:hAnsi="仿宋_GB2312" w:cs="仿宋_GB2312" w:eastAsia="仿宋_GB2312"/>
                <w:sz w:val="24"/>
              </w:rPr>
              <w:t>“高效办成一件事”运营、事项梳理标准化、办事指南准确度等方面开展政务服务常态化监测服务，有利于保障平台稳定高效运行，持续改进政务服务质量，提升企业和群众的满意度和获得感，推动“互联网+政务服务”向更高水平发展。</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1）政务服务效能监测</w:t>
            </w:r>
          </w:p>
          <w:p>
            <w:pPr>
              <w:pStyle w:val="null3"/>
              <w:ind w:firstLine="480"/>
              <w:jc w:val="both"/>
            </w:pPr>
            <w:r>
              <w:rPr>
                <w:rFonts w:ascii="仿宋_GB2312" w:hAnsi="仿宋_GB2312" w:cs="仿宋_GB2312" w:eastAsia="仿宋_GB2312"/>
                <w:sz w:val="24"/>
              </w:rPr>
              <w:t>结合陕西省情，从政务服务平台能力、数据能力、服务能力、应用支撑能力、事项管理能力、安全管理能力等方面入手，构建陕西省政务服务效能评价指标体系，并出具效能监测分析报告，供陕西省政务服务相关领导和管理机构、实施单位决策参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2）“高效办成一件事”效能监测</w:t>
            </w:r>
          </w:p>
          <w:p>
            <w:pPr>
              <w:pStyle w:val="null3"/>
              <w:ind w:firstLine="480"/>
              <w:jc w:val="both"/>
            </w:pPr>
            <w:r>
              <w:rPr>
                <w:rFonts w:ascii="仿宋_GB2312" w:hAnsi="仿宋_GB2312" w:cs="仿宋_GB2312" w:eastAsia="仿宋_GB2312"/>
                <w:sz w:val="24"/>
              </w:rPr>
              <w:t>结合陕西省情，从覆盖</w:t>
            </w:r>
            <w:r>
              <w:rPr>
                <w:rFonts w:ascii="仿宋_GB2312" w:hAnsi="仿宋_GB2312" w:cs="仿宋_GB2312" w:eastAsia="仿宋_GB2312"/>
                <w:sz w:val="24"/>
              </w:rPr>
              <w:t>“高效办成一件事”重点事项落地、渠道建设、模式创新、数字赋能、扩面增效等方面入手，设计完整可量化的评测指标体系，并出具“高效办成一件事”效能监测分析报告。建立沟通答疑长效机制，确保在服务期间，陕西省数据和政务服务局、省数据和政务服务中心能够随时获得专业的答疑服务，其中每月提供沟通交流的驻场咨询服务不少于5人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3）事项标准化监测及办事指南准确度抽检分析</w:t>
            </w:r>
          </w:p>
          <w:p>
            <w:pPr>
              <w:pStyle w:val="null3"/>
              <w:ind w:firstLine="480"/>
              <w:jc w:val="both"/>
            </w:pPr>
            <w:r>
              <w:rPr>
                <w:rFonts w:ascii="仿宋_GB2312" w:hAnsi="仿宋_GB2312" w:cs="仿宋_GB2312" w:eastAsia="仿宋_GB2312"/>
                <w:sz w:val="24"/>
              </w:rPr>
              <w:t>开展事项标准化监测，确保政务服务事项的规范统一，避免因地区或部门差异导致的服务标准不一致，提升服务的公平性和可预期性。结合国办抽检情况，开展办事指南准确度抽检分析，及时发现并纠正办事指南中的错误或模糊信息，确保群众获取的办事信息清晰、准确，减少因信息不对称导致的办事难题，提升服务效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4）陕西省一体化政务服务平台运行监测</w:t>
            </w:r>
          </w:p>
          <w:p>
            <w:pPr>
              <w:pStyle w:val="null3"/>
              <w:ind w:firstLine="480"/>
              <w:jc w:val="both"/>
            </w:pPr>
            <w:r>
              <w:rPr>
                <w:rFonts w:ascii="仿宋_GB2312" w:hAnsi="仿宋_GB2312" w:cs="仿宋_GB2312" w:eastAsia="仿宋_GB2312"/>
                <w:sz w:val="24"/>
              </w:rPr>
              <w:t>2025年上半年，陕西省一体化政务服务平台将陆续完成对陕西政务服务网、秦务员APP等22个业务系统的升级迭代，需从用户体验的角度出发，从总体架构、数据架构、技术架构、部署架构、安全架构等角度，梳理陕西省一体化政务服务平台的系统运行情况，持续开展平台运行监测并出具监测分析报告。</w:t>
            </w:r>
          </w:p>
          <w:p>
            <w:pPr>
              <w:pStyle w:val="null3"/>
              <w:ind w:firstLine="480"/>
              <w:jc w:val="both"/>
            </w:pPr>
            <w:r>
              <w:rPr>
                <w:rFonts w:ascii="仿宋_GB2312" w:hAnsi="仿宋_GB2312" w:cs="仿宋_GB2312" w:eastAsia="仿宋_GB2312"/>
                <w:sz w:val="24"/>
              </w:rPr>
              <w:t>2.交付成果</w:t>
            </w:r>
          </w:p>
          <w:p>
            <w:pPr>
              <w:pStyle w:val="null3"/>
              <w:ind w:firstLine="480"/>
              <w:jc w:val="both"/>
            </w:pPr>
            <w:r>
              <w:rPr>
                <w:rFonts w:ascii="仿宋_GB2312" w:hAnsi="仿宋_GB2312" w:cs="仿宋_GB2312" w:eastAsia="仿宋_GB2312"/>
                <w:sz w:val="24"/>
              </w:rPr>
              <w:t>《陕西省政务服务效能评价指标体系》（</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《陕西省政务服务效能监测分析报告（</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《陕西省</w:t>
            </w:r>
            <w:r>
              <w:rPr>
                <w:rFonts w:ascii="仿宋_GB2312" w:hAnsi="仿宋_GB2312" w:cs="仿宋_GB2312" w:eastAsia="仿宋_GB2312"/>
                <w:sz w:val="24"/>
              </w:rPr>
              <w:t>“高效办成一件事”效能监测指标体系》（1套）；</w:t>
            </w:r>
          </w:p>
          <w:p>
            <w:pPr>
              <w:pStyle w:val="null3"/>
              <w:ind w:firstLine="480"/>
              <w:jc w:val="both"/>
            </w:pPr>
            <w:r>
              <w:rPr>
                <w:rFonts w:ascii="仿宋_GB2312" w:hAnsi="仿宋_GB2312" w:cs="仿宋_GB2312" w:eastAsia="仿宋_GB2312"/>
                <w:sz w:val="24"/>
              </w:rPr>
              <w:t>《陕西省</w:t>
            </w:r>
            <w:r>
              <w:rPr>
                <w:rFonts w:ascii="仿宋_GB2312" w:hAnsi="仿宋_GB2312" w:cs="仿宋_GB2312" w:eastAsia="仿宋_GB2312"/>
                <w:sz w:val="24"/>
              </w:rPr>
              <w:t>“高效办成一件事”效能监测分析报告（2025年度）》（1份）；</w:t>
            </w:r>
          </w:p>
          <w:p>
            <w:pPr>
              <w:pStyle w:val="null3"/>
              <w:ind w:firstLine="480"/>
              <w:jc w:val="both"/>
            </w:pPr>
            <w:r>
              <w:rPr>
                <w:rFonts w:ascii="仿宋_GB2312" w:hAnsi="仿宋_GB2312" w:cs="仿宋_GB2312" w:eastAsia="仿宋_GB2312"/>
                <w:sz w:val="24"/>
              </w:rPr>
              <w:t>《陕西省</w:t>
            </w:r>
            <w:r>
              <w:rPr>
                <w:rFonts w:ascii="仿宋_GB2312" w:hAnsi="仿宋_GB2312" w:cs="仿宋_GB2312" w:eastAsia="仿宋_GB2312"/>
                <w:sz w:val="24"/>
              </w:rPr>
              <w:t>“高效办成一件事”效能监测分析报告（2026年半年度）》（1份）；</w:t>
            </w:r>
          </w:p>
          <w:p>
            <w:pPr>
              <w:pStyle w:val="null3"/>
              <w:ind w:firstLine="480"/>
              <w:jc w:val="both"/>
            </w:pPr>
            <w:r>
              <w:rPr>
                <w:rFonts w:ascii="仿宋_GB2312" w:hAnsi="仿宋_GB2312" w:cs="仿宋_GB2312" w:eastAsia="仿宋_GB2312"/>
                <w:sz w:val="24"/>
              </w:rPr>
              <w:t>服务期内常态培训答疑服务及驻场服务（</w:t>
            </w:r>
            <w:r>
              <w:rPr>
                <w:rFonts w:ascii="仿宋_GB2312" w:hAnsi="仿宋_GB2312" w:cs="仿宋_GB2312" w:eastAsia="仿宋_GB2312"/>
                <w:sz w:val="24"/>
              </w:rPr>
              <w:t>1项）；</w:t>
            </w:r>
          </w:p>
          <w:p>
            <w:pPr>
              <w:pStyle w:val="null3"/>
              <w:ind w:firstLine="480"/>
              <w:jc w:val="both"/>
            </w:pPr>
            <w:r>
              <w:rPr>
                <w:rFonts w:ascii="仿宋_GB2312" w:hAnsi="仿宋_GB2312" w:cs="仿宋_GB2312" w:eastAsia="仿宋_GB2312"/>
                <w:sz w:val="24"/>
              </w:rPr>
              <w:t>事项标准化及办事指南准确度分析规则（</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《陕西省政务服务事项标准化监测及办事指南准确度抽检分析报告（</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《陕西省政务服务事项标准化监测及办事指南准确度抽检分析报告（</w:t>
            </w:r>
            <w:r>
              <w:rPr>
                <w:rFonts w:ascii="仿宋_GB2312" w:hAnsi="仿宋_GB2312" w:cs="仿宋_GB2312" w:eastAsia="仿宋_GB2312"/>
                <w:sz w:val="24"/>
              </w:rPr>
              <w:t>2026年半年度）》（1份）；</w:t>
            </w:r>
          </w:p>
          <w:p>
            <w:pPr>
              <w:pStyle w:val="null3"/>
              <w:ind w:firstLine="480"/>
              <w:jc w:val="both"/>
            </w:pPr>
            <w:r>
              <w:rPr>
                <w:rFonts w:ascii="仿宋_GB2312" w:hAnsi="仿宋_GB2312" w:cs="仿宋_GB2312" w:eastAsia="仿宋_GB2312"/>
                <w:sz w:val="24"/>
              </w:rPr>
              <w:t>《陕西省一体化政务服务平台运行监测指标体系》（</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《陕西省一体化政务服务平台运行监测报告（</w:t>
            </w:r>
            <w:r>
              <w:rPr>
                <w:rFonts w:ascii="仿宋_GB2312" w:hAnsi="仿宋_GB2312" w:cs="仿宋_GB2312" w:eastAsia="仿宋_GB2312"/>
                <w:sz w:val="24"/>
              </w:rPr>
              <w:t>2025年度）》（1份）。</w:t>
            </w:r>
          </w:p>
          <w:p>
            <w:pPr>
              <w:pStyle w:val="null3"/>
              <w:ind w:firstLine="480"/>
              <w:jc w:val="both"/>
            </w:pPr>
            <w:r>
              <w:rPr>
                <w:rFonts w:ascii="仿宋_GB2312" w:hAnsi="仿宋_GB2312" w:cs="仿宋_GB2312" w:eastAsia="仿宋_GB2312"/>
                <w:sz w:val="24"/>
              </w:rPr>
              <w:t>3.服务要求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1）研究服务参照《GB/T 42652-2023 政府和社会资本合作 咨询服务要求》执行；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2）研究人员应签署保密协议；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研究过程原则上应包含现状调研、意见征集、技术研究、内部论证、专家审议、征求意见等环节，最终由局按照程序审定发布。对于研究内容单一的，经局项目负责人同意后，在不影响研究成果质量情况下，可以整合或减少部分环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4）研究成果经专家审议通过后，视为验收通过。</w:t>
            </w:r>
          </w:p>
          <w:p>
            <w:pPr>
              <w:pStyle w:val="null3"/>
              <w:ind w:firstLine="480"/>
              <w:jc w:val="both"/>
            </w:pPr>
            <w:r>
              <w:rPr>
                <w:rFonts w:ascii="仿宋_GB2312" w:hAnsi="仿宋_GB2312" w:cs="仿宋_GB2312" w:eastAsia="仿宋_GB2312"/>
                <w:sz w:val="24"/>
              </w:rPr>
              <w:t>五、服务实施</w:t>
            </w:r>
          </w:p>
          <w:p>
            <w:pPr>
              <w:pStyle w:val="null3"/>
              <w:ind w:firstLine="480"/>
              <w:jc w:val="both"/>
            </w:pPr>
            <w:r>
              <w:rPr>
                <w:rFonts w:ascii="仿宋_GB2312" w:hAnsi="仿宋_GB2312" w:cs="仿宋_GB2312" w:eastAsia="仿宋_GB2312"/>
                <w:sz w:val="24"/>
              </w:rPr>
              <w:t>（一）实施管理</w:t>
            </w:r>
          </w:p>
          <w:p>
            <w:pPr>
              <w:pStyle w:val="null3"/>
              <w:ind w:firstLine="480"/>
              <w:jc w:val="both"/>
            </w:pPr>
            <w:r>
              <w:rPr>
                <w:rFonts w:ascii="仿宋_GB2312" w:hAnsi="仿宋_GB2312" w:cs="仿宋_GB2312" w:eastAsia="仿宋_GB2312"/>
                <w:sz w:val="24"/>
              </w:rPr>
              <w:t>为保证</w:t>
            </w:r>
            <w:r>
              <w:rPr>
                <w:rFonts w:ascii="仿宋_GB2312" w:hAnsi="仿宋_GB2312" w:cs="仿宋_GB2312" w:eastAsia="仿宋_GB2312"/>
                <w:sz w:val="24"/>
              </w:rPr>
              <w:t>2025年度陕西省政务服务能力评估与效能监测服务项目顺利申报、审批、建设和验收，项目管理咨询服务实施中须强化实施管理，主要包括：</w:t>
            </w:r>
          </w:p>
          <w:p>
            <w:pPr>
              <w:pStyle w:val="null3"/>
              <w:ind w:firstLine="480"/>
              <w:jc w:val="both"/>
            </w:pPr>
            <w:r>
              <w:rPr>
                <w:rFonts w:ascii="仿宋_GB2312" w:hAnsi="仿宋_GB2312" w:cs="仿宋_GB2312" w:eastAsia="仿宋_GB2312"/>
                <w:sz w:val="24"/>
              </w:rPr>
              <w:t>1.进度管理。第三方咨询机构应明确本项目工作的方式、方法、过程步骤、按阶段分解的详细计划、对应计划应提交的工作成果、需要省数据和政务服务局协调与配合的事项，其中需要包括进度计划、里程碑、交付成果、人员安排等，并经省数据和政务服务局审核、批准。第三方咨询机构须接受并服从省数据和政务服务局的监督、管理要求，按要求提供中间过程工作成果。</w:t>
            </w:r>
          </w:p>
          <w:p>
            <w:pPr>
              <w:pStyle w:val="null3"/>
              <w:ind w:firstLine="480"/>
              <w:jc w:val="both"/>
            </w:pPr>
            <w:r>
              <w:rPr>
                <w:rFonts w:ascii="仿宋_GB2312" w:hAnsi="仿宋_GB2312" w:cs="仿宋_GB2312" w:eastAsia="仿宋_GB2312"/>
                <w:sz w:val="24"/>
              </w:rPr>
              <w:t>2.组织实施。为使项目按质、按量、按时及有序实施，第三方咨询机构应建立完善、稳定的项目团队、内部组织管理方式及管理机构、协调机制、技术基础，支撑保障要求及其他相关要求。在机制保障方面，成立组织实施小组和项目领导组的双轨制的组织模式。在项目日常管理和条件保障方面，从行政组织、后勤保障和支撑条件各方面创造良好的服务环境，确保项目的顺利实施。</w:t>
            </w:r>
          </w:p>
          <w:p>
            <w:pPr>
              <w:pStyle w:val="null3"/>
              <w:ind w:firstLine="480"/>
              <w:jc w:val="both"/>
            </w:pPr>
            <w:r>
              <w:rPr>
                <w:rFonts w:ascii="仿宋_GB2312" w:hAnsi="仿宋_GB2312" w:cs="仿宋_GB2312" w:eastAsia="仿宋_GB2312"/>
                <w:sz w:val="24"/>
              </w:rPr>
              <w:t>3.沟通管理。第三方咨询机构应制定详细的沟通计划，建立工作汇报机制和问题反馈机制，确定工作沟通对接人，按周、月定期向省数据和政务服务局提交工作情况报告，常态化汇报日常工作进展、存在的问题及下一步工作计划，并就专项工作形成工作专报，呈送各业务处室和相关领导。根据工作需要，及时汇报重大事项和紧急事项。</w:t>
            </w:r>
          </w:p>
          <w:p>
            <w:pPr>
              <w:pStyle w:val="null3"/>
              <w:ind w:firstLine="480"/>
              <w:jc w:val="both"/>
            </w:pPr>
            <w:r>
              <w:rPr>
                <w:rFonts w:ascii="仿宋_GB2312" w:hAnsi="仿宋_GB2312" w:cs="仿宋_GB2312" w:eastAsia="仿宋_GB2312"/>
                <w:sz w:val="24"/>
              </w:rPr>
              <w:t>4.文档管理。第三方咨询机构应在项目服务期内或完成时，按照档案管理要求，将本项目所有文档、资料汇集成册交付给采购人，所有文件要求用中文书写或有完整的中文注释。</w:t>
            </w:r>
          </w:p>
          <w:p>
            <w:pPr>
              <w:pStyle w:val="null3"/>
              <w:ind w:firstLine="480"/>
              <w:jc w:val="both"/>
            </w:pPr>
            <w:r>
              <w:rPr>
                <w:rFonts w:ascii="仿宋_GB2312" w:hAnsi="仿宋_GB2312" w:cs="仿宋_GB2312" w:eastAsia="仿宋_GB2312"/>
                <w:sz w:val="24"/>
              </w:rPr>
              <w:t>5.质量管理。第三方咨询机构应建立项目质量管理体系，包括但不限于质量目标、质量指标、岗位责任、问题处理计划、质量评价、整改完善等内容，并建立奖惩制度，交付质量要与最终的费用支付比例挂钩。</w:t>
            </w:r>
          </w:p>
          <w:p>
            <w:pPr>
              <w:pStyle w:val="null3"/>
              <w:ind w:firstLine="480"/>
              <w:jc w:val="both"/>
            </w:pPr>
            <w:r>
              <w:rPr>
                <w:rFonts w:ascii="仿宋_GB2312" w:hAnsi="仿宋_GB2312" w:cs="仿宋_GB2312" w:eastAsia="仿宋_GB2312"/>
                <w:sz w:val="24"/>
              </w:rPr>
              <w:t>6.费用管理。第三方咨询机构应制定资金使用计划，本着计划管理、专账管理、专款专用、提高效益原则进行管理，在项目资金使用过程中厉行节俭、降低工程成本，防止损失浪费。同时，应严格按照有关规定，依法合规做好项目采购和劳务费等专项管理。</w:t>
            </w:r>
          </w:p>
          <w:p>
            <w:pPr>
              <w:pStyle w:val="null3"/>
              <w:ind w:firstLine="480"/>
              <w:jc w:val="both"/>
            </w:pPr>
            <w:r>
              <w:rPr>
                <w:rFonts w:ascii="仿宋_GB2312" w:hAnsi="仿宋_GB2312" w:cs="仿宋_GB2312" w:eastAsia="仿宋_GB2312"/>
                <w:sz w:val="24"/>
              </w:rPr>
              <w:t>7.验收管理。项目验收按照陕西省数据和政务服务局项目验收的有关规定执行，验收依据包括：1）合同、招标文件、投标文件明确的服务内容；2）按照合同和根据招标文件所编写的投标文件中相关的全部文档。</w:t>
            </w:r>
          </w:p>
          <w:p>
            <w:pPr>
              <w:pStyle w:val="null3"/>
              <w:ind w:firstLine="480"/>
              <w:jc w:val="both"/>
            </w:pPr>
            <w:r>
              <w:rPr>
                <w:rFonts w:ascii="仿宋_GB2312" w:hAnsi="仿宋_GB2312" w:cs="仿宋_GB2312" w:eastAsia="仿宋_GB2312"/>
                <w:sz w:val="24"/>
              </w:rPr>
              <w:t>（二）成果归属</w:t>
            </w:r>
          </w:p>
          <w:p>
            <w:pPr>
              <w:pStyle w:val="null3"/>
              <w:ind w:firstLine="480"/>
              <w:jc w:val="both"/>
            </w:pPr>
            <w:r>
              <w:rPr>
                <w:rFonts w:ascii="仿宋_GB2312" w:hAnsi="仿宋_GB2312" w:cs="仿宋_GB2312" w:eastAsia="仿宋_GB2312"/>
                <w:sz w:val="24"/>
              </w:rPr>
              <w:t>1.第三方咨询机构为履行本项目义务所形成的服务成果的知识产权、数据所有权归政府所有。本项目不会引起任何已申请、登记的知识产权所有权的转移。</w:t>
            </w:r>
          </w:p>
          <w:p>
            <w:pPr>
              <w:pStyle w:val="null3"/>
              <w:ind w:firstLine="480"/>
              <w:jc w:val="both"/>
            </w:pPr>
            <w:r>
              <w:rPr>
                <w:rFonts w:ascii="仿宋_GB2312" w:hAnsi="仿宋_GB2312" w:cs="仿宋_GB2312" w:eastAsia="仿宋_GB2312"/>
                <w:sz w:val="24"/>
              </w:rPr>
              <w:t>2.第三方咨询机构提供的相关软件应是自行开发的产品或具备合法、合规授权，满足知识产权等方面的有关规定和要求。</w:t>
            </w:r>
          </w:p>
          <w:p>
            <w:pPr>
              <w:pStyle w:val="null3"/>
              <w:ind w:firstLine="480"/>
              <w:jc w:val="both"/>
            </w:pPr>
            <w:r>
              <w:rPr>
                <w:rFonts w:ascii="仿宋_GB2312" w:hAnsi="仿宋_GB2312" w:cs="仿宋_GB2312" w:eastAsia="仿宋_GB2312"/>
                <w:sz w:val="24"/>
              </w:rPr>
              <w:t>3.第三方咨询机构保证向省数据和政务服务局提供的服务成果是其独立实施完成，不存在任何侵犯第三方专利权、商标权、著作权等合法权益。</w:t>
            </w:r>
          </w:p>
          <w:p>
            <w:pPr>
              <w:pStyle w:val="null3"/>
              <w:ind w:firstLine="480"/>
              <w:jc w:val="both"/>
            </w:pPr>
            <w:r>
              <w:rPr>
                <w:rFonts w:ascii="仿宋_GB2312" w:hAnsi="仿宋_GB2312" w:cs="仿宋_GB2312" w:eastAsia="仿宋_GB2312"/>
                <w:sz w:val="24"/>
              </w:rPr>
              <w:t>（三）保密要求</w:t>
            </w:r>
          </w:p>
          <w:p>
            <w:pPr>
              <w:pStyle w:val="null3"/>
              <w:ind w:firstLine="480"/>
              <w:jc w:val="both"/>
            </w:pPr>
            <w:r>
              <w:rPr>
                <w:rFonts w:ascii="仿宋_GB2312" w:hAnsi="仿宋_GB2312" w:cs="仿宋_GB2312" w:eastAsia="仿宋_GB2312"/>
                <w:sz w:val="24"/>
              </w:rPr>
              <w:t>项目实施过程中涉及省级政务信息化项目立项审批过程信息、省级政务信息化建设专项资金使用情况等敏感信息，需要制定严格的保密工作制度，主要包括：</w:t>
            </w:r>
          </w:p>
          <w:p>
            <w:pPr>
              <w:pStyle w:val="null3"/>
              <w:ind w:firstLine="480"/>
              <w:jc w:val="both"/>
            </w:pPr>
            <w:r>
              <w:rPr>
                <w:rFonts w:ascii="仿宋_GB2312" w:hAnsi="仿宋_GB2312" w:cs="仿宋_GB2312" w:eastAsia="仿宋_GB2312"/>
                <w:sz w:val="24"/>
              </w:rPr>
              <w:t>1.第三方咨询机构应签订保密协议，对其因身份、职务、职业或技术关系而知悉的党政机关保密信息和省级政务信息化项目敏感信息应严格保守，保证不被披露或使用，包括意外或过失。</w:t>
            </w:r>
          </w:p>
          <w:p>
            <w:pPr>
              <w:pStyle w:val="null3"/>
              <w:ind w:firstLine="480"/>
              <w:jc w:val="both"/>
            </w:pPr>
            <w:r>
              <w:rPr>
                <w:rFonts w:ascii="仿宋_GB2312" w:hAnsi="仿宋_GB2312" w:cs="仿宋_GB2312" w:eastAsia="仿宋_GB2312"/>
                <w:sz w:val="24"/>
              </w:rPr>
              <w:t>2.第三方咨询机构不得以竞争为目的、或出于私利、或为第三人谋利而擅自保存、披露、使用党政机关保密信息和省级政务信息化项目敏感信息；未经允许，在从事政府项目时，不得擅自记录、复制、拍摄、摘抄、收藏在工作中涉及的保密信息；未经允许，不得直接或间接地向无关人员泄露党政机关保密信息和省级政务信息化项目敏感信息；未经允许，不得向不承担保密义务的任何第三人披露党政机关保密信息和省级政务信息化项目敏感信息。</w:t>
            </w:r>
          </w:p>
          <w:p>
            <w:pPr>
              <w:pStyle w:val="null3"/>
              <w:ind w:firstLine="480"/>
              <w:jc w:val="both"/>
            </w:pPr>
            <w:r>
              <w:rPr>
                <w:rFonts w:ascii="仿宋_GB2312" w:hAnsi="仿宋_GB2312" w:cs="仿宋_GB2312" w:eastAsia="仿宋_GB2312"/>
                <w:sz w:val="24"/>
              </w:rPr>
              <w:t>3.第三方咨询机构及其工作人员对于工作期间知悉采购人的党政机关保密信息和省级政务信息化项目敏感信息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both"/>
            </w:pPr>
            <w:r>
              <w:rPr>
                <w:rFonts w:ascii="仿宋_GB2312" w:hAnsi="仿宋_GB2312" w:cs="仿宋_GB2312" w:eastAsia="仿宋_GB2312"/>
                <w:sz w:val="24"/>
                <w:b/>
              </w:rPr>
              <w:t>商务及其他要求</w:t>
            </w:r>
          </w:p>
          <w:p>
            <w:pPr>
              <w:pStyle w:val="null3"/>
              <w:numPr>
                <w:ilvl w:val="0"/>
                <w:numId w:val="1"/>
              </w:numPr>
              <w:jc w:val="both"/>
            </w:pPr>
            <w:r>
              <w:rPr>
                <w:rFonts w:ascii="仿宋_GB2312" w:hAnsi="仿宋_GB2312" w:cs="仿宋_GB2312" w:eastAsia="仿宋_GB2312"/>
                <w:sz w:val="24"/>
                <w:b/>
              </w:rPr>
              <w:t>质量要求：合格</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服务期</w:t>
            </w:r>
            <w:r>
              <w:rPr>
                <w:rFonts w:ascii="仿宋_GB2312" w:hAnsi="仿宋_GB2312" w:cs="仿宋_GB2312" w:eastAsia="仿宋_GB2312"/>
                <w:sz w:val="24"/>
                <w:b/>
              </w:rPr>
              <w:t>：</w:t>
            </w:r>
            <w:r>
              <w:rPr>
                <w:rFonts w:ascii="仿宋_GB2312" w:hAnsi="仿宋_GB2312" w:cs="仿宋_GB2312" w:eastAsia="仿宋_GB2312"/>
                <w:sz w:val="24"/>
                <w:b/>
              </w:rPr>
              <w:t>自合同签订之日起一年。</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服务地点：采购人指定地点。</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合同价款：</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.1合同总价包括：项目实施费及其他费用等从项目实施至验收合格等所有其他有关各项的含税费用。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.2合同总价一次包死，不受市场价格、工作量变化等其它因素的影响。</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1付款方式：</w:t>
            </w:r>
            <w:r>
              <w:rPr>
                <w:rFonts w:ascii="仿宋_GB2312" w:hAnsi="仿宋_GB2312" w:cs="仿宋_GB2312" w:eastAsia="仿宋_GB2312"/>
                <w:sz w:val="24"/>
              </w:rPr>
              <w:t>第一次付款：合同签订后，采购人向成交供应商支付合同金额的</w:t>
            </w:r>
            <w:r>
              <w:rPr>
                <w:rFonts w:ascii="仿宋_GB2312" w:hAnsi="仿宋_GB2312" w:cs="仿宋_GB2312" w:eastAsia="仿宋_GB2312"/>
                <w:sz w:val="24"/>
              </w:rPr>
              <w:t>30%，第二次付款：2025年底前完成对应时间节点的交付成果，支付合同金额的50%；第三次付款：项目完成且通过专家评审完成验收后，结合考核结果，采购人向成交供应商支付剩余合同款项。</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结算方式：采购人与成交供应商直接结算。</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支付方式：银行转账形式结账。</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付款条件：</w:t>
            </w:r>
            <w:r>
              <w:rPr>
                <w:rFonts w:ascii="仿宋_GB2312" w:hAnsi="仿宋_GB2312" w:cs="仿宋_GB2312" w:eastAsia="仿宋_GB2312"/>
                <w:sz w:val="24"/>
              </w:rPr>
              <w:t>供应商需提供合同总价款的增值税普通发票</w:t>
            </w:r>
            <w:r>
              <w:rPr>
                <w:rFonts w:ascii="仿宋_GB2312" w:hAnsi="仿宋_GB2312" w:cs="仿宋_GB2312" w:eastAsia="仿宋_GB2312"/>
                <w:sz w:val="24"/>
              </w:rPr>
              <w:t>，作为采购人向供应商支付的凭证。</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项目检验与验收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.1、成交供应商向采购人提交项目实施过程中的所有资料。</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.2、验收须以合同、竞争性磋商文件及竞争性磋商响应文件、澄清、及国家相应的标准、规范等为依据。</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版权要求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在本服务进行过程中，有关的知识产权均属于采购人享有。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成交供应商不得以任何形式向与本项目无关的其他单位或人员提供研究文件及所附的有关资料，如违反，必须赔偿甲方的所有损失，且甲方</w:t>
            </w:r>
            <w:r>
              <w:rPr>
                <w:rFonts w:ascii="仿宋_GB2312" w:hAnsi="仿宋_GB2312" w:cs="仿宋_GB2312" w:eastAsia="仿宋_GB2312"/>
                <w:sz w:val="24"/>
              </w:rPr>
              <w:t>有权追究其法律责任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采购人在中华人民共和国境内使用成交供应商提供的产品及服务时免受</w:t>
            </w:r>
            <w:r>
              <w:rPr>
                <w:rFonts w:ascii="仿宋_GB2312" w:hAnsi="仿宋_GB2312" w:cs="仿宋_GB2312" w:eastAsia="仿宋_GB2312"/>
                <w:sz w:val="24"/>
              </w:rPr>
              <w:t>除采购人以外的</w:t>
            </w:r>
            <w:r>
              <w:rPr>
                <w:rFonts w:ascii="仿宋_GB2312" w:hAnsi="仿宋_GB2312" w:cs="仿宋_GB2312" w:eastAsia="仿宋_GB2312"/>
                <w:sz w:val="24"/>
              </w:rPr>
              <w:t>第三方提出的侵犯其专利权或其它知识产权的起诉。如果第三方提出侵权指控，成交供应商应承担由此而引起的一切</w:t>
            </w:r>
            <w:r>
              <w:rPr>
                <w:rFonts w:ascii="仿宋_GB2312" w:hAnsi="仿宋_GB2312" w:cs="仿宋_GB2312" w:eastAsia="仿宋_GB2312"/>
                <w:sz w:val="24"/>
              </w:rPr>
              <w:t>沟通交涉、</w:t>
            </w:r>
            <w:r>
              <w:rPr>
                <w:rFonts w:ascii="仿宋_GB2312" w:hAnsi="仿宋_GB2312" w:cs="仿宋_GB2312" w:eastAsia="仿宋_GB2312"/>
                <w:sz w:val="24"/>
              </w:rPr>
              <w:t>法律责任和费用。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因违反本条规定而产生侵权纠纷，导致采购人不能正常使用成果文件用于实际业务，则</w:t>
            </w:r>
            <w:r>
              <w:rPr>
                <w:rFonts w:ascii="仿宋_GB2312" w:hAnsi="仿宋_GB2312" w:cs="仿宋_GB2312" w:eastAsia="仿宋_GB2312"/>
                <w:sz w:val="24"/>
              </w:rPr>
              <w:t>中标</w:t>
            </w:r>
            <w:r>
              <w:rPr>
                <w:rFonts w:ascii="仿宋_GB2312" w:hAnsi="仿宋_GB2312" w:cs="仿宋_GB2312" w:eastAsia="仿宋_GB2312"/>
                <w:sz w:val="24"/>
              </w:rPr>
              <w:t>人负责赔偿采购人由此造成的全部损失。</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使用权许可要求：采购人对所采购的成果数据拥有合法的所有权、使用许可权。</w:t>
            </w:r>
          </w:p>
          <w:p>
            <w:pPr>
              <w:pStyle w:val="null3"/>
              <w:ind w:firstLine="241"/>
              <w:jc w:val="both"/>
            </w:pPr>
            <w:r>
              <w:rPr>
                <w:rFonts w:ascii="仿宋_GB2312" w:hAnsi="仿宋_GB2312" w:cs="仿宋_GB2312" w:eastAsia="仿宋_GB2312"/>
                <w:sz w:val="24"/>
                <w:b/>
              </w:rPr>
              <w:t>八、</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与采购人签订保密协议，负责</w:t>
            </w:r>
            <w:r>
              <w:rPr>
                <w:rFonts w:ascii="仿宋_GB2312" w:hAnsi="仿宋_GB2312" w:cs="仿宋_GB2312" w:eastAsia="仿宋_GB2312"/>
                <w:sz w:val="24"/>
              </w:rPr>
              <w:t>咨询服务</w:t>
            </w:r>
            <w:r>
              <w:rPr>
                <w:rFonts w:ascii="仿宋_GB2312" w:hAnsi="仿宋_GB2312" w:cs="仿宋_GB2312" w:eastAsia="仿宋_GB2312"/>
                <w:sz w:val="24"/>
              </w:rPr>
              <w:t>的供应商须保证对所有系统资料和数据负有保密的责任和义务，未经采购人许可，不允许向</w:t>
            </w:r>
            <w:r>
              <w:rPr>
                <w:rFonts w:ascii="仿宋_GB2312" w:hAnsi="仿宋_GB2312" w:cs="仿宋_GB2312" w:eastAsia="仿宋_GB2312"/>
                <w:sz w:val="24"/>
              </w:rPr>
              <w:t>除采购人以外的</w:t>
            </w:r>
            <w:r>
              <w:rPr>
                <w:rFonts w:ascii="仿宋_GB2312" w:hAnsi="仿宋_GB2312" w:cs="仿宋_GB2312" w:eastAsia="仿宋_GB2312"/>
                <w:sz w:val="24"/>
              </w:rPr>
              <w:t>第三方透露。</w:t>
            </w:r>
          </w:p>
          <w:p>
            <w:pPr>
              <w:pStyle w:val="null3"/>
              <w:ind w:firstLine="241"/>
              <w:jc w:val="both"/>
            </w:pPr>
            <w:r>
              <w:rPr>
                <w:rFonts w:ascii="仿宋_GB2312" w:hAnsi="仿宋_GB2312" w:cs="仿宋_GB2312" w:eastAsia="仿宋_GB2312"/>
                <w:sz w:val="24"/>
                <w:b/>
              </w:rPr>
              <w:t>九</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服务期内，</w:t>
            </w:r>
            <w:r>
              <w:rPr>
                <w:rFonts w:ascii="仿宋_GB2312" w:hAnsi="仿宋_GB2312" w:cs="仿宋_GB2312" w:eastAsia="仿宋_GB2312"/>
                <w:sz w:val="24"/>
              </w:rPr>
              <w:t>中标</w:t>
            </w:r>
            <w:r>
              <w:rPr>
                <w:rFonts w:ascii="仿宋_GB2312" w:hAnsi="仿宋_GB2312" w:cs="仿宋_GB2312" w:eastAsia="仿宋_GB2312"/>
                <w:sz w:val="24"/>
              </w:rPr>
              <w:t>人无偿</w:t>
            </w:r>
            <w:r>
              <w:rPr>
                <w:rFonts w:ascii="仿宋_GB2312" w:hAnsi="仿宋_GB2312" w:cs="仿宋_GB2312" w:eastAsia="仿宋_GB2312"/>
                <w:sz w:val="24"/>
              </w:rPr>
              <w:t>无条件</w:t>
            </w:r>
            <w:r>
              <w:rPr>
                <w:rFonts w:ascii="仿宋_GB2312" w:hAnsi="仿宋_GB2312" w:cs="仿宋_GB2312" w:eastAsia="仿宋_GB2312"/>
                <w:sz w:val="24"/>
              </w:rPr>
              <w:t>对服务出现的各类问题进行修改、完善，安排专人提供项目咨询服务。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本项目实行费用包干制，竞标报价包含完成上述服务内容所需的一切费用。如提供服务过程中产生额外费用，由</w:t>
            </w:r>
            <w:r>
              <w:rPr>
                <w:rFonts w:ascii="仿宋_GB2312" w:hAnsi="仿宋_GB2312" w:cs="仿宋_GB2312" w:eastAsia="仿宋_GB2312"/>
                <w:sz w:val="24"/>
              </w:rPr>
              <w:t>中标</w:t>
            </w:r>
            <w:r>
              <w:rPr>
                <w:rFonts w:ascii="仿宋_GB2312" w:hAnsi="仿宋_GB2312" w:cs="仿宋_GB2312" w:eastAsia="仿宋_GB2312"/>
                <w:sz w:val="24"/>
              </w:rPr>
              <w:t>人自行负责。</w:t>
            </w:r>
          </w:p>
          <w:p>
            <w:pPr>
              <w:pStyle w:val="null3"/>
              <w:jc w:val="both"/>
            </w:pPr>
            <w:r>
              <w:rPr>
                <w:rFonts w:ascii="仿宋_GB2312" w:hAnsi="仿宋_GB2312" w:cs="仿宋_GB2312" w:eastAsia="仿宋_GB2312"/>
                <w:sz w:val="24"/>
              </w:rPr>
              <w:t>3.考核要求：</w:t>
            </w:r>
            <w:r>
              <w:rPr>
                <w:rFonts w:ascii="仿宋_GB2312" w:hAnsi="仿宋_GB2312" w:cs="仿宋_GB2312" w:eastAsia="仿宋_GB2312"/>
                <w:sz w:val="24"/>
              </w:rPr>
              <w:t>第三次付款前，采购人对中标人服务进行考核，考核综合评分</w:t>
            </w:r>
            <w:r>
              <w:rPr>
                <w:rFonts w:ascii="仿宋_GB2312" w:hAnsi="仿宋_GB2312" w:cs="仿宋_GB2312" w:eastAsia="仿宋_GB2312"/>
                <w:sz w:val="24"/>
              </w:rPr>
              <w:t>≥95分的付合同价款的100%，考核综合评分≥90分且&lt;95分的付合同价款的90%，考核综合评分≥85分且&lt;90分的付合同价款的80%，考核综合评分&lt;85分，视为考核未通过，采购人有权单方解除合同。考核打分标准详见合同附件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2025年底前完成对应时间节点的交付成果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项目完成且通过专家评审完成验收后，结合考核结果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六、供应商资格证明文件.docx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时间以税款所属日期为准）证明应有税务机关或代收机关的公章或业务专用章）；依法免税的单位应提供相关文件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本项目不接受联合体磋商（提供非联合体承诺书）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单位负责人为同一人或者存在控股、管理关系的不同单位不得同时磋商（提供供应商企业关系关联承诺书）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磋商保证金交纳凭证及开户许可证或基本账户存款信息</w:t>
            </w:r>
          </w:p>
        </w:tc>
        <w:tc>
          <w:tcPr>
            <w:tcW w:type="dxa" w:w="1661"/>
          </w:tcPr>
          <w:p>
            <w:pPr>
              <w:pStyle w:val="null3"/>
            </w:pPr>
            <w:r>
              <w:rPr>
                <w:rFonts w:ascii="仿宋_GB2312" w:hAnsi="仿宋_GB2312" w:cs="仿宋_GB2312" w:eastAsia="仿宋_GB2312"/>
              </w:rPr>
              <w:t>六、供应商资格证明文件.docx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一、磋商响应函.docx 二、第一次磋商报价表.docx 三、分项报价表.docx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供应商名称与获取磋商文件的单位名称是否一致的</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一、磋商响应函.docx 二、第一次磋商报价表.docx 三、分项报价表.docx 五、磋商要求偏离表.docx 响应函 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磋商响应文件是否按照磋商文件规定要求签署、盖章的</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一、磋商响应函.docx 二、第一次磋商报价表.docx 三、分项报价表.docx 标的清单 五、磋商要求偏离表.docx 响应函 六、供应商资格证明文件.docx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响应有效期是否满足采购文件要求的</w:t>
            </w:r>
          </w:p>
        </w:tc>
        <w:tc>
          <w:tcPr>
            <w:tcW w:type="dxa" w:w="3322"/>
          </w:tcPr>
          <w:p>
            <w:pPr>
              <w:pStyle w:val="null3"/>
            </w:pPr>
            <w:r>
              <w:rPr>
                <w:rFonts w:ascii="仿宋_GB2312" w:hAnsi="仿宋_GB2312" w:cs="仿宋_GB2312" w:eastAsia="仿宋_GB2312"/>
              </w:rPr>
              <w:t>响应有效期满足采购文件要求的</w:t>
            </w:r>
          </w:p>
        </w:tc>
        <w:tc>
          <w:tcPr>
            <w:tcW w:type="dxa" w:w="1661"/>
          </w:tcPr>
          <w:p>
            <w:pPr>
              <w:pStyle w:val="null3"/>
            </w:pPr>
            <w:r>
              <w:rPr>
                <w:rFonts w:ascii="仿宋_GB2312" w:hAnsi="仿宋_GB2312" w:cs="仿宋_GB2312" w:eastAsia="仿宋_GB2312"/>
              </w:rPr>
              <w:t>响应文件封面 一、磋商响应函.docx 响应函 六、供应商资格证明文件.docx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一、磋商响应函.docx 二、第一次磋商报价表.docx 三、分项报价表.docx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五、磋商要求偏离表.docx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对本项目的解读与掌握情况</w:t>
            </w:r>
          </w:p>
        </w:tc>
        <w:tc>
          <w:tcPr>
            <w:tcW w:type="dxa" w:w="2492"/>
          </w:tcPr>
          <w:p>
            <w:pPr>
              <w:pStyle w:val="null3"/>
            </w:pPr>
            <w:r>
              <w:rPr>
                <w:rFonts w:ascii="仿宋_GB2312" w:hAnsi="仿宋_GB2312" w:cs="仿宋_GB2312" w:eastAsia="仿宋_GB2312"/>
              </w:rPr>
              <w:t>根据供应商对本项目技术需求的理解及分析程度进行赋分，充分考虑和理解本项目采购需求。对本项目的理解程度及需求分析思路是否清晰、内容是否全面、科学合理： 1.供应商所提供的服务内容完整科学，符合项目实际及需求，可操作性强，完全满足或优于磋商文件相关标准，满足采购人实际需求，根据响应情况得9-12分（含12分）； 2.供应商所提供的服务内容完整，基本符合项目实际需求，可操作根据响应情况得4-9分（含9分）； 3.供应商所提供服务内容存在缺漏项，在项目实施过程中可能存在工作不到位的情况，根据响应情况得1-4分（含4分）；未提供不得分。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本项目整体实施方案</w:t>
            </w:r>
          </w:p>
        </w:tc>
        <w:tc>
          <w:tcPr>
            <w:tcW w:type="dxa" w:w="2492"/>
          </w:tcPr>
          <w:p>
            <w:pPr>
              <w:pStyle w:val="null3"/>
            </w:pPr>
            <w:r>
              <w:rPr>
                <w:rFonts w:ascii="仿宋_GB2312" w:hAnsi="仿宋_GB2312" w:cs="仿宋_GB2312" w:eastAsia="仿宋_GB2312"/>
              </w:rPr>
              <w:t>根据供应商的服务工作方案，对本项目的重点把握突出、难点分析到位（人员配置、时间安排、数据分析、成果内容、资料清单以及工作纪律）提出针对性解决方案，实施方案中项目梳理清晰规范，保障项目切实到位，工作底稿设计清晰合理： 1.供应商针对磋商文件技术要求提供针对性强且完善的项目实施方案，服务计划书详细、合理、全面，服务方案达到或优于磋商文件标准。根据响应情况得12-16分（含16分）； 2.供应商针对磋商文件技术要求提供项目实施方案，方案基本合理，服务方案符合采购人基本要求。根据响应情况得6-12分（含12分）； 3.供应商所提供的项目实施方案有缺陷或不尽合理，服务质量未能达到采购人实际需求。根据响应情况得1-6分（含6分）。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根据供应商针对本项目提供的工作方案、项目进度安排进行综合评分： 1.详细的工作计划和进度安排，具有时效性，可以在服务期内完成计7分； 2.工作计划详细，时间进度安排一般4分； 3.工作计划不够详细，时间进度安排欠合理1分； 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投标人或软件平台供应商具有有效期内的ISO9001质量管理体系认证、ISO/IEC20000信息技术服务管理体系认证证书、ISO/IEC27001信息安全管理体系认证证书。全部具备得6分，提供一项得2分。（提供证书复印件加盖公章）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项目负责人：本项目所提供的项目负责人具备经济类或编辑类副高级以上职称的，得3分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团队成员：每配备一名团队成员得1分，最多得3分；每配备一名具备经济类或编辑类中级以上职称的团队成员得2分，最多得6分。本小项最高得6分。 注：1、项目负责人不可以作为团队成员。 2、相同人员不重复计分，须同时提供以上人员相关证明文件及投标截止日前3个月内任意一个月在本单位的社保缴纳凭证，并加盖公章，未提供或提供不全不得分。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根据供应商针对本项目提供的项目组织方案的清晰度，客观性、合理性、准确性，可执行性等综合评定： 1.供应商针对磋商文件要求提供针对性强且完善的组织方案，方案详细、合理、全面，根据响应情况得4-6分（含6分）； 2.供应商针对磋商文件要求提供项目组织方案，方案基本合理，组织方案符合采购人基本要求。根据响应情况得2-4分（含4分）； 3.供应商所提供的项目组织方案有缺陷或不尽合理，未能达到采购人实际需求。根据响应情况得1-2分（含2分）；4.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安全及保密控制方案</w:t>
            </w:r>
          </w:p>
        </w:tc>
        <w:tc>
          <w:tcPr>
            <w:tcW w:type="dxa" w:w="2492"/>
          </w:tcPr>
          <w:p>
            <w:pPr>
              <w:pStyle w:val="null3"/>
            </w:pPr>
            <w:r>
              <w:rPr>
                <w:rFonts w:ascii="仿宋_GB2312" w:hAnsi="仿宋_GB2312" w:cs="仿宋_GB2312" w:eastAsia="仿宋_GB2312"/>
              </w:rPr>
              <w:t>供应商提供针对本项目的安全保密方案，方案至少包括：1.保密管理制度；2.对数据和信息安全保密；3.其他保密措施等。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针对本项目质量保证措施方案，质量保证体系是否完备周全，保障措施及政策建议是否切合实际、协调配套、具有可操作性。 1.供应商针对磋商文件要求提供针对性强且完善的措施方案，方案详细、合理、全面，得6-10分（含10分）； 2.供应商针对磋商文件要求提供项目措施方案，方案基本合理，组织方案符合采购人基本要求，得3-6分（含6分）； 3.供应商所提供的项目措施方案有缺陷或不尽合理，未能达到采购人实际需求，得1-3分（含3分）；4.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针对本项目有明确的合理化建议。 1.建议内容合理，针对性强、明确、全面得5分； 2.建议内容有针对性，但尚有优化空间得3分； 3.建议内容不完善、表述前后不一致、套用其他项目内容等得1分；4.未提供不得分。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针对本项目服务内容和要求，提供详细的服务承诺及采取的具体可行的措施。 1.服务承诺及措施详细、全面，可行性强，计5分；2.服务承诺及措施未能达到采购人实际需求，计2分；3.未提供不计分。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供应商提供2022年至今具有类似服务项目业绩，每提供1个得3分，满分9分，不提供不得分； 注：业绩证明（以签订的合同或网站项目中标公告截图为准，须在磋商响应文件中附合同扫描件完整页或网站项目中标公告截图并加盖单位公章）弄虚作假者，取消其中标资格。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详见附件：二、第一次磋商报价表.docx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详见附件：四、磋商方案说明.docx</w:t>
      </w:r>
    </w:p>
    <w:p>
      <w:pPr>
        <w:pStyle w:val="null3"/>
        <w:ind w:firstLine="960"/>
      </w:pPr>
      <w:r>
        <w:rPr>
          <w:rFonts w:ascii="仿宋_GB2312" w:hAnsi="仿宋_GB2312" w:cs="仿宋_GB2312" w:eastAsia="仿宋_GB2312"/>
        </w:rPr>
        <w:t>详见附件：五、磋商要求偏离表.docx</w:t>
      </w:r>
    </w:p>
    <w:p>
      <w:pPr>
        <w:pStyle w:val="null3"/>
        <w:ind w:firstLine="960"/>
      </w:pPr>
      <w:r>
        <w:rPr>
          <w:rFonts w:ascii="仿宋_GB2312" w:hAnsi="仿宋_GB2312" w:cs="仿宋_GB2312" w:eastAsia="仿宋_GB2312"/>
        </w:rPr>
        <w:t>详见附件：六、供应商资格证明文件.docx</w:t>
      </w:r>
    </w:p>
    <w:p>
      <w:pPr>
        <w:pStyle w:val="null3"/>
        <w:ind w:firstLine="960"/>
      </w:pPr>
      <w:r>
        <w:rPr>
          <w:rFonts w:ascii="仿宋_GB2312" w:hAnsi="仿宋_GB2312" w:cs="仿宋_GB2312" w:eastAsia="仿宋_GB2312"/>
        </w:rPr>
        <w:t>详见附件：七、其他资料.docx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