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BBBE8">
      <w:pPr>
        <w:pStyle w:val="2"/>
        <w:bidi w:val="0"/>
        <w:rPr>
          <w:rFonts w:ascii="宋体" w:hAnsi="宋体" w:cs="宋体"/>
          <w:b/>
          <w:bCs/>
          <w:color w:val="auto"/>
          <w:sz w:val="31"/>
          <w:szCs w:val="31"/>
          <w:highlight w:val="none"/>
        </w:rPr>
      </w:pPr>
      <w:r>
        <w:rPr>
          <w:rFonts w:hint="eastAsia" w:ascii="宋体" w:hAnsi="宋体" w:eastAsia="宋体" w:cs="宋体"/>
          <w:b/>
          <w:bCs/>
          <w:color w:val="auto"/>
          <w:spacing w:val="7"/>
          <w:sz w:val="31"/>
          <w:szCs w:val="31"/>
          <w:highlight w:val="none"/>
        </w:rPr>
        <w:t>拟签订采购合同文本</w:t>
      </w:r>
    </w:p>
    <w:p w14:paraId="3C29D037">
      <w:pPr>
        <w:spacing w:line="480" w:lineRule="auto"/>
        <w:ind w:firstLine="480" w:firstLineChars="200"/>
        <w:jc w:val="center"/>
        <w:rPr>
          <w:rFonts w:hint="eastAsia" w:ascii="宋体" w:hAnsi="宋体" w:cs="宋体"/>
          <w:color w:val="auto"/>
          <w:highlight w:val="none"/>
        </w:rPr>
      </w:pPr>
      <w:r>
        <w:rPr>
          <w:rFonts w:hint="eastAsia" w:ascii="宋体" w:hAnsi="宋体" w:cs="宋体"/>
          <w:color w:val="auto"/>
          <w:sz w:val="24"/>
          <w:szCs w:val="24"/>
          <w:highlight w:val="none"/>
        </w:rPr>
        <w:t>（本合同为合同样稿，最终稿由双方协商后确定）</w:t>
      </w:r>
    </w:p>
    <w:p w14:paraId="77ED81ED">
      <w:pPr>
        <w:autoSpaceDE w:val="0"/>
        <w:autoSpaceDN w:val="0"/>
        <w:adjustRightInd w:val="0"/>
        <w:snapToGrid w:val="0"/>
        <w:spacing w:line="360" w:lineRule="auto"/>
        <w:ind w:firstLine="470" w:firstLineChars="196"/>
        <w:rPr>
          <w:rFonts w:hint="eastAsia" w:ascii="宋体" w:hAnsi="宋体" w:cs="宋体"/>
          <w:color w:val="auto"/>
          <w:sz w:val="24"/>
          <w:szCs w:val="24"/>
          <w:highlight w:val="none"/>
          <w:lang w:val="zh-CN"/>
        </w:rPr>
      </w:pPr>
      <w:bookmarkStart w:id="0" w:name="_Hlt503233640"/>
      <w:bookmarkEnd w:id="0"/>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项目名称</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，在          的监督管理下，由陕西天沃工程项目管理有限公司组织采购，</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zh-CN"/>
        </w:rPr>
        <w:t>（以下简称甲方）</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zh-CN"/>
        </w:rPr>
        <w:t>选定          (以下简称乙方）为该项目成交供应商。依据《中华人民共和国民法典》和《中华人民共和国政府采购法》</w:t>
      </w:r>
      <w:r>
        <w:rPr>
          <w:rFonts w:hint="eastAsia" w:ascii="宋体" w:hAnsi="宋体" w:cs="宋体"/>
          <w:color w:val="auto"/>
          <w:sz w:val="24"/>
          <w:szCs w:val="24"/>
          <w:highlight w:val="none"/>
          <w:lang w:val="en-US" w:eastAsia="zh-CN"/>
        </w:rPr>
        <w:t>及相关法律、法规之规定</w:t>
      </w:r>
      <w:r>
        <w:rPr>
          <w:rFonts w:hint="eastAsia" w:ascii="宋体" w:hAnsi="宋体" w:cs="宋体"/>
          <w:color w:val="auto"/>
          <w:sz w:val="24"/>
          <w:szCs w:val="24"/>
          <w:highlight w:val="none"/>
          <w:lang w:val="zh-CN"/>
        </w:rPr>
        <w:t>，经甲、乙双方共同协商，按下述条款和条件签署本合同。</w:t>
      </w:r>
    </w:p>
    <w:p w14:paraId="0EB2A5B5">
      <w:pPr>
        <w:autoSpaceDE w:val="0"/>
        <w:autoSpaceDN w:val="0"/>
        <w:adjustRightInd w:val="0"/>
        <w:snapToGrid w:val="0"/>
        <w:spacing w:line="360" w:lineRule="auto"/>
        <w:ind w:firstLine="470" w:firstLineChars="196"/>
        <w:rPr>
          <w:rFonts w:hint="eastAsia"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甲方：</w:t>
      </w:r>
    </w:p>
    <w:p w14:paraId="26D86AD4">
      <w:pPr>
        <w:autoSpaceDE w:val="0"/>
        <w:autoSpaceDN w:val="0"/>
        <w:adjustRightInd w:val="0"/>
        <w:snapToGrid w:val="0"/>
        <w:spacing w:line="360" w:lineRule="auto"/>
        <w:ind w:firstLine="470" w:firstLineChars="196"/>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乙方：</w:t>
      </w:r>
    </w:p>
    <w:p w14:paraId="3CEB28FB">
      <w:pPr>
        <w:numPr>
          <w:ilvl w:val="0"/>
          <w:numId w:val="1"/>
        </w:numPr>
        <w:tabs>
          <w:tab w:val="left" w:pos="735"/>
        </w:tabs>
        <w:autoSpaceDE w:val="0"/>
        <w:autoSpaceDN w:val="0"/>
        <w:adjustRightInd w:val="0"/>
        <w:snapToGrid w:val="0"/>
        <w:spacing w:line="360" w:lineRule="auto"/>
        <w:ind w:firstLine="482" w:firstLineChars="200"/>
        <w:rPr>
          <w:rFonts w:hint="eastAsia" w:ascii="宋体" w:hAnsi="宋体" w:cs="宋体"/>
          <w:b/>
          <w:bCs w:val="0"/>
          <w:color w:val="auto"/>
          <w:sz w:val="24"/>
          <w:szCs w:val="24"/>
          <w:highlight w:val="none"/>
        </w:rPr>
      </w:pPr>
      <w:r>
        <w:rPr>
          <w:rFonts w:hint="eastAsia" w:ascii="宋体" w:hAnsi="宋体" w:cs="宋体"/>
          <w:b/>
          <w:bCs w:val="0"/>
          <w:color w:val="auto"/>
          <w:sz w:val="24"/>
          <w:szCs w:val="24"/>
          <w:highlight w:val="none"/>
        </w:rPr>
        <w:t>合同内容:</w:t>
      </w:r>
    </w:p>
    <w:p w14:paraId="259328DF">
      <w:pPr>
        <w:tabs>
          <w:tab w:val="left" w:pos="735"/>
        </w:tabs>
        <w:autoSpaceDE w:val="0"/>
        <w:autoSpaceDN w:val="0"/>
        <w:adjustRightInd w:val="0"/>
        <w:snapToGrid w:val="0"/>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二、合同价款：</w:t>
      </w:r>
    </w:p>
    <w:p w14:paraId="23F640D1">
      <w:pPr>
        <w:tabs>
          <w:tab w:val="left" w:pos="735"/>
        </w:tabs>
        <w:autoSpaceDE w:val="0"/>
        <w:autoSpaceDN w:val="0"/>
        <w:adjustRightInd w:val="0"/>
        <w:snapToGrid w:val="0"/>
        <w:spacing w:line="360" w:lineRule="auto"/>
        <w:ind w:firstLine="480" w:firstLineChars="200"/>
        <w:outlineLvl w:val="2"/>
        <w:rPr>
          <w:rFonts w:hint="eastAsia" w:ascii="宋体" w:hAnsi="宋体" w:cs="宋体"/>
          <w:b/>
          <w:color w:val="auto"/>
          <w:sz w:val="24"/>
          <w:szCs w:val="24"/>
          <w:highlight w:val="none"/>
          <w:u w:val="single"/>
        </w:rPr>
      </w:pPr>
      <w:r>
        <w:rPr>
          <w:rFonts w:hint="eastAsia" w:ascii="宋体" w:hAnsi="宋体" w:cs="宋体"/>
          <w:color w:val="auto"/>
          <w:sz w:val="24"/>
          <w:szCs w:val="24"/>
          <w:highlight w:val="none"/>
        </w:rPr>
        <w:t>1、合同总价：</w:t>
      </w:r>
    </w:p>
    <w:p w14:paraId="5C7F21A0">
      <w:pPr>
        <w:tabs>
          <w:tab w:val="left" w:pos="735"/>
        </w:tabs>
        <w:adjustRightInd w:val="0"/>
        <w:snapToGrid w:val="0"/>
        <w:spacing w:line="360" w:lineRule="auto"/>
        <w:ind w:firstLine="504" w:firstLineChars="210"/>
        <w:outlineLvl w:val="2"/>
        <w:rPr>
          <w:rFonts w:hint="eastAsia" w:ascii="宋体" w:hAnsi="宋体" w:cs="宋体"/>
          <w:color w:val="auto"/>
          <w:sz w:val="24"/>
          <w:szCs w:val="24"/>
          <w:highlight w:val="none"/>
        </w:rPr>
      </w:pPr>
      <w:r>
        <w:rPr>
          <w:rFonts w:hint="eastAsia" w:ascii="宋体" w:hAnsi="宋体" w:cs="宋体"/>
          <w:color w:val="auto"/>
          <w:sz w:val="24"/>
          <w:szCs w:val="24"/>
          <w:highlight w:val="none"/>
        </w:rPr>
        <w:t>2、合同总价包括：项目实施费及其他费用等从项目实施至验收合格等所有其他有关各项的含税费用。</w:t>
      </w:r>
    </w:p>
    <w:p w14:paraId="4AB036A2">
      <w:pPr>
        <w:tabs>
          <w:tab w:val="left" w:pos="735"/>
        </w:tabs>
        <w:adjustRightInd w:val="0"/>
        <w:snapToGrid w:val="0"/>
        <w:spacing w:line="360" w:lineRule="auto"/>
        <w:ind w:firstLine="504" w:firstLineChars="210"/>
        <w:outlineLvl w:val="2"/>
        <w:rPr>
          <w:rFonts w:hint="eastAsia" w:ascii="宋体" w:hAnsi="宋体" w:cs="宋体"/>
          <w:color w:val="auto"/>
          <w:sz w:val="24"/>
          <w:szCs w:val="24"/>
          <w:highlight w:val="none"/>
        </w:rPr>
      </w:pPr>
      <w:r>
        <w:rPr>
          <w:rFonts w:hint="eastAsia" w:ascii="宋体" w:hAnsi="宋体" w:cs="宋体"/>
          <w:color w:val="auto"/>
          <w:sz w:val="24"/>
          <w:szCs w:val="24"/>
          <w:highlight w:val="none"/>
        </w:rPr>
        <w:t>3、合同总价一次包死，不受市场价格、工作量变化等其它因素的影响。</w:t>
      </w:r>
    </w:p>
    <w:p w14:paraId="010812B4">
      <w:pPr>
        <w:tabs>
          <w:tab w:val="left" w:pos="735"/>
        </w:tabs>
        <w:adjustRightInd w:val="0"/>
        <w:snapToGrid w:val="0"/>
        <w:spacing w:line="360" w:lineRule="auto"/>
        <w:ind w:firstLine="506" w:firstLineChars="210"/>
        <w:rPr>
          <w:rFonts w:hint="eastAsia" w:ascii="宋体" w:hAnsi="宋体" w:cs="宋体"/>
          <w:b/>
          <w:color w:val="auto"/>
          <w:sz w:val="24"/>
          <w:szCs w:val="24"/>
          <w:highlight w:val="none"/>
        </w:rPr>
      </w:pPr>
      <w:r>
        <w:rPr>
          <w:rFonts w:hint="eastAsia" w:ascii="宋体" w:hAnsi="宋体" w:cs="宋体"/>
          <w:b/>
          <w:color w:val="auto"/>
          <w:sz w:val="24"/>
          <w:szCs w:val="24"/>
          <w:highlight w:val="none"/>
        </w:rPr>
        <w:t>三、款项结算：</w:t>
      </w:r>
    </w:p>
    <w:p w14:paraId="1C2737BB">
      <w:pPr>
        <w:autoSpaceDE w:val="0"/>
        <w:autoSpaceDN w:val="0"/>
        <w:adjustRightInd w:val="0"/>
        <w:spacing w:line="360" w:lineRule="auto"/>
        <w:ind w:firstLine="480" w:firstLineChars="200"/>
        <w:outlineLvl w:val="2"/>
        <w:rPr>
          <w:rFonts w:hint="eastAsia" w:ascii="宋体" w:hAnsi="宋体" w:cs="宋体"/>
          <w:bCs/>
          <w:color w:val="auto"/>
          <w:sz w:val="24"/>
          <w:szCs w:val="24"/>
          <w:highlight w:val="none"/>
        </w:rPr>
      </w:pPr>
      <w:r>
        <w:rPr>
          <w:rFonts w:hint="eastAsia" w:ascii="宋体" w:hAnsi="宋体" w:cs="宋体"/>
          <w:bCs/>
          <w:color w:val="auto"/>
          <w:sz w:val="24"/>
          <w:szCs w:val="24"/>
          <w:highlight w:val="none"/>
        </w:rPr>
        <w:t>1、</w:t>
      </w:r>
      <w:r>
        <w:rPr>
          <w:rFonts w:hint="eastAsia" w:ascii="宋体" w:hAnsi="宋体" w:cs="宋体"/>
          <w:bCs/>
          <w:color w:val="auto"/>
          <w:sz w:val="24"/>
          <w:szCs w:val="24"/>
          <w:highlight w:val="none"/>
          <w:lang w:eastAsia="zh-CN"/>
        </w:rPr>
        <w:t>付款方式：</w:t>
      </w:r>
      <w:r>
        <w:rPr>
          <w:rFonts w:hint="eastAsia" w:ascii="宋体" w:hAnsi="宋体" w:cs="宋体"/>
          <w:color w:val="auto"/>
          <w:sz w:val="24"/>
          <w:szCs w:val="24"/>
          <w:highlight w:val="none"/>
          <w:lang w:val="en-US" w:eastAsia="zh-CN"/>
        </w:rPr>
        <w:t>第一次付款：合同签订后，采购人向成交供应商支付合同金额的30%，第二次付款：2025年底前完成对应时间节点的交付成果，支付合同金额的50%；第三次付款：项目完成且通过专家评审完成验收后，结合考核结果，采购人向成交供应商支付剩余合同款项。</w:t>
      </w:r>
    </w:p>
    <w:p w14:paraId="5621387D">
      <w:pPr>
        <w:autoSpaceDE w:val="0"/>
        <w:autoSpaceDN w:val="0"/>
        <w:adjustRightInd w:val="0"/>
        <w:spacing w:line="360" w:lineRule="auto"/>
        <w:ind w:firstLine="480" w:firstLineChars="200"/>
        <w:outlineLvl w:val="2"/>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2</w:t>
      </w:r>
      <w:r>
        <w:rPr>
          <w:rFonts w:hint="eastAsia" w:ascii="宋体" w:hAnsi="宋体" w:cs="宋体"/>
          <w:bCs/>
          <w:color w:val="auto"/>
          <w:sz w:val="24"/>
          <w:szCs w:val="24"/>
          <w:highlight w:val="none"/>
        </w:rPr>
        <w:t>、结算方式：采购人与成交供应商直接结算，发票直开采购人。</w:t>
      </w:r>
    </w:p>
    <w:p w14:paraId="58B7D258">
      <w:pPr>
        <w:autoSpaceDE w:val="0"/>
        <w:autoSpaceDN w:val="0"/>
        <w:adjustRightInd w:val="0"/>
        <w:spacing w:line="360" w:lineRule="auto"/>
        <w:ind w:firstLine="480" w:firstLineChars="200"/>
        <w:outlineLvl w:val="2"/>
        <w:rPr>
          <w:rFonts w:hint="eastAsia" w:ascii="宋体" w:hAnsi="宋体" w:cs="宋体"/>
          <w:bCs/>
          <w:color w:val="auto"/>
          <w:sz w:val="24"/>
          <w:szCs w:val="24"/>
          <w:highlight w:val="none"/>
        </w:rPr>
      </w:pPr>
      <w:r>
        <w:rPr>
          <w:rFonts w:hint="eastAsia" w:ascii="宋体" w:hAnsi="宋体" w:cs="宋体"/>
          <w:bCs/>
          <w:color w:val="auto"/>
          <w:sz w:val="24"/>
          <w:szCs w:val="24"/>
          <w:highlight w:val="none"/>
        </w:rPr>
        <w:t>3、支付方式：银行转账形式结账。</w:t>
      </w:r>
    </w:p>
    <w:p w14:paraId="78348647">
      <w:pPr>
        <w:autoSpaceDE w:val="0"/>
        <w:autoSpaceDN w:val="0"/>
        <w:adjustRightInd w:val="0"/>
        <w:spacing w:line="360" w:lineRule="auto"/>
        <w:ind w:firstLine="480" w:firstLineChars="200"/>
        <w:outlineLvl w:val="2"/>
        <w:rPr>
          <w:rFonts w:hint="eastAsia" w:ascii="宋体" w:hAnsi="宋体" w:cs="宋体"/>
          <w:bCs/>
          <w:color w:val="auto"/>
          <w:sz w:val="24"/>
          <w:szCs w:val="24"/>
          <w:highlight w:val="none"/>
          <w:lang w:eastAsia="zh-CN"/>
        </w:rPr>
      </w:pPr>
      <w:r>
        <w:rPr>
          <w:rFonts w:hint="eastAsia" w:ascii="宋体" w:hAnsi="宋体" w:cs="宋体"/>
          <w:bCs/>
          <w:color w:val="auto"/>
          <w:sz w:val="24"/>
          <w:szCs w:val="24"/>
          <w:highlight w:val="none"/>
          <w:lang w:val="en-US" w:eastAsia="zh-CN"/>
        </w:rPr>
        <w:t>4</w:t>
      </w:r>
      <w:r>
        <w:rPr>
          <w:rFonts w:hint="eastAsia" w:ascii="宋体" w:hAnsi="宋体" w:cs="宋体"/>
          <w:bCs/>
          <w:color w:val="auto"/>
          <w:sz w:val="24"/>
          <w:szCs w:val="24"/>
          <w:highlight w:val="none"/>
        </w:rPr>
        <w:t>、付款条件：</w:t>
      </w:r>
      <w:r>
        <w:rPr>
          <w:rFonts w:hint="eastAsia" w:ascii="宋体" w:hAnsi="宋体" w:cs="宋体"/>
          <w:bCs/>
          <w:color w:val="auto"/>
          <w:sz w:val="24"/>
          <w:szCs w:val="24"/>
          <w:highlight w:val="none"/>
          <w:lang w:val="en-US" w:eastAsia="zh-CN"/>
        </w:rPr>
        <w:t>在采购人付款前，</w:t>
      </w:r>
      <w:r>
        <w:rPr>
          <w:rFonts w:hint="eastAsia" w:ascii="宋体" w:hAnsi="宋体" w:cs="宋体"/>
          <w:bCs/>
          <w:color w:val="auto"/>
          <w:sz w:val="24"/>
          <w:szCs w:val="24"/>
          <w:highlight w:val="none"/>
          <w:lang w:eastAsia="zh-CN"/>
        </w:rPr>
        <w:t>供应商需提供合同总价款的增值税普通发票</w:t>
      </w:r>
      <w:r>
        <w:rPr>
          <w:rFonts w:hint="eastAsia" w:ascii="宋体" w:hAnsi="宋体" w:cs="宋体"/>
          <w:bCs/>
          <w:color w:val="auto"/>
          <w:sz w:val="24"/>
          <w:szCs w:val="24"/>
          <w:highlight w:val="none"/>
        </w:rPr>
        <w:t>，作为采购人向供应商支付的凭证</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供应商</w:t>
      </w:r>
      <w:r>
        <w:rPr>
          <w:rFonts w:hint="eastAsia" w:ascii="宋体" w:hAnsi="宋体" w:cs="宋体"/>
          <w:bCs/>
          <w:color w:val="auto"/>
          <w:sz w:val="24"/>
          <w:szCs w:val="24"/>
          <w:highlight w:val="none"/>
          <w:lang w:eastAsia="zh-CN"/>
        </w:rPr>
        <w:t>未开具发票或开具发票不符合要求的，</w:t>
      </w:r>
      <w:r>
        <w:rPr>
          <w:rFonts w:hint="eastAsia" w:ascii="宋体" w:hAnsi="宋体" w:cs="宋体"/>
          <w:bCs/>
          <w:color w:val="auto"/>
          <w:sz w:val="24"/>
          <w:szCs w:val="24"/>
          <w:highlight w:val="none"/>
          <w:lang w:val="en-US" w:eastAsia="zh-CN"/>
        </w:rPr>
        <w:t>采购人</w:t>
      </w:r>
      <w:r>
        <w:rPr>
          <w:rFonts w:hint="eastAsia" w:ascii="宋体" w:hAnsi="宋体" w:cs="宋体"/>
          <w:bCs/>
          <w:color w:val="auto"/>
          <w:sz w:val="24"/>
          <w:szCs w:val="24"/>
          <w:highlight w:val="none"/>
          <w:lang w:eastAsia="zh-CN"/>
        </w:rPr>
        <w:t>有权顺延付款期限，且不承担迟延付款的责任。</w:t>
      </w:r>
    </w:p>
    <w:p w14:paraId="511B162C">
      <w:pPr>
        <w:autoSpaceDE w:val="0"/>
        <w:autoSpaceDN w:val="0"/>
        <w:adjustRightInd w:val="0"/>
        <w:spacing w:line="360" w:lineRule="auto"/>
        <w:ind w:firstLine="480" w:firstLineChars="200"/>
        <w:outlineLvl w:val="2"/>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5、本项目所涉及支付</w:t>
      </w:r>
      <w:r>
        <w:rPr>
          <w:rFonts w:hint="eastAsia" w:ascii="宋体" w:hAnsi="宋体" w:cs="宋体"/>
          <w:bCs/>
          <w:color w:val="auto"/>
          <w:sz w:val="24"/>
          <w:szCs w:val="24"/>
          <w:highlight w:val="none"/>
          <w:lang w:eastAsia="zh-CN"/>
        </w:rPr>
        <w:t>时间不包括采购人正常办理支付报批手续的时间（办理银行担保所需的手续费、担保费等全部由供应商承担）。</w:t>
      </w:r>
    </w:p>
    <w:p w14:paraId="4EB91A11">
      <w:pPr>
        <w:autoSpaceDE w:val="0"/>
        <w:autoSpaceDN w:val="0"/>
        <w:adjustRightInd w:val="0"/>
        <w:spacing w:line="360" w:lineRule="auto"/>
        <w:ind w:firstLine="482" w:firstLineChars="200"/>
        <w:rPr>
          <w:rFonts w:hint="eastAsia" w:ascii="宋体" w:hAnsi="宋体" w:cs="宋体"/>
          <w:b/>
          <w:bCs/>
          <w:color w:val="auto"/>
          <w:sz w:val="24"/>
          <w:szCs w:val="24"/>
          <w:highlight w:val="none"/>
          <w:lang w:val="zh-CN"/>
        </w:rPr>
      </w:pPr>
      <w:r>
        <w:rPr>
          <w:rFonts w:hint="eastAsia" w:ascii="宋体" w:hAnsi="宋体" w:cs="宋体"/>
          <w:b/>
          <w:bCs/>
          <w:color w:val="auto"/>
          <w:sz w:val="24"/>
          <w:szCs w:val="24"/>
          <w:highlight w:val="none"/>
          <w:lang w:val="zh-CN"/>
        </w:rPr>
        <w:t>四、</w:t>
      </w:r>
      <w:r>
        <w:rPr>
          <w:rFonts w:hint="eastAsia" w:ascii="宋体" w:hAnsi="宋体" w:cs="宋体"/>
          <w:b/>
          <w:bCs/>
          <w:color w:val="auto"/>
          <w:sz w:val="24"/>
          <w:szCs w:val="24"/>
          <w:highlight w:val="none"/>
        </w:rPr>
        <w:t>服务</w:t>
      </w:r>
      <w:r>
        <w:rPr>
          <w:rFonts w:hint="eastAsia" w:ascii="宋体" w:hAnsi="宋体" w:cs="宋体"/>
          <w:b/>
          <w:bCs/>
          <w:color w:val="auto"/>
          <w:sz w:val="24"/>
          <w:szCs w:val="24"/>
          <w:highlight w:val="none"/>
          <w:lang w:val="zh-CN"/>
        </w:rPr>
        <w:t>条件:</w:t>
      </w:r>
    </w:p>
    <w:p w14:paraId="30C15CAD">
      <w:pPr>
        <w:tabs>
          <w:tab w:val="left" w:pos="735"/>
        </w:tabs>
        <w:autoSpaceDE w:val="0"/>
        <w:autoSpaceDN w:val="0"/>
        <w:adjustRightInd w:val="0"/>
        <w:snapToGrid w:val="0"/>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1、服务地点：</w:t>
      </w:r>
    </w:p>
    <w:p w14:paraId="6F9EE456">
      <w:pPr>
        <w:tabs>
          <w:tab w:val="left" w:pos="735"/>
        </w:tabs>
        <w:autoSpaceDE w:val="0"/>
        <w:autoSpaceDN w:val="0"/>
        <w:adjustRightInd w:val="0"/>
        <w:snapToGrid w:val="0"/>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服务期限</w:t>
      </w:r>
      <w:r>
        <w:rPr>
          <w:rFonts w:hint="eastAsia" w:ascii="宋体" w:hAnsi="宋体" w:cs="宋体"/>
          <w:color w:val="auto"/>
          <w:sz w:val="24"/>
          <w:szCs w:val="24"/>
          <w:highlight w:val="none"/>
        </w:rPr>
        <w:t>：</w:t>
      </w:r>
    </w:p>
    <w:p w14:paraId="2178C96C">
      <w:p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五</w:t>
      </w:r>
      <w:r>
        <w:rPr>
          <w:rFonts w:hint="eastAsia" w:ascii="宋体" w:hAnsi="宋体" w:cs="宋体"/>
          <w:b/>
          <w:bCs/>
          <w:color w:val="auto"/>
          <w:sz w:val="24"/>
          <w:szCs w:val="24"/>
          <w:highlight w:val="none"/>
          <w:lang w:val="zh-CN"/>
        </w:rPr>
        <w:t>、</w:t>
      </w:r>
      <w:r>
        <w:rPr>
          <w:rFonts w:hint="eastAsia" w:ascii="宋体" w:hAnsi="宋体" w:cs="宋体"/>
          <w:b/>
          <w:bCs/>
          <w:color w:val="auto"/>
          <w:sz w:val="24"/>
          <w:szCs w:val="24"/>
          <w:highlight w:val="none"/>
        </w:rPr>
        <w:t>质量保证：</w:t>
      </w:r>
    </w:p>
    <w:p w14:paraId="23D1B97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1、安全服务应符合国家有关规范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磋商文件、响应文件、合同及甲方要求</w:t>
      </w:r>
      <w:r>
        <w:rPr>
          <w:rFonts w:hint="eastAsia" w:ascii="宋体" w:hAnsi="宋体" w:cs="宋体"/>
          <w:color w:val="auto"/>
          <w:sz w:val="24"/>
          <w:szCs w:val="24"/>
          <w:highlight w:val="none"/>
        </w:rPr>
        <w:t>。</w:t>
      </w:r>
    </w:p>
    <w:p w14:paraId="55AA26E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2、乙方提供相关数据、结论确保真实性、可靠性。</w:t>
      </w:r>
    </w:p>
    <w:p w14:paraId="2D2B4AA3">
      <w:pPr>
        <w:autoSpaceDE w:val="0"/>
        <w:autoSpaceDN w:val="0"/>
        <w:adjustRightInd w:val="0"/>
        <w:spacing w:line="360" w:lineRule="auto"/>
        <w:ind w:firstLine="482" w:firstLineChars="200"/>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六、双方权利义务</w:t>
      </w:r>
    </w:p>
    <w:p w14:paraId="3043220D">
      <w:pPr>
        <w:autoSpaceDE w:val="0"/>
        <w:autoSpaceDN w:val="0"/>
        <w:adjustRightIn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甲方的权利和义务</w:t>
      </w:r>
    </w:p>
    <w:p w14:paraId="4D4D0DEE">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甲方有权向乙方询问工作进展情况及相关的内容，有权检查和监督乙方的服务工作的质量、管理等情况，有权对乙方提供的数据服务和产品提出更正、改进的意见，有权要求乙方以书面形式就前述内容进行汇报。</w:t>
      </w:r>
    </w:p>
    <w:p w14:paraId="65A41759">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因乙方违反合同规定给甲方或相关方造成损失时，甲方有权要求乙方赔偿经济损失。</w:t>
      </w:r>
    </w:p>
    <w:p w14:paraId="33DC285D">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当甲方认定项目服务专业人员不按项目服务合同履行其职责，或专业能力、管理能力、责任心较差，不能有效与甲方配合并履行其项目服务义务，或与第三人串通给甲方</w:t>
      </w:r>
      <w:r>
        <w:rPr>
          <w:rFonts w:hint="eastAsia" w:ascii="宋体" w:hAnsi="宋体" w:eastAsia="宋体" w:cs="宋体"/>
          <w:b w:val="0"/>
          <w:bCs w:val="0"/>
          <w:color w:val="auto"/>
          <w:sz w:val="24"/>
          <w:szCs w:val="24"/>
          <w:highlight w:val="none"/>
          <w:lang w:eastAsia="zh-CN"/>
        </w:rPr>
        <w:t>造成</w:t>
      </w:r>
      <w:r>
        <w:rPr>
          <w:rFonts w:hint="eastAsia" w:ascii="宋体" w:hAnsi="宋体" w:eastAsia="宋体" w:cs="宋体"/>
          <w:b w:val="0"/>
          <w:bCs w:val="0"/>
          <w:color w:val="auto"/>
          <w:sz w:val="24"/>
          <w:szCs w:val="24"/>
          <w:highlight w:val="none"/>
        </w:rPr>
        <w:t>经济损失的，甲方有权要求乙方更换项目服务专业人员，如对甲方造成实际损失的，甲方有权终止合同并要求乙方承担相应的赔偿责任。</w:t>
      </w:r>
    </w:p>
    <w:p w14:paraId="59D9DA22">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甲方有权同意或不同意乙方因自身工作需要而更换合同约定的主要工作小组成员的要求。</w:t>
      </w:r>
    </w:p>
    <w:p w14:paraId="07EB5CAB">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甲方应当在合同履约中，督促、协调与本项目服务有关的第三人（与合同履行有关的相关单位）协同乙方办理有关服务事项。甲方就乙方书面提交并要求做出答复的事宜，在15个工作日内做出书面答复。乙方要求第三人提供有关资料时，甲方可根据自己的能力负责协调、转达及资料转送，但并不成为甲方当然的义务。</w:t>
      </w:r>
    </w:p>
    <w:p w14:paraId="662E9AF6">
      <w:pPr>
        <w:autoSpaceDE w:val="0"/>
        <w:autoSpaceDN w:val="0"/>
        <w:adjustRightIn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乙方的权利和义务</w:t>
      </w:r>
    </w:p>
    <w:p w14:paraId="4D7CC735">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乙方有权在履行合同期间内取得按合同约定应有的报酬。</w:t>
      </w:r>
    </w:p>
    <w:p w14:paraId="6480262A">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乙方在项目服务过程中，如甲方提供的资料不明确时可向甲方提出书面报告。</w:t>
      </w:r>
    </w:p>
    <w:p w14:paraId="058BDFC2">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108FA749">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乙方应按本合同所述的时间、服务范围和内容,尽自己的一切努力,按本合同约定及行业通常接受的技术惯例和专业机构承认的标准，高效地履行自己的义务。在项目执行过程中支持和维护国家和甲方的合法利益。</w:t>
      </w:r>
    </w:p>
    <w:p w14:paraId="0CBA06BE">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0FF008EA">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乙方应对履行本合同所规定的服务以及在履行中因自己违约而给甲方造成的损失承担责任并应当向甲方进行赔偿。但</w:t>
      </w:r>
      <w:r>
        <w:rPr>
          <w:rFonts w:hint="eastAsia" w:ascii="宋体" w:hAnsi="宋体" w:eastAsia="宋体" w:cs="宋体"/>
          <w:b w:val="0"/>
          <w:bCs w:val="0"/>
          <w:color w:val="auto"/>
          <w:sz w:val="24"/>
          <w:szCs w:val="24"/>
          <w:highlight w:val="none"/>
          <w:lang w:eastAsia="zh-CN"/>
        </w:rPr>
        <w:t>下列</w:t>
      </w:r>
      <w:r>
        <w:rPr>
          <w:rFonts w:hint="eastAsia" w:ascii="宋体" w:hAnsi="宋体" w:eastAsia="宋体" w:cs="宋体"/>
          <w:b w:val="0"/>
          <w:bCs w:val="0"/>
          <w:color w:val="auto"/>
          <w:sz w:val="24"/>
          <w:szCs w:val="24"/>
          <w:highlight w:val="none"/>
        </w:rPr>
        <w:t>情况不视为乙方违约:A非乙方的行为、过失、违约或失职造成的损失或伤害；B不可抗力造成的损失。</w:t>
      </w:r>
    </w:p>
    <w:p w14:paraId="44746659">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57A5867A">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乙方应对本项目所提供服务结果的可靠性、准确性、全面性向甲方负责，由于服务结果的可靠性、准确性、全面性不足而导致甲方工作偏差或失误，乙方应承担责任。</w:t>
      </w:r>
    </w:p>
    <w:p w14:paraId="2E0DE640">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乙方在履行合同期间或合同规定期限内，履行本合同所确定的项目经理及主要专业技术、管理人员等必须是本单位职工和该项目的实际操作者，未经甲方同意，乙方不得调换或撤离上述人员。</w:t>
      </w:r>
    </w:p>
    <w:p w14:paraId="2939A9A1">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10</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按本合同支付给乙方的报酬应为本合同服务的唯一报酬。</w:t>
      </w:r>
    </w:p>
    <w:p w14:paraId="0E585F75">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乙方在本合同履行期间均不能直接或间接从事与本合同中活动相冲突的商业或职业活动，不得以任何理由向甲方任何工作人员行贿或有类似的行为。</w:t>
      </w:r>
    </w:p>
    <w:p w14:paraId="1CDECEF5">
      <w:pPr>
        <w:autoSpaceDE w:val="0"/>
        <w:autoSpaceDN w:val="0"/>
        <w:adjustRightInd w:val="0"/>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乙方项目人员为甲方提供服务过程中，个人及财产安全由乙方自行负责，与甲方无关。乙方与项目人员建立合法的劳动关系，并承担用工主体责任。</w:t>
      </w:r>
    </w:p>
    <w:p w14:paraId="40D70F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除甲方事先书面同意外，乙方不得部分或全部转让其应履行的合同项下的义务。</w:t>
      </w:r>
    </w:p>
    <w:p w14:paraId="4AC3BE2F">
      <w:pPr>
        <w:adjustRightInd w:val="0"/>
        <w:snapToGrid w:val="0"/>
        <w:spacing w:line="360" w:lineRule="auto"/>
        <w:ind w:firstLine="482" w:firstLineChars="200"/>
        <w:rPr>
          <w:rFonts w:hint="eastAsia" w:ascii="宋体" w:hAnsi="宋体" w:cs="宋体"/>
          <w:color w:val="auto"/>
          <w:sz w:val="24"/>
          <w:szCs w:val="24"/>
          <w:highlight w:val="none"/>
          <w:lang w:val="zh-CN"/>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lang w:val="zh-CN" w:eastAsia="zh-CN"/>
        </w:rPr>
        <w:t>、违约责任</w:t>
      </w:r>
    </w:p>
    <w:p w14:paraId="0897E8B6">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按《</w:t>
      </w:r>
      <w:r>
        <w:rPr>
          <w:rFonts w:hint="eastAsia" w:ascii="宋体" w:hAnsi="宋体" w:cs="宋体"/>
          <w:color w:val="auto"/>
          <w:sz w:val="24"/>
          <w:szCs w:val="24"/>
          <w:highlight w:val="none"/>
          <w:lang w:eastAsia="zh-CN"/>
        </w:rPr>
        <w:t>中华人民共和国民法典</w:t>
      </w:r>
      <w:r>
        <w:rPr>
          <w:rFonts w:hint="eastAsia" w:ascii="宋体" w:hAnsi="宋体" w:cs="宋体"/>
          <w:color w:val="auto"/>
          <w:sz w:val="24"/>
          <w:szCs w:val="24"/>
          <w:highlight w:val="none"/>
        </w:rPr>
        <w:t>》中的相关条款执行。</w:t>
      </w:r>
    </w:p>
    <w:p w14:paraId="5268AEB7">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未能按本合同规定的期限提供服务，从逾期之日起每日按本合同总价1‰的数额向甲方支付违约金；逾期一个月以上的，甲方有权终止合同，且有权要求乙方支付合同价款20%的违约金，违约金不足以弥补损失的，乙方应予补足。</w:t>
      </w:r>
    </w:p>
    <w:p w14:paraId="0F8EC65D">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乙方在履行合同过程中出现重大事故时，由监理机构界定责任边界和严重程度，甲方将依据事故严重程度计算重大事故违约金，并有权根据合同约定视乙方责任情况采取终止合同、将该乙方报财政部门备案、列入黑名单等措施。</w:t>
      </w:r>
    </w:p>
    <w:p w14:paraId="3D4390AB">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如乙方在履行合同过程中的行为使甲方遭受损失（包括自身的直接经济损失、名誉损失及对外支付的赔偿金和解款、律师费、诉讼费等间接经济损失），乙方需承担法律责任（包括但不限于造成甲方或者任何第三方的损失或损害的赔偿责任）。</w:t>
      </w:r>
    </w:p>
    <w:p w14:paraId="48A0EC9A">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乙方所履行的服务质量或服务数量不符合合同规定及采购文件规定的，经甲方提出异议后仍不改正的，甲方有权中止接受服务，单方面解除合同，且有权要求乙方支付合同价款20%的违约金，违约金不足以弥补损失的，乙方应予补足。</w:t>
      </w:r>
    </w:p>
    <w:p w14:paraId="77762BCD">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）乙方擅自将本合同所涉事项转委托给第三人的，甲方有权单方解除本合同，同时，乙方还应按照本合同总价款的20%向甲方支付违约金，违约金不足以弥补损失的，乙方应予补足。</w:t>
      </w:r>
    </w:p>
    <w:p w14:paraId="1B2884DE">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）服务过程中，乙方无正当理由提前终止本合同的，甲方有权拒绝支付费用，乙方应返还甲方已支付全部费用，甲方还有权要求乙方支付本合同总价款20%的违约金，违约金不足以弥补甲方损失的，乙方应予补足。</w:t>
      </w:r>
    </w:p>
    <w:p w14:paraId="355E414B">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）本合同违约情形独立存在，可叠加使用，乙方同意甲方从应付未付款中先行扣除。</w:t>
      </w:r>
    </w:p>
    <w:p w14:paraId="2E83B6D2">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八、验收</w:t>
      </w:r>
    </w:p>
    <w:p w14:paraId="5D35D01F">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乙方在完成服务内容后，应当及时通知</w:t>
      </w:r>
      <w:r>
        <w:rPr>
          <w:rFonts w:hint="eastAsia" w:ascii="宋体" w:hAnsi="宋体" w:cs="宋体"/>
          <w:color w:val="auto"/>
          <w:sz w:val="24"/>
          <w:szCs w:val="24"/>
          <w:highlight w:val="none"/>
          <w:lang w:val="en-US" w:eastAsia="zh-CN"/>
        </w:rPr>
        <w:t>甲方</w:t>
      </w:r>
      <w:r>
        <w:rPr>
          <w:rFonts w:hint="eastAsia" w:ascii="宋体" w:hAnsi="宋体" w:cs="宋体"/>
          <w:color w:val="auto"/>
          <w:sz w:val="24"/>
          <w:szCs w:val="24"/>
          <w:highlight w:val="none"/>
        </w:rPr>
        <w:t>，由甲方负责组织验收或者邀请有关专家、质检机构、采购代理机构共同进行验收,验收费用由乙方支付(备注：如有验收须向采购代理机构支付金额2000-3000元不等)；验收合格须交接项目实施的全部资料，并填写政府采购项目验收报告单。验收须以合同、招标文件及响应文件、澄清、及国家相应的标准、规范等为依据。</w:t>
      </w:r>
    </w:p>
    <w:p w14:paraId="36664A30">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6572866E">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lang w:val="zh-CN" w:eastAsia="zh-CN"/>
        </w:rPr>
        <w:t>、保密义务</w:t>
      </w:r>
    </w:p>
    <w:p w14:paraId="62A08579">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（一）乙方应当主动对直接或间接从甲方获得的保密信息承担保密</w:t>
      </w:r>
      <w:r>
        <w:rPr>
          <w:rFonts w:hint="eastAsia" w:ascii="宋体" w:hAnsi="宋体" w:cs="宋体"/>
          <w:color w:val="auto"/>
          <w:sz w:val="24"/>
          <w:szCs w:val="24"/>
          <w:highlight w:val="none"/>
          <w:lang w:eastAsia="zh-CN"/>
        </w:rPr>
        <w:t>义务</w:t>
      </w:r>
      <w:r>
        <w:rPr>
          <w:rFonts w:hint="eastAsia" w:ascii="宋体" w:hAnsi="宋体" w:cs="宋体"/>
          <w:color w:val="auto"/>
          <w:sz w:val="24"/>
          <w:szCs w:val="24"/>
          <w:highlight w:val="none"/>
        </w:rPr>
        <w:t>，对于甲方未主动对外公布的信息，未经对方以纸质书面形式同意，不得泄露。</w:t>
      </w:r>
    </w:p>
    <w:p w14:paraId="23B2FAD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二）保密信息包括但不限于：A.与项目有关的任何/所有协议、正式文书、往来传真或邮件以及任何形式的工作成果；B.甲方资料、数据平台、账号信息、工作计划、工作程序、图纸、专有方法、模式模板、任何形式文件、访谈记录、现场实测数据、咨询及其他资料；C.数据运行管理过程中涉及的各类数据、信息，利用数据、特定算法加工处理形成的数据集、数据接口、数据模型、数据报告、解决方案以及其他形态的数据产品和服务；D.属于第三方但甲方承担保密义务的信息；E.其他尽到审慎义务的人判断应予保密的信息。</w:t>
      </w:r>
    </w:p>
    <w:p w14:paraId="70C6EA26">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三）乙方应当采取充分、必要、有效、合理的措施对乙方、乙方相关人员、乙方关联方所知晓的保密信息严格保密。对于未主动对外公布的信息，未经甲方书面许可，不得以任何形式直接或间接向第三方给予、提供、传递、传达、泄露，不得允许（包括出借、赠与、出租、转让等行为）或协助任何第三人、自己本人使用保密信息，不得用于其他用途。</w:t>
      </w:r>
    </w:p>
    <w:p w14:paraId="2AE8FC6F">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四）乙方应当采取一切合理的保护措施，防止保密信息在未经授权的情况下被披露或传播。若发现保密信息泄露，乙方应第一时间通知甲方，在合法、合规的前提下，立即采取补救措施使损失降到最低。此外，乙方应承担由此引起的法律责任和经济责任，包括但不限于违约金、赔偿因信息泄露产生的支出和所有损失。乙方相关人员、乙方关联方违反保密业务，乙方承担连带责任。</w:t>
      </w:r>
    </w:p>
    <w:p w14:paraId="55C99484">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五）乙方的保密义务自乙方、乙方相关人员、乙方关联方参与数据运行管理工作之日开始，至甲方书面通知乙方解除保密义务或者保密信息成为公开信息之日止。乙方和乙方关联方合同终止、撤销、解除、履行完毕以及乙方相关人员是否在职，均不影响其保密义务承担。</w:t>
      </w:r>
    </w:p>
    <w:p w14:paraId="6CD71473">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（六）违反上述保密义务的，乙方应向甲方支付本合同总价款10%的违约金，乙方违反保密义务涉嫌违法违规的，按照《中华人民共和国保守国家秘密法》处理。</w:t>
      </w:r>
    </w:p>
    <w:p w14:paraId="0AD299CB">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十、知识产权</w:t>
      </w:r>
    </w:p>
    <w:p w14:paraId="63B51A7A">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一</w:t>
      </w:r>
      <w:r>
        <w:rPr>
          <w:rFonts w:hint="eastAsia" w:ascii="宋体" w:hAnsi="宋体" w:cs="宋体"/>
          <w:color w:val="auto"/>
          <w:sz w:val="24"/>
          <w:szCs w:val="24"/>
          <w:highlight w:val="none"/>
        </w:rPr>
        <w:t>）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210CD0D7">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二</w:t>
      </w:r>
      <w:r>
        <w:rPr>
          <w:rFonts w:hint="eastAsia" w:ascii="宋体" w:hAnsi="宋体" w:cs="宋体"/>
          <w:color w:val="auto"/>
          <w:sz w:val="24"/>
          <w:szCs w:val="24"/>
          <w:highlight w:val="none"/>
        </w:rPr>
        <w:t>）未经甲方书面许可，乙方不得（并不得允许任何第三人）以任何形式申请、展示、提供、出租、出借、出售、复制、修改、转载、发表、出版、还原前述权利或创造相关衍生作品。一旦发生侵权行为，由乙方承担法律责任和经济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29845977">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三</w:t>
      </w:r>
      <w:r>
        <w:rPr>
          <w:rFonts w:hint="eastAsia" w:ascii="宋体" w:hAnsi="宋体" w:cs="宋体"/>
          <w:color w:val="auto"/>
          <w:sz w:val="24"/>
          <w:szCs w:val="24"/>
          <w:highlight w:val="none"/>
        </w:rPr>
        <w:t>）乙方为履行合同内容所形成的资料、数据、软件开发等成果及其他任何附加成果的知识产权和使用权均属甲方所有，乙方负有保密义务。</w:t>
      </w:r>
    </w:p>
    <w:p w14:paraId="6D004D95">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十一、不可抗力</w:t>
      </w:r>
    </w:p>
    <w:p w14:paraId="33A94844">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（一）在履行合同过程中因受战争、火灾、地震、疫情等自然灾害和社会事件以及其他在签订本合同时任何一方均无法预知，无法避免并克服其发生和后果且使本数据运营服务</w:t>
      </w:r>
      <w:r>
        <w:rPr>
          <w:rFonts w:hint="eastAsia" w:ascii="宋体" w:hAnsi="宋体" w:cs="宋体"/>
          <w:color w:val="auto"/>
          <w:sz w:val="24"/>
          <w:szCs w:val="24"/>
          <w:highlight w:val="none"/>
          <w:lang w:eastAsia="zh-CN"/>
        </w:rPr>
        <w:t>受到</w:t>
      </w:r>
      <w:r>
        <w:rPr>
          <w:rFonts w:hint="eastAsia" w:ascii="宋体" w:hAnsi="宋体" w:cs="宋体"/>
          <w:color w:val="auto"/>
          <w:sz w:val="24"/>
          <w:szCs w:val="24"/>
          <w:highlight w:val="none"/>
        </w:rPr>
        <w:t>影响的任何事件，乙方应当在第一时间与相关单位配合，采取有效手段防止上述不可抗力事件的后果，减轻可能给甲方造成的损失；且本合同履行的期限应予以延长，延长的期限应相当于不可抗力事件所影响的时间。</w:t>
      </w:r>
    </w:p>
    <w:p w14:paraId="4C011790">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二）不可抗力事件受影响的一方应当在不可抗力因素发生后不迟于15日内以书面形式通知对方，并提供有关该等影响因素的详尽资料，说明不能履行或者延迟履行本合同全部或部分条款的原因，且应在此后30日内以书面形式向对方提供有关部门签发的有效合法的证明作为证据。在发生不可抗力时，双方对各自控制下的设备、资料负有保管责任，对于未受不可抗力影响并且可以继续履行的合同义务应继续履行。</w:t>
      </w:r>
    </w:p>
    <w:p w14:paraId="227EEF0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（三）如不可抗力延续超过45日以上（含本数）时，甲乙双方应通过友好协商解决本合同的执行问题，并应尽快达成协议。</w:t>
      </w:r>
    </w:p>
    <w:p w14:paraId="40A95822">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十二、适用法律及争议解决</w:t>
      </w:r>
    </w:p>
    <w:p w14:paraId="59C4EA55">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（一）本合同的成立、生效、履行、解释及争议解决，适用中华人民共和国法律、法规。</w:t>
      </w:r>
    </w:p>
    <w:p w14:paraId="135D779D">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（二）甲、乙双方在履行本合同过程中若发生争议，首先应友好协商解决；协商不成的，任何一方均有权提交甲方所在地人民法院解决。除非另有规定，诉讼期间双方应当继续履行合同规定的义务。</w:t>
      </w:r>
    </w:p>
    <w:p w14:paraId="64D6D519">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en-US" w:eastAsia="zh-CN"/>
        </w:rPr>
        <w:t>十三</w:t>
      </w:r>
      <w:r>
        <w:rPr>
          <w:rFonts w:hint="eastAsia" w:ascii="宋体" w:hAnsi="宋体" w:eastAsia="宋体" w:cs="宋体"/>
          <w:b/>
          <w:bCs/>
          <w:color w:val="auto"/>
          <w:sz w:val="24"/>
          <w:szCs w:val="24"/>
          <w:highlight w:val="none"/>
          <w:lang w:val="zh-CN" w:eastAsia="zh-CN"/>
        </w:rPr>
        <w:t>、合同组成</w:t>
      </w:r>
    </w:p>
    <w:p w14:paraId="71B5832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1、成交通知书</w:t>
      </w:r>
    </w:p>
    <w:p w14:paraId="560F4029">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2、合同文件</w:t>
      </w:r>
    </w:p>
    <w:p w14:paraId="6B02E862">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3、国家相关规范及标准</w:t>
      </w:r>
    </w:p>
    <w:p w14:paraId="6103BFC9">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4、竞争性磋商文件</w:t>
      </w:r>
    </w:p>
    <w:p w14:paraId="380659B0">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5、磋商响应文件</w:t>
      </w:r>
    </w:p>
    <w:p w14:paraId="3351998A">
      <w:pPr>
        <w:adjustRightInd w:val="0"/>
        <w:snapToGrid w:val="0"/>
        <w:spacing w:line="360" w:lineRule="auto"/>
        <w:ind w:firstLine="482"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en-US" w:eastAsia="zh-CN"/>
        </w:rPr>
        <w:t>十四</w:t>
      </w:r>
      <w:r>
        <w:rPr>
          <w:rFonts w:hint="eastAsia" w:ascii="宋体" w:hAnsi="宋体" w:eastAsia="宋体" w:cs="宋体"/>
          <w:b/>
          <w:bCs/>
          <w:color w:val="auto"/>
          <w:sz w:val="24"/>
          <w:szCs w:val="24"/>
          <w:highlight w:val="none"/>
          <w:lang w:val="zh-CN" w:eastAsia="zh-CN"/>
        </w:rPr>
        <w:t>、合同生效及其它</w:t>
      </w:r>
    </w:p>
    <w:p w14:paraId="77B4B09A">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1、合同未尽事宜、由甲、乙双方协商，作为合同补充，与原合同具有同等法律效力。</w:t>
      </w:r>
    </w:p>
    <w:p w14:paraId="69DD2849">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2、本合同正本一式   份，甲方、乙方双方分别执   份，备案   份</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具有同等法律效力</w:t>
      </w:r>
      <w:r>
        <w:rPr>
          <w:rFonts w:hint="eastAsia" w:ascii="宋体" w:hAnsi="宋体" w:cs="宋体"/>
          <w:color w:val="auto"/>
          <w:sz w:val="24"/>
          <w:szCs w:val="24"/>
          <w:highlight w:val="none"/>
        </w:rPr>
        <w:t>。</w:t>
      </w:r>
    </w:p>
    <w:p w14:paraId="00CB7A61">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3、合同经甲乙双方</w:t>
      </w:r>
      <w:r>
        <w:rPr>
          <w:rFonts w:hint="eastAsia" w:ascii="宋体" w:hAnsi="宋体" w:cs="宋体"/>
          <w:color w:val="auto"/>
          <w:sz w:val="24"/>
          <w:szCs w:val="24"/>
          <w:highlight w:val="none"/>
          <w:lang w:val="en-US" w:eastAsia="zh-CN"/>
        </w:rPr>
        <w:t>法定代表人或其授权代表</w:t>
      </w:r>
      <w:r>
        <w:rPr>
          <w:rFonts w:hint="eastAsia" w:ascii="宋体" w:hAnsi="宋体" w:cs="宋体"/>
          <w:color w:val="auto"/>
          <w:sz w:val="24"/>
          <w:szCs w:val="24"/>
          <w:highlight w:val="none"/>
        </w:rPr>
        <w:t>盖章、签字</w:t>
      </w:r>
      <w:r>
        <w:rPr>
          <w:rFonts w:hint="eastAsia" w:ascii="宋体" w:hAnsi="宋体" w:cs="宋体"/>
          <w:color w:val="auto"/>
          <w:sz w:val="24"/>
          <w:szCs w:val="24"/>
          <w:highlight w:val="none"/>
          <w:lang w:val="en-US" w:eastAsia="zh-CN"/>
        </w:rPr>
        <w:t>并加盖公章</w:t>
      </w:r>
      <w:r>
        <w:rPr>
          <w:rFonts w:hint="eastAsia" w:ascii="宋体" w:hAnsi="宋体" w:cs="宋体"/>
          <w:color w:val="auto"/>
          <w:sz w:val="24"/>
          <w:szCs w:val="24"/>
          <w:highlight w:val="none"/>
        </w:rPr>
        <w:t>后生效，合同签订地点为         。</w:t>
      </w:r>
    </w:p>
    <w:p w14:paraId="7606E982">
      <w:pPr>
        <w:adjustRightInd w:val="0"/>
        <w:snapToGrid w:val="0"/>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4、本合同附件与本合同具有同等法律效力。</w:t>
      </w:r>
    </w:p>
    <w:p w14:paraId="43BB00AD">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、生效时间：    年   月    日</w:t>
      </w:r>
    </w:p>
    <w:p w14:paraId="52737ACD">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以下无正文，为合同签章页</w:t>
      </w:r>
      <w:r>
        <w:rPr>
          <w:rFonts w:hint="eastAsia" w:ascii="宋体" w:hAnsi="宋体" w:cs="宋体"/>
          <w:color w:val="auto"/>
          <w:sz w:val="24"/>
          <w:szCs w:val="24"/>
          <w:highlight w:val="none"/>
          <w:lang w:eastAsia="zh-CN"/>
        </w:rPr>
        <w:t>）</w:t>
      </w:r>
    </w:p>
    <w:p w14:paraId="66A8ECF7">
      <w:pPr>
        <w:adjustRightInd w:val="0"/>
        <w:snapToGrid w:val="0"/>
        <w:spacing w:line="360" w:lineRule="auto"/>
        <w:ind w:firstLine="480" w:firstLineChars="200"/>
        <w:rPr>
          <w:rFonts w:hint="eastAsia" w:ascii="宋体" w:hAnsi="宋体" w:cs="宋体"/>
          <w:color w:val="auto"/>
          <w:sz w:val="24"/>
          <w:szCs w:val="24"/>
          <w:highlight w:val="none"/>
        </w:rPr>
      </w:pPr>
    </w:p>
    <w:p w14:paraId="1A626342">
      <w:pPr>
        <w:adjustRightInd w:val="0"/>
        <w:snapToGrid w:val="0"/>
        <w:spacing w:line="460" w:lineRule="exact"/>
        <w:ind w:firstLine="480" w:firstLineChars="200"/>
        <w:rPr>
          <w:rFonts w:hint="eastAsia" w:ascii="宋体" w:hAnsi="宋体" w:cs="宋体"/>
          <w:color w:val="auto"/>
          <w:sz w:val="24"/>
          <w:szCs w:val="24"/>
          <w:highlight w:val="none"/>
        </w:rPr>
      </w:pPr>
    </w:p>
    <w:tbl>
      <w:tblPr>
        <w:tblStyle w:val="3"/>
        <w:tblW w:w="0" w:type="auto"/>
        <w:jc w:val="center"/>
        <w:tblLayout w:type="fixed"/>
        <w:tblCellMar>
          <w:top w:w="0" w:type="dxa"/>
          <w:left w:w="108" w:type="dxa"/>
          <w:bottom w:w="0" w:type="dxa"/>
          <w:right w:w="108" w:type="dxa"/>
        </w:tblCellMar>
      </w:tblPr>
      <w:tblGrid>
        <w:gridCol w:w="4643"/>
        <w:gridCol w:w="4643"/>
      </w:tblGrid>
      <w:tr w14:paraId="0BF440B8">
        <w:tblPrEx>
          <w:tblCellMar>
            <w:top w:w="0" w:type="dxa"/>
            <w:left w:w="108" w:type="dxa"/>
            <w:bottom w:w="0" w:type="dxa"/>
            <w:right w:w="108" w:type="dxa"/>
          </w:tblCellMar>
        </w:tblPrEx>
        <w:trPr>
          <w:jc w:val="center"/>
        </w:trPr>
        <w:tc>
          <w:tcPr>
            <w:tcW w:w="4643" w:type="dxa"/>
            <w:noWrap w:val="0"/>
            <w:vAlign w:val="top"/>
          </w:tcPr>
          <w:p w14:paraId="564F96E0">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甲方名称（盖章）:</w:t>
            </w:r>
          </w:p>
          <w:p w14:paraId="30DEB68F">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14:paraId="10BB2AEC">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法定代表人或委托代理人（签字）：</w:t>
            </w:r>
          </w:p>
          <w:p w14:paraId="713AF48B">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14:paraId="6C17CF0A">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14:paraId="5A9246CF">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账号</w:t>
            </w:r>
            <w:r>
              <w:rPr>
                <w:rFonts w:hint="eastAsia" w:ascii="宋体" w:hAnsi="宋体" w:cs="宋体"/>
                <w:color w:val="auto"/>
                <w:kern w:val="0"/>
                <w:sz w:val="24"/>
                <w:szCs w:val="24"/>
                <w:highlight w:val="none"/>
              </w:rPr>
              <w:t>：</w:t>
            </w:r>
          </w:p>
        </w:tc>
        <w:tc>
          <w:tcPr>
            <w:tcW w:w="4643" w:type="dxa"/>
            <w:noWrap w:val="0"/>
            <w:vAlign w:val="top"/>
          </w:tcPr>
          <w:p w14:paraId="49696A7E">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乙方名称（盖章）:</w:t>
            </w:r>
          </w:p>
          <w:p w14:paraId="41FBC142">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w:t>
            </w:r>
          </w:p>
          <w:p w14:paraId="2F79B967">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法定代表人或委托代理人（签字）：</w:t>
            </w:r>
          </w:p>
          <w:p w14:paraId="760A1979">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电话：</w:t>
            </w:r>
          </w:p>
          <w:p w14:paraId="497CA2B1">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开户银行：</w:t>
            </w:r>
          </w:p>
          <w:p w14:paraId="353EB1A2">
            <w:pPr>
              <w:adjustRightInd w:val="0"/>
              <w:snapToGrid w:val="0"/>
              <w:spacing w:line="360" w:lineRule="auto"/>
              <w:ind w:firstLine="645"/>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账号</w:t>
            </w:r>
            <w:r>
              <w:rPr>
                <w:rFonts w:hint="eastAsia" w:ascii="宋体" w:hAnsi="宋体" w:cs="宋体"/>
                <w:color w:val="auto"/>
                <w:kern w:val="0"/>
                <w:sz w:val="24"/>
                <w:szCs w:val="24"/>
                <w:highlight w:val="none"/>
              </w:rPr>
              <w:t>：</w:t>
            </w:r>
          </w:p>
        </w:tc>
      </w:tr>
    </w:tbl>
    <w:p w14:paraId="65A61F03">
      <w:pPr>
        <w:spacing w:before="120" w:beforeLines="50" w:after="120" w:afterLines="50"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注：甲乙双方正式签订合同时根据协商完善相关内容</w:t>
      </w:r>
    </w:p>
    <w:p w14:paraId="73C9000A">
      <w:pPr>
        <w:spacing w:before="120" w:beforeLines="50" w:after="120" w:afterLines="50" w:line="360" w:lineRule="auto"/>
        <w:ind w:firstLine="482" w:firstLineChars="200"/>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lang w:val="en-US" w:eastAsia="zh-CN"/>
        </w:rPr>
        <w:t>附件一：</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76"/>
        <w:gridCol w:w="885"/>
        <w:gridCol w:w="1310"/>
        <w:gridCol w:w="3156"/>
        <w:gridCol w:w="1711"/>
        <w:gridCol w:w="743"/>
      </w:tblGrid>
      <w:tr w14:paraId="1279D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restart"/>
            <w:tcBorders>
              <w:top w:val="single" w:color="000000" w:sz="4" w:space="0"/>
              <w:left w:val="single" w:color="000000" w:sz="4" w:space="0"/>
              <w:bottom w:val="single" w:color="000000" w:sz="4" w:space="0"/>
              <w:right w:val="single" w:color="000000" w:sz="4" w:space="0"/>
            </w:tcBorders>
            <w:noWrap w:val="0"/>
            <w:vAlign w:val="center"/>
          </w:tcPr>
          <w:p w14:paraId="0154E9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年度绩效指标</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00BD25E0">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一级指标</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14:paraId="687F23F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二级指标</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1DE7651D">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三级指标</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6CABADC0">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指标值</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41A1C4DC">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分值权重</w:t>
            </w:r>
            <w:r>
              <w:rPr>
                <w:rFonts w:hint="eastAsia" w:ascii="宋体" w:hAnsi="宋体" w:eastAsia="宋体" w:cs="宋体"/>
                <w:b/>
                <w:bCs/>
                <w:i w:val="0"/>
                <w:iCs w:val="0"/>
                <w:color w:val="auto"/>
                <w:kern w:val="0"/>
                <w:sz w:val="21"/>
                <w:szCs w:val="21"/>
                <w:u w:val="none"/>
                <w:lang w:val="en-US" w:eastAsia="zh-CN" w:bidi="ar"/>
              </w:rPr>
              <w:br w:type="textWrapping"/>
            </w:r>
            <w:r>
              <w:rPr>
                <w:rFonts w:hint="eastAsia" w:ascii="宋体" w:hAnsi="宋体" w:eastAsia="宋体" w:cs="宋体"/>
                <w:b/>
                <w:bCs/>
                <w:i w:val="0"/>
                <w:iCs w:val="0"/>
                <w:color w:val="auto"/>
                <w:kern w:val="0"/>
                <w:sz w:val="21"/>
                <w:szCs w:val="21"/>
                <w:u w:val="none"/>
                <w:lang w:val="en-US" w:eastAsia="zh-CN" w:bidi="ar"/>
              </w:rPr>
              <w:t>（100分）</w:t>
            </w:r>
          </w:p>
        </w:tc>
      </w:tr>
      <w:tr w14:paraId="6C082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6B31FA">
            <w:pPr>
              <w:jc w:val="both"/>
              <w:rPr>
                <w:rFonts w:hint="eastAsia" w:ascii="宋体" w:hAnsi="宋体" w:eastAsia="宋体" w:cs="宋体"/>
                <w:i w:val="0"/>
                <w:iCs w:val="0"/>
                <w:color w:val="auto"/>
                <w:sz w:val="21"/>
                <w:szCs w:val="21"/>
                <w:u w:val="none"/>
              </w:rPr>
            </w:pPr>
          </w:p>
        </w:tc>
        <w:tc>
          <w:tcPr>
            <w:tcW w:w="885" w:type="dxa"/>
            <w:vMerge w:val="restart"/>
            <w:tcBorders>
              <w:top w:val="single" w:color="000000" w:sz="4" w:space="0"/>
              <w:left w:val="single" w:color="000000" w:sz="4" w:space="0"/>
              <w:bottom w:val="single" w:color="000000" w:sz="4" w:space="0"/>
              <w:right w:val="single" w:color="000000" w:sz="4" w:space="0"/>
            </w:tcBorders>
            <w:noWrap w:val="0"/>
            <w:vAlign w:val="center"/>
          </w:tcPr>
          <w:p w14:paraId="09CBD0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w:t>
            </w:r>
          </w:p>
        </w:tc>
        <w:tc>
          <w:tcPr>
            <w:tcW w:w="1310" w:type="dxa"/>
            <w:vMerge w:val="restart"/>
            <w:tcBorders>
              <w:top w:val="single" w:color="000000" w:sz="4" w:space="0"/>
              <w:left w:val="single" w:color="000000" w:sz="4" w:space="0"/>
              <w:bottom w:val="single" w:color="000000" w:sz="4" w:space="0"/>
              <w:right w:val="single" w:color="000000" w:sz="4" w:space="0"/>
            </w:tcBorders>
            <w:noWrap w:val="0"/>
            <w:vAlign w:val="center"/>
          </w:tcPr>
          <w:p w14:paraId="4966D9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数量指标</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15A343B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完成《陕西省级政务大厅现状评估及能力提升建议（2025年度）》（份）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2C2B46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BB9AEA6">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5A8CC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3FC01F">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7814FD">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3AEF13">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7979A5F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完成《陕西省级政务服务平台现状评估及能力提升方案建议（2025年度）》（份）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73E12D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5927102">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6F635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761AB1">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13543D">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9A1E2D">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5A6C735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完成《陕西省一体化政务服务平台运营体系构建咨询意见（2025年度）》（份）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45EEC0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E0E18D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308A4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CFF5FC">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CD69E6">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CB129E">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29A2234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完成《陕西省12345政务服务便民热线现状评估及能力提升方案建议（2025年度）》（份）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38F5FA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3C320FC">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022EC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9483E4">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FD5608">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0B9D03">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10B0323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完成《人工智能陕西省政务服务领域应用咨询方案（2025年度）》（份）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0356DE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E682986">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40B2E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4A079F">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420C9E">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C37327">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274BDDE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搭建《陕西省政务服务效能评价指标体系》（套）</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5BECD7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2EEBA09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308A4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9FC11D">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377185">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2311B4">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13AED2E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完成《陕西省政务服务效能监测分析报告（2025年度）》（份）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08E880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3ABE023D">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79BED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8EB752">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5D5BCA">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83BB30">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767A4F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搭建《陕西省“高效办成一件事”效能监测指标体系》（套）</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0AD58C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D58206A">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5</w:t>
            </w:r>
          </w:p>
        </w:tc>
      </w:tr>
      <w:tr w14:paraId="4DE4A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8C366A">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A8C63F">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2197BB">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19D1368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完成《陕西省“高效办成一件事”效能监测分析报告（2025年度）》（份）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5A6CA6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0A4B97E">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6C888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D72F7F">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19E6E6">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A21538">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028F48D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完成《陕西省“高效办成一件事”效能监测分析报告（2026年半年度）》（份）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57FB0F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1BEC4F72">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3CBDB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DE0EA4">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39DA37">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3EBDA8">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5AE12D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提出事项标准化及办事指南准确度分析规则（项）</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2569C0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805AF69">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7D5CD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53FE46">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46D690">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911083">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6FC212D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完成《陕西省政务服务事项标准化监测及办事指南准确度抽检分析报告（2025年度）》（份）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7F6F11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A613693">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01957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E93B9B">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6ECD68">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502461">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7530B6A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完成《陕西省政务服务事项标准化监测及办事指南准确度抽检分析报告（2026年半年度）》（份）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76B8CF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43AC0D9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7E914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8E360E">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68E07E">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9CED87">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0141532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搭建《陕西省一体化政务服务平台运行监测指标体系》（套）</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79E0C0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627BD183">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2711E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09FB31">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B7CFED">
            <w:pPr>
              <w:jc w:val="center"/>
              <w:rPr>
                <w:rFonts w:hint="eastAsia" w:ascii="宋体" w:hAnsi="宋体" w:eastAsia="宋体" w:cs="宋体"/>
                <w:i w:val="0"/>
                <w:iCs w:val="0"/>
                <w:color w:val="auto"/>
                <w:sz w:val="21"/>
                <w:szCs w:val="21"/>
                <w:u w:val="none"/>
              </w:rPr>
            </w:pPr>
          </w:p>
        </w:tc>
        <w:tc>
          <w:tcPr>
            <w:tcW w:w="13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C87D94">
            <w:pPr>
              <w:jc w:val="center"/>
              <w:rPr>
                <w:rFonts w:hint="eastAsia" w:ascii="宋体" w:hAnsi="宋体" w:eastAsia="宋体" w:cs="宋体"/>
                <w:i w:val="0"/>
                <w:iCs w:val="0"/>
                <w:color w:val="auto"/>
                <w:sz w:val="21"/>
                <w:szCs w:val="21"/>
                <w:u w:val="none"/>
              </w:rPr>
            </w:pP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16B1E90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完成《陕西省一体化政务服务平台运行监测报告（2025年度）》（份）</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152DDA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C4FEEE9">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31FA2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28C9F7">
            <w:pPr>
              <w:jc w:val="both"/>
              <w:rPr>
                <w:rFonts w:hint="eastAsia" w:ascii="宋体" w:hAnsi="宋体" w:eastAsia="宋体" w:cs="宋体"/>
                <w:i w:val="0"/>
                <w:iCs w:val="0"/>
                <w:color w:val="auto"/>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78B44C">
            <w:pPr>
              <w:jc w:val="center"/>
              <w:rPr>
                <w:rFonts w:hint="eastAsia" w:ascii="宋体" w:hAnsi="宋体" w:eastAsia="宋体" w:cs="宋体"/>
                <w:i w:val="0"/>
                <w:iCs w:val="0"/>
                <w:color w:val="auto"/>
                <w:sz w:val="21"/>
                <w:szCs w:val="21"/>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14:paraId="30FBB2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时效指标</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6D88A4F2">
            <w:pPr>
              <w:keepNext w:val="0"/>
              <w:keepLines w:val="0"/>
              <w:widowControl/>
              <w:suppressLineNumbers w:val="0"/>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服务期内每次答疑服务反馈时长</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75CA24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≤2小时</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21EE05D5">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5</w:t>
            </w:r>
          </w:p>
        </w:tc>
      </w:tr>
      <w:tr w14:paraId="13D56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7B9C7D">
            <w:pPr>
              <w:jc w:val="both"/>
              <w:rPr>
                <w:rFonts w:hint="eastAsia" w:ascii="宋体" w:hAnsi="宋体" w:eastAsia="宋体" w:cs="宋体"/>
                <w:i w:val="0"/>
                <w:iCs w:val="0"/>
                <w:color w:val="auto"/>
                <w:sz w:val="21"/>
                <w:szCs w:val="21"/>
                <w:u w:val="none"/>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0DF1EF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效益指标</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14:paraId="451290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社会效益指标</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67108E70">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陕西省一体化政务服务平台日均用户活跃数</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5A1F4317">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≥30万</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321CB786">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10</w:t>
            </w:r>
          </w:p>
        </w:tc>
      </w:tr>
      <w:tr w14:paraId="763F1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4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D31D7D">
            <w:pPr>
              <w:jc w:val="both"/>
              <w:rPr>
                <w:rFonts w:hint="eastAsia" w:ascii="宋体" w:hAnsi="宋体" w:eastAsia="宋体" w:cs="宋体"/>
                <w:i w:val="0"/>
                <w:iCs w:val="0"/>
                <w:color w:val="auto"/>
                <w:sz w:val="21"/>
                <w:szCs w:val="21"/>
                <w:u w:val="none"/>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2FAEF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满意度指标</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14:paraId="4C1454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用户满意度</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14:paraId="3224E17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服务单位对项目成果的满意度</w:t>
            </w:r>
          </w:p>
        </w:tc>
        <w:tc>
          <w:tcPr>
            <w:tcW w:w="1711" w:type="dxa"/>
            <w:tcBorders>
              <w:top w:val="single" w:color="000000" w:sz="4" w:space="0"/>
              <w:left w:val="single" w:color="000000" w:sz="4" w:space="0"/>
              <w:bottom w:val="single" w:color="000000" w:sz="4" w:space="0"/>
              <w:right w:val="single" w:color="000000" w:sz="4" w:space="0"/>
            </w:tcBorders>
            <w:noWrap w:val="0"/>
            <w:vAlign w:val="center"/>
          </w:tcPr>
          <w:p w14:paraId="403A18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E9C4EF4">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10</w:t>
            </w:r>
          </w:p>
        </w:tc>
      </w:tr>
    </w:tbl>
    <w:p w14:paraId="1A04008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A1396"/>
    <w:multiLevelType w:val="singleLevel"/>
    <w:tmpl w:val="1A3A139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894830"/>
    <w:rsid w:val="20894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0"/>
    <w:pPr>
      <w:keepNext/>
      <w:widowControl/>
      <w:jc w:val="center"/>
      <w:outlineLvl w:val="0"/>
    </w:pPr>
    <w:rPr>
      <w:rFonts w:ascii="黑体" w:eastAsia="黑体"/>
      <w:kern w:val="0"/>
      <w:sz w:val="5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2025-08-18T12:39:00Z</dcterms:created>
  <dc:creator>宋璟雯</dc:creator>
  <cp:lastModifiedBy>宋璟雯</cp:lastModifiedBy>
  <dcterms:modified xsi:type="dcterms:W3CDTF">2025-08-18T12:40:13Z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63459987D83D4635A02C0B96DDF82449_11</vt:lpwstr>
  </property>
  <property fmtid="{D5CDD505-2E9C-101B-9397-08002B2CF9AE}" pid="4" name="KSOTemplateDocerSaveRecord">
    <vt:lpwstr>eyJoZGlkIjoiYzY3YWNkOWRmMzdkMWY0ODgxYzQ3M2FiOTAxMTEzOTYiLCJ1c2VySWQiOiIxNDUxODIyODU0In0=</vt:lpwstr>
  </property>
</Properties>
</file>