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版本号：ZX2025-06-39（二次）20250818001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特种设备作业人员警示教育项目(二次)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ZX2025-06-39（二次）</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特种设备作业人员警示教育项目(二次)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ZX2025-06-39（二次）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特种设备作业人员警示教育项目(二次)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特种设备作业人员警示教育项目，1项，具体内容详见磋商文件第3章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2、本项目不接受联合体投标，不允许分包：本项目不接受联合体磋商，不允许分包。供应商应提供《非联合体不分包投标声明》。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采购包1保证金金额：3,639.00元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代理服务费收费标准：定额6000元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特种设备作业人员警示教育项目。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特种设备作业人员警示教育项目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标的名称：特种设备作业人员警示教育项目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按照国务院和省委省政府领导批示要求，结合总局、省局年度工作要点，省局决定在全省开展特种设备领域作业人员及安全总监、安全员的警示教育培训活动。</w:t>
            </w:r>
          </w:p>
          <w:p>
            <w:pPr>
              <w:pStyle w:val="null3"/>
            </w:pPr>
            <w:r>
              <w:rPr>
                <w:rFonts w:ascii="仿宋_GB2312" w:hAnsi="仿宋_GB2312" w:cs="仿宋_GB2312" w:eastAsia="仿宋_GB2312"/>
              </w:rPr>
              <w:t xml:space="preserve">  本次教育培训由省局统一组织，采取在各地分批举办培训班的形式开展，各市局负责教育培训的组织协调和督促落实工作。</w:t>
            </w:r>
          </w:p>
          <w:p>
            <w:pPr>
              <w:pStyle w:val="null3"/>
            </w:pPr>
            <w:r>
              <w:rPr>
                <w:rFonts w:ascii="仿宋_GB2312" w:hAnsi="仿宋_GB2312" w:cs="仿宋_GB2312" w:eastAsia="仿宋_GB2312"/>
              </w:rPr>
              <w:t xml:space="preserve">  培训对象：全省承压类特种设备生产单位的焊工、叉车作业人员，全省大中型能源化工企业（特种设备使用单位）、特种设备生产单位、安装单位、液化石油气充装企业的主要负责人、安全总监、安全员。</w:t>
            </w:r>
          </w:p>
          <w:p>
            <w:pPr>
              <w:pStyle w:val="null3"/>
            </w:pPr>
            <w:r>
              <w:rPr>
                <w:rFonts w:ascii="仿宋_GB2312" w:hAnsi="仿宋_GB2312" w:cs="仿宋_GB2312" w:eastAsia="仿宋_GB2312"/>
              </w:rPr>
              <w:t xml:space="preserve">  培训内容：《特种设备生产单位落实质量安全主体责任监督管理规定》、《特种设备使用单位落实使用安全主体责任监督管理规定》、《特种设备重大事故隐患判定准则》和动火作业相关规定。</w:t>
            </w:r>
          </w:p>
          <w:p>
            <w:pPr>
              <w:pStyle w:val="null3"/>
            </w:pPr>
            <w:r>
              <w:rPr>
                <w:rFonts w:ascii="仿宋_GB2312" w:hAnsi="仿宋_GB2312" w:cs="仿宋_GB2312" w:eastAsia="仿宋_GB2312"/>
              </w:rPr>
              <w:t xml:space="preserve">  培训讲师：高级职称以上技术人员。</w:t>
            </w:r>
          </w:p>
          <w:p>
            <w:pPr>
              <w:pStyle w:val="null3"/>
            </w:pPr>
            <w:r>
              <w:rPr>
                <w:rFonts w:ascii="仿宋_GB2312" w:hAnsi="仿宋_GB2312" w:cs="仿宋_GB2312" w:eastAsia="仿宋_GB2312"/>
              </w:rPr>
              <w:t xml:space="preserve">  不需要提供培训资料。</w:t>
            </w:r>
          </w:p>
          <w:p>
            <w:pPr>
              <w:pStyle w:val="null3"/>
            </w:pPr>
            <w:r>
              <w:rPr>
                <w:rFonts w:ascii="仿宋_GB2312" w:hAnsi="仿宋_GB2312" w:cs="仿宋_GB2312" w:eastAsia="仿宋_GB2312"/>
              </w:rPr>
              <w:t xml:space="preserve">  预期效果：深刻汲取历年来全国范围特种设备安全事故教训，坚决整治特种设备领域违规施工、违规操作和违规焊接作业，全力遏制重特大火灾事故及特种设备事故多发苗头。</w:t>
            </w:r>
          </w:p>
          <w:p>
            <w:pPr>
              <w:pStyle w:val="null3"/>
            </w:pPr>
            <w:r>
              <w:rPr>
                <w:rFonts w:ascii="仿宋_GB2312" w:hAnsi="仿宋_GB2312" w:cs="仿宋_GB2312" w:eastAsia="仿宋_GB2312"/>
              </w:rPr>
              <w:t xml:space="preserve">  根据报名情况在6个地市开展，举办6场，每场最多一天，每个场次130人左右。采取就近原则，按照方便企业的原则确定具体培训时间和地点。本次的教育培训省局委托中标单位具体承办，培训期间不向培训对象和关联企业收取任何费用（食宿费自理），培训费用由省局承担。</w:t>
            </w:r>
          </w:p>
          <w:p>
            <w:pPr>
              <w:pStyle w:val="null3"/>
            </w:pPr>
            <w:r>
              <w:rPr>
                <w:rFonts w:ascii="仿宋_GB2312" w:hAnsi="仿宋_GB2312" w:cs="仿宋_GB2312" w:eastAsia="仿宋_GB2312"/>
              </w:rPr>
              <w:t xml:space="preserve">  场地费用根据采购人需求，在第三方酒店或者其他满足会议要求的场地。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①质量标准，符合国家行业相关标准。②验收：根据磋商文件、成交供应商响应文件和合同文本执行。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项目整体内容完成组织验收，通过验收后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2资格证明文件.docx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(1)磋商响应文件未按照磋商文件规定要求签署、盖章的；(2)不满足本磋商文件中“服务期限、服务地点、支付方式、支付约定”的实质性条款要求的； (3)文件有效期不足的或无有效期的； (4)报价超过磋商文件中规定的预算金额或最高限价的；(5)法律、法规和磋商文件规定的其他无效情形。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 1分项价格表.docx 标的清单 报价表 3承诺书.docx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供应商针对项目理解清晰透彻，提供完整详细的培训服务方案，根据方案是否合理，措施是否具有针对性、可行性计分。 1、完全满足采购需求，无瑕疵：12分； 2、方案内容存在1处瑕疵：10分； 3、方案内容存在2处瑕疵：8分； 4、方案内容存在3处瑕疵：6分； 5、方案内容存在4处瑕疵：4分； 6、方案内容存在5处瑕疵：2分； 7、未提供或内容存在6处及以上瑕疵：0分。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针对本次项目特点制定整体实施方案。内容全面，理念先进、方案符合项目需求，可行性强。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4实施方案.docx</w:t>
            </w:r>
          </w:p>
          <w:p>
            <w:pPr>
              <w:pStyle w:val="null3"/>
            </w:pPr>
            <w:r>
              <w:rPr>
                <w:rFonts w:ascii="仿宋_GB2312" w:hAnsi="仿宋_GB2312" w:cs="仿宋_GB2312" w:eastAsia="仿宋_GB2312"/>
              </w:rPr>
              <w:t>15其他资料.docx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供应商对本项目有详细、具体、可行的培训质量保障方案。质量保证方案详尽合理，切实可行。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5质量保障措施.docx</w:t>
            </w:r>
          </w:p>
        </w:tc>
      </w:tr>
      <w:tr>
        <w:tc>
          <w:tcPr>
            <w:tcW w:type="dxa" w:w="831"/>
            <w:vMerge/>
          </w:tcPr>
          <w:p/>
        </w:tc>
        <w:tc>
          <w:tcPr>
            <w:tcW w:type="dxa" w:w="1661"/>
          </w:tcPr>
          <w:p>
            <w:pPr>
              <w:pStyle w:val="null3"/>
            </w:pPr>
            <w:r>
              <w:rPr>
                <w:rFonts w:ascii="仿宋_GB2312" w:hAnsi="仿宋_GB2312" w:cs="仿宋_GB2312" w:eastAsia="仿宋_GB2312"/>
              </w:rPr>
              <w:t>场地选择及布置</w:t>
            </w:r>
          </w:p>
        </w:tc>
        <w:tc>
          <w:tcPr>
            <w:tcW w:type="dxa" w:w="2492"/>
          </w:tcPr>
          <w:p>
            <w:pPr>
              <w:pStyle w:val="null3"/>
            </w:pPr>
            <w:r>
              <w:rPr>
                <w:rFonts w:ascii="仿宋_GB2312" w:hAnsi="仿宋_GB2312" w:cs="仿宋_GB2312" w:eastAsia="仿宋_GB2312"/>
              </w:rPr>
              <w:t>供应商针对培训会场地选择，会议场地地理位置便利，交通便捷，场地规模符合项目需求，且具备完善的会议设施。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6场地选择及布置.docx</w:t>
            </w:r>
          </w:p>
        </w:tc>
      </w:tr>
      <w:tr>
        <w:tc>
          <w:tcPr>
            <w:tcW w:type="dxa" w:w="831"/>
            <w:vMerge/>
          </w:tcPr>
          <w:p/>
        </w:tc>
        <w:tc>
          <w:tcPr>
            <w:tcW w:type="dxa" w:w="1661"/>
          </w:tcPr>
          <w:p>
            <w:pPr>
              <w:pStyle w:val="null3"/>
            </w:pPr>
            <w:r>
              <w:rPr>
                <w:rFonts w:ascii="仿宋_GB2312" w:hAnsi="仿宋_GB2312" w:cs="仿宋_GB2312" w:eastAsia="仿宋_GB2312"/>
              </w:rPr>
              <w:t>物料准备</w:t>
            </w:r>
          </w:p>
        </w:tc>
        <w:tc>
          <w:tcPr>
            <w:tcW w:type="dxa" w:w="2492"/>
          </w:tcPr>
          <w:p>
            <w:pPr>
              <w:pStyle w:val="null3"/>
            </w:pPr>
            <w:r>
              <w:rPr>
                <w:rFonts w:ascii="仿宋_GB2312" w:hAnsi="仿宋_GB2312" w:cs="仿宋_GB2312" w:eastAsia="仿宋_GB2312"/>
              </w:rPr>
              <w:t>供应商针对培训会的相关物料准备，提供包括但不限于以下内容：培训教材、宣传资料、会议手册、签到表、姓名牌、横幅、展架、背景板等，并确保所有物料按时交付，以保障培训会的顺利进行。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7物料准备.docx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供应商针对本项目提供合理可行的进度计划安排方案，确保项目顺利进行。 1、完全满足采购需求，无瑕疵：5分； 2、方案内容存在1处瑕疵：4分； 3、方案内容存在2处瑕疵：3分； 4、方案内容存在3处瑕疵：2分； 5、方案内容存在4处瑕疵：1分； 6、未提供或内容存在5处及以上瑕疵：0分。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8进度计划.docx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针对本次项目实施过程中的重点、难点分析。重点、难点分析清晰合理，重点把控准确，难点解决思路明确，解决计划可行性强。 1、完全满足采购需求，无瑕疵：5分； 2、方案内容存在1处瑕疵：4分； 3、方案内容存在2处瑕疵：3分； 4、方案内容存在3处瑕疵：2分； 5、方案内容存在4处瑕疵：1分； 6、未提供方案或容存在5处及以上瑕疵：0分。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9重难点分析.docx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供应商针对本项目有成熟应急预案体系和安全保障方案，针对培训过程中可能出现的突发状况制定完善的应急方案，保证出现突发事情时及时采取有效的应对措施。 1、完全满足采购需求，无瑕疵：5分； 2、方案内容存在1处瑕疵：4分； 3、方案内容存在2处瑕疵：3分； 4、方案内容存在3处瑕疵：2分； 5、方案内容存在4处瑕疵：1分； 6、未提供方案或容存在5处及以上瑕疵：0分。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10应急方案.docx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增值服务：除采购人要求的服务外，供应商还能够提供实质性其他增值类服务。 1、服务方案完全满足项目需求，无瑕疵：3分； 2、服务方案存在1处瑕疵：2分； 3、服务方案存在2处瑕疵：1分； 4、未提供方案或容存在3处及以上瑕疵：0分。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11增值服务.docx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提供项目负责人详细的履历表、从业经验、相关证书等。 1、完全满足采购需求，无瑕疵：3分； 2、内容存在1处瑕疵：2分； 3、内容存在2处瑕疵：1分； 4、未提供或内容存在3处及以上瑕疵：0分。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12负责人、团队人员、预期效果.docx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针对本项目拟投入的人员团队，人员充足，相关技能专业经验丰富且具备高级及以上职称证书，提供拟投入人员的履历和有效的证明材料（包括但不限人员学历证书、职称证、专业资格证书或经验证明材料等）。 1、完全满足采购需求，无瑕疵：8分； 2、内容存在1处瑕疵：7分； 3、内容存在2处瑕疵：6分； 4、内容存在3处瑕疵：5分； 5、内容存在4处瑕疵：4分； 6、内容存在5处瑕疵：3分； 7、内容存在6处瑕疵：2分； 8、内容存在7处瑕疵：1分； 9、未提供或内容存在8处及以上瑕疵：0分。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12负责人、团队人员、预期效果.docx</w:t>
            </w:r>
          </w:p>
        </w:tc>
      </w:tr>
      <w:tr>
        <w:tc>
          <w:tcPr>
            <w:tcW w:type="dxa" w:w="831"/>
            <w:vMerge/>
          </w:tcPr>
          <w:p/>
        </w:tc>
        <w:tc>
          <w:tcPr>
            <w:tcW w:type="dxa" w:w="1661"/>
          </w:tcPr>
          <w:p>
            <w:pPr>
              <w:pStyle w:val="null3"/>
            </w:pPr>
            <w:r>
              <w:rPr>
                <w:rFonts w:ascii="仿宋_GB2312" w:hAnsi="仿宋_GB2312" w:cs="仿宋_GB2312" w:eastAsia="仿宋_GB2312"/>
              </w:rPr>
              <w:t>预期效果</w:t>
            </w:r>
          </w:p>
        </w:tc>
        <w:tc>
          <w:tcPr>
            <w:tcW w:type="dxa" w:w="2492"/>
          </w:tcPr>
          <w:p>
            <w:pPr>
              <w:pStyle w:val="null3"/>
            </w:pPr>
            <w:r>
              <w:rPr>
                <w:rFonts w:ascii="仿宋_GB2312" w:hAnsi="仿宋_GB2312" w:cs="仿宋_GB2312" w:eastAsia="仿宋_GB2312"/>
              </w:rPr>
              <w:t>针对本项目预期效果进行阐述。预期效果阐述合理准确，符合项目目的。 1、完全满足项目需求，无瑕疵：3分； 2、存在1处瑕疵：2分； 3、存在2处瑕疵：1分； 4、存在3处瑕疵及以上瑕疵或未提供方案：0分。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12负责人、团队人员、预期效果.docx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针对本项目提供的其他合理化建议及意见等方面提供明确的服务承诺。 1、方案完全满足项目实际需求，无瑕疵计4分； 2、方案存在1处瑕疵计3分； 3、方案存在2处瑕疵计2分； 4、方案存在3处瑕疵计1分； 5、方案存在4处瑕疵或未提供计0分。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详见附件：4实施方案.docx</w:t>
      </w:r>
    </w:p>
    <w:p>
      <w:pPr>
        <w:pStyle w:val="null3"/>
        <w:ind w:firstLine="960"/>
      </w:pPr>
      <w:r>
        <w:rPr>
          <w:rFonts w:ascii="仿宋_GB2312" w:hAnsi="仿宋_GB2312" w:cs="仿宋_GB2312" w:eastAsia="仿宋_GB2312"/>
        </w:rPr>
        <w:t>详见附件：5质量保障措施.docx</w:t>
      </w:r>
    </w:p>
    <w:p>
      <w:pPr>
        <w:pStyle w:val="null3"/>
        <w:ind w:firstLine="960"/>
      </w:pPr>
      <w:r>
        <w:rPr>
          <w:rFonts w:ascii="仿宋_GB2312" w:hAnsi="仿宋_GB2312" w:cs="仿宋_GB2312" w:eastAsia="仿宋_GB2312"/>
        </w:rPr>
        <w:t>详见附件：6场地选择及布置.docx</w:t>
      </w:r>
    </w:p>
    <w:p>
      <w:pPr>
        <w:pStyle w:val="null3"/>
        <w:ind w:firstLine="960"/>
      </w:pPr>
      <w:r>
        <w:rPr>
          <w:rFonts w:ascii="仿宋_GB2312" w:hAnsi="仿宋_GB2312" w:cs="仿宋_GB2312" w:eastAsia="仿宋_GB2312"/>
        </w:rPr>
        <w:t>详见附件：7物料准备.docx</w:t>
      </w:r>
    </w:p>
    <w:p>
      <w:pPr>
        <w:pStyle w:val="null3"/>
        <w:ind w:firstLine="960"/>
      </w:pPr>
      <w:r>
        <w:rPr>
          <w:rFonts w:ascii="仿宋_GB2312" w:hAnsi="仿宋_GB2312" w:cs="仿宋_GB2312" w:eastAsia="仿宋_GB2312"/>
        </w:rPr>
        <w:t>详见附件：8进度计划.docx</w:t>
      </w:r>
    </w:p>
    <w:p>
      <w:pPr>
        <w:pStyle w:val="null3"/>
        <w:ind w:firstLine="960"/>
      </w:pPr>
      <w:r>
        <w:rPr>
          <w:rFonts w:ascii="仿宋_GB2312" w:hAnsi="仿宋_GB2312" w:cs="仿宋_GB2312" w:eastAsia="仿宋_GB2312"/>
        </w:rPr>
        <w:t>详见附件：9重难点分析.docx</w:t>
      </w:r>
    </w:p>
    <w:p>
      <w:pPr>
        <w:pStyle w:val="null3"/>
        <w:ind w:firstLine="960"/>
      </w:pPr>
      <w:r>
        <w:rPr>
          <w:rFonts w:ascii="仿宋_GB2312" w:hAnsi="仿宋_GB2312" w:cs="仿宋_GB2312" w:eastAsia="仿宋_GB2312"/>
        </w:rPr>
        <w:t>详见附件：10应急方案.docx</w:t>
      </w:r>
    </w:p>
    <w:p>
      <w:pPr>
        <w:pStyle w:val="null3"/>
        <w:ind w:firstLine="960"/>
      </w:pPr>
      <w:r>
        <w:rPr>
          <w:rFonts w:ascii="仿宋_GB2312" w:hAnsi="仿宋_GB2312" w:cs="仿宋_GB2312" w:eastAsia="仿宋_GB2312"/>
        </w:rPr>
        <w:t>详见附件：11增值服务.docx</w:t>
      </w:r>
    </w:p>
    <w:p>
      <w:pPr>
        <w:pStyle w:val="null3"/>
        <w:ind w:firstLine="960"/>
      </w:pPr>
      <w:r>
        <w:rPr>
          <w:rFonts w:ascii="仿宋_GB2312" w:hAnsi="仿宋_GB2312" w:cs="仿宋_GB2312" w:eastAsia="仿宋_GB2312"/>
        </w:rPr>
        <w:t>详见附件：12负责人、团队人员、预期效果.docx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详见附件：14合理化建议.docx</w:t>
      </w:r>
    </w:p>
    <w:p>
      <w:pPr>
        <w:pStyle w:val="null3"/>
        <w:ind w:firstLine="960"/>
      </w:pPr>
      <w:r>
        <w:rPr>
          <w:rFonts w:ascii="仿宋_GB2312" w:hAnsi="仿宋_GB2312" w:cs="仿宋_GB2312" w:eastAsia="仿宋_GB2312"/>
        </w:rPr>
        <w:t>详见附件：15其他资料.docx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