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版本号：SZB-2025-002-1420250819001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陕西省2024年度知识产权保护水平评估项目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SZB-2025-002-14</w:t>
      </w:r>
      <w:r>
        <w:br/>
      </w:r>
      <w:r>
        <w:br/>
      </w:r>
      <w:r>
        <w:br/>
      </w:r>
    </w:p>
    <w:p>
      <w:pPr>
        <w:pStyle w:val="null3"/>
        <w:jc w:val="center"/>
        <w:outlineLvl w:val="2"/>
      </w:pPr>
      <w:r>
        <w:rPr>
          <w:rFonts w:ascii="仿宋_GB2312" w:hAnsi="仿宋_GB2312" w:cs="仿宋_GB2312" w:eastAsia="仿宋_GB2312"/>
          <w:sz w:val="28"/>
          <w:b/>
        </w:rPr>
        <w:t>陕西省知识产权局机关</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陕西省知识产权局机关</w:t>
      </w:r>
      <w:r>
        <w:rPr>
          <w:rFonts w:ascii="仿宋_GB2312" w:hAnsi="仿宋_GB2312" w:cs="仿宋_GB2312" w:eastAsia="仿宋_GB2312"/>
        </w:rPr>
        <w:t>委托，拟对</w:t>
      </w:r>
      <w:r>
        <w:rPr>
          <w:rFonts w:ascii="仿宋_GB2312" w:hAnsi="仿宋_GB2312" w:cs="仿宋_GB2312" w:eastAsia="仿宋_GB2312"/>
        </w:rPr>
        <w:t>陕西省2024年度知识产权保护水平评估项目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SZB-2025-002-14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陕西省2024年度知识产权保护水平评估项目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开展知识产权保护水平评估工作，构建符合我省知识产权保护现状的、凸显我省知识产权保护工作特色的，科学有效知识产权保护绩效评价指标体系。系统全面、客观准确反映全省各市（区）知识产权保护工作现状、成效、特点和问题等，对各市（区）知识产权保护水平进行监测排序，强化优势、补齐短板，为推动党中央、国务院和省委、省政府知识产权保护各项政策落地见效，全面提升我省知识产权保护水平，推动我省知识产权保护工作高质量发展提供决策参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1、营业执照：具有独立承担民事责任能力的法人、其他组织或自然人，提供合法有效的统一社会信用代码营业执照（其他组织提供相关证明资料，自然人应提供身份证）</w:t>
      </w:r>
    </w:p>
    <w:p>
      <w:pPr>
        <w:pStyle w:val="null3"/>
      </w:pPr>
      <w:r>
        <w:rPr>
          <w:rFonts w:ascii="仿宋_GB2312" w:hAnsi="仿宋_GB2312" w:cs="仿宋_GB2312" w:eastAsia="仿宋_GB2312"/>
        </w:rPr>
        <w:t>2、法定代表人授权委托书：法定代表人参加投标的，提供本人身份证复印件；法定代表人授权他人参加投标的，提供法定代表人授权委托书</w:t>
      </w:r>
    </w:p>
    <w:p>
      <w:pPr>
        <w:pStyle w:val="null3"/>
      </w:pPr>
      <w:r>
        <w:rPr>
          <w:rFonts w:ascii="仿宋_GB2312" w:hAnsi="仿宋_GB2312" w:cs="仿宋_GB2312" w:eastAsia="仿宋_GB2312"/>
        </w:rPr>
        <w:t>3、财务状况报告：财务状况报告：提供 2024 年度经审计的完整财务报告或开标日期前三个月内其基本存款账户开户银行出具的资信证明。（如提供资信证明，须同时提供基本存款账户开户许可证或基本账户信息表）</w:t>
      </w:r>
    </w:p>
    <w:p>
      <w:pPr>
        <w:pStyle w:val="null3"/>
      </w:pPr>
      <w:r>
        <w:rPr>
          <w:rFonts w:ascii="仿宋_GB2312" w:hAnsi="仿宋_GB2312" w:cs="仿宋_GB2312" w:eastAsia="仿宋_GB2312"/>
        </w:rPr>
        <w:t>4、社保缴纳证明：提供供应商2025年1月以来已缴存的任意时段的社会保障资金缴存单据或社保机构开具的社会保险参保缴费情况证明，依法不需要缴纳社会保障资金的应提供相关文件证明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5、税收缴纳证明：提供2025年1月以来已缴纳任意时段完税凭证或税务机关开具的完税证明（任意税种），依法免税的应提供相关文件证明</w:t>
      </w:r>
    </w:p>
    <w:p>
      <w:pPr>
        <w:pStyle w:val="null3"/>
      </w:pPr>
      <w:r>
        <w:rPr>
          <w:rFonts w:ascii="仿宋_GB2312" w:hAnsi="仿宋_GB2312" w:cs="仿宋_GB2312" w:eastAsia="仿宋_GB2312"/>
        </w:rPr>
        <w:t>6、信用记录：参加本次政府采购活动前3年内在经营活动中没有重大违纪，以及未被列入失信被执行人、重大税收违法案件当事人名单、政府采购严重违法失信行为记录名单</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8、信用主体查询：供应商通过“信用中国”网站(www.creditchina.gov.cn)查询相关主体信用记录，查询时间须在采购文件发售期至开标截止时间之间，并将网页截图附在响应文件中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陕西省知识产权局机关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新城大院内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13389273101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西安市雁翔路99号交大博源科技广场C座12层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李楠</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18821775788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中标供应商按国家计委颁发的《招标代理服务收费管理暂行办法》（计价格[2002]1980号）计算收取，支付依据：按（发改办价格【2003】857号文件），由中标供应商在领取中标通知书时向招标代理机构一次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陕西省知识产权局机关</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陕西省知识产权局机关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陕西省知识产权局机关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联系人：李楠</w:t>
      </w:r>
    </w:p>
    <w:p>
      <w:pPr>
        <w:pStyle w:val="null3"/>
      </w:pPr>
      <w:r>
        <w:rPr>
          <w:rFonts w:ascii="仿宋_GB2312" w:hAnsi="仿宋_GB2312" w:cs="仿宋_GB2312" w:eastAsia="仿宋_GB2312"/>
        </w:rPr>
        <w:t>联系电话：18821775788</w:t>
      </w:r>
    </w:p>
    <w:p>
      <w:pPr>
        <w:pStyle w:val="null3"/>
      </w:pPr>
      <w:r>
        <w:rPr>
          <w:rFonts w:ascii="仿宋_GB2312" w:hAnsi="仿宋_GB2312" w:cs="仿宋_GB2312" w:eastAsia="仿宋_GB2312"/>
        </w:rPr>
        <w:t>地址：西安市雁翔路99号交大博源科技广场C座12层</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开展知识产权保护水平评估工作，构建符合我省知识产权保护现状的、凸显我省知识产权保护工作特色的，科学有效知识产权保护绩效评价指标体系。系统全面、客观准确反映全省各市（区）知识产权保护工作现状、成效、特点和问题等，对各市（区）知识产权保护水平进行监测排序，强化优势、补齐短板，为推动党中央、国务院和省委、省政府知识产权保护各项政策落地见效，全面提升我省知识产权保护水平，推动我省知识产权保护工作高质量发展提供决策参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140,000.00</w:t>
      </w:r>
    </w:p>
    <w:p>
      <w:pPr>
        <w:pStyle w:val="null3"/>
      </w:pPr>
      <w:r>
        <w:rPr>
          <w:rFonts w:ascii="仿宋_GB2312" w:hAnsi="仿宋_GB2312" w:cs="仿宋_GB2312" w:eastAsia="仿宋_GB2312"/>
        </w:rPr>
        <w:t>采购包最高限价（元）: 140,000.00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陕西省2024年度知识产权保护水平评估项目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标的名称：陕西省2024年度知识产权保护水平评估项目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color w:val="333333"/>
                <w:shd w:fill="FFFFFF" w:val="clear"/>
              </w:rPr>
              <w:t>本次全省保护水平评估中所指的知识产权主要包括：专利权、商标权、著作权、地理标志和特殊标志。</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2"/>
              <w:jc w:val="both"/>
            </w:pPr>
            <w:r>
              <w:rPr>
                <w:rFonts w:ascii="仿宋_GB2312" w:hAnsi="仿宋_GB2312" w:cs="仿宋_GB2312" w:eastAsia="仿宋_GB2312"/>
                <w:sz w:val="28"/>
                <w:color w:val="333333"/>
                <w:shd w:fill="FFFFFF" w:val="clear"/>
              </w:rPr>
              <w:t>评估对象范围</w:t>
            </w:r>
            <w:r>
              <w:rPr>
                <w:rFonts w:ascii="仿宋_GB2312" w:hAnsi="仿宋_GB2312" w:cs="仿宋_GB2312" w:eastAsia="仿宋_GB2312"/>
                <w:sz w:val="28"/>
                <w:color w:val="333333"/>
                <w:shd w:fill="FFFFFF" w:val="clear"/>
              </w:rPr>
              <w:t>陕西省</w:t>
            </w:r>
            <w:r>
              <w:rPr>
                <w:rFonts w:ascii="仿宋_GB2312" w:hAnsi="仿宋_GB2312" w:cs="仿宋_GB2312" w:eastAsia="仿宋_GB2312"/>
                <w:sz w:val="28"/>
                <w:color w:val="333333"/>
                <w:shd w:fill="FFFFFF" w:val="clear"/>
              </w:rPr>
              <w:t>12个市（区）：西安市、宝鸡市、咸阳市、铜川市、渭南市、延安市、榆林市、汉中市、安康市、商洛市、韩城市、杨凌示范区。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按《民法典》相关规定执行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具有独立承担民事责任能力的法人、其他组织或自然人，提供合法有效的统一社会信用代码营业执照（其他组织提供相关证明资料，自然人应提供身份证）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法定代表人参加投标的，提供本人身份证复印件；法定代表人授权他人参加投标的，提供法定代表人授权委托书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 2024 年度经审计的完整财务报告或开标日期前三个月内其基本存款账户开户银行出具的资信证明。（如提供资信证明，须同时提供基本存款账户开户许可证或基本账户信息表）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提供供应商2025年1月以来已缴存的任意时段的社会保障资金缴存单据或社保机构开具的社会保险参保缴费情况证明，依法不需要缴纳社会保障资金的应提供相关文件证明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对本项目的解读与掌握情况：根据对本项目背景、现状、目标、内容和要求的理解情况，提供知识产权保护水平评估工作的实施方案。方案框架结构清晰，体系完善，达到服务标准，得8.1-15分；方案框架结构基本清晰，体系较完善，得3.1-8分；方案不清晰，不能到达服务标准，得0.1-3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本项目整体实施方案：供应商提供的项目整体实施方案科学、实用。项目实施方案内容完整，与项目业务内容高度吻合，有着完善、严格规范的项目过程管理、文档管理、风险管理等方案，得7.1-11分；实施方案内容基本完整，与项目业务基本吻合得3.1-7分；实施方案内容不完整或者与项目业务相关性弱得0.1-3分；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技术路线和方法：项目实施的技术路线清晰、全面，方法科学 合理，技术指标明确得5.1-10分；项目实施的技术路线基本清晰全面，方法可行得2.1-5分；项目实施的技术路线不够清晰，方法简单不利于项目实施的得0.1-2分；未提供不得分。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能够按照工作内容全面梳理项目实施阶段各工作流程。流程清晰、方法得当，可行性强，完全满足采购人的要求得5.1-8分；流程基本全面，满足采购人要求得2.1-5分；技术方法、流程不完善，不利于项目实施的得0.1-2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结合本项目要求，阐述服务时效及进度的保障措施，时间进度安排合理、可行，完全满足采购要求得5.1-7分；措施基本合理，满足项目需求得2.1-5分；措施简单，不利于项目实施得0.1-2分；未提供不得分。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数据保密性、数据严谨性、质量保障体系及措施完善、可行，质量有保障、质保合理、严谨，4.1-7分；数据保密性、严谨性、质量保障体系及措施基本可行，质量、质保基本合理，2.1-4分；数据保密性、严谨性、质量保障体系及措施一般，质量、质保合理性较差，0.1-2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调查工作人员配备合理、充足，调研工作成立专项小组，专业调查员和一般调查员搭配合理，各岗位职责明确，满足调整需求，根据响应程度计10.1-12分；有人员安排，能保证项目顺利实施的得6.1-10分；人员安排简单得3.1-6分；人员安排不明确，不利于项目实施得0.1-3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提供供应商2022年1月1日至今同类项目合同（以合同签订日期为准），每提供1个得2分，最高得10分。 备注：响应文件中上传合同扫描件并加盖公章。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和合理化建议，在编制评价成果至提交的过程中符合采购人要求，并提供服务承诺和保证措施。服务承诺及措施合理可行得6.1-10分；服务承诺及措施基本合理可行得3.1-6分；服务承诺宽泛不利于项目实施的得0.1-3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 价，其报价得分为满分。 其他供应商的价格分统一按照下列公式计算：磋商报价得分= （磋商基准价/最后磋商报价） ×10 （保留小数点后两位,小数点后第三位四舍五入）项 目评审过程中，不得去掉最后报价中的最高报价和最低报价。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