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231BC">
      <w:pPr>
        <w:jc w:val="left"/>
        <w:rPr>
          <w:rFonts w:hint="eastAsia"/>
          <w:highlight w:val="none"/>
        </w:rPr>
      </w:pPr>
      <w:bookmarkStart w:id="0" w:name="_Toc29289"/>
      <w:bookmarkStart w:id="1" w:name="_Toc28907"/>
      <w:bookmarkStart w:id="2" w:name="_Toc10379"/>
    </w:p>
    <w:p w14:paraId="4AB97A72">
      <w:pPr>
        <w:jc w:val="left"/>
        <w:rPr>
          <w:rFonts w:hint="eastAsia"/>
          <w:highlight w:val="none"/>
        </w:rPr>
      </w:pPr>
    </w:p>
    <w:p w14:paraId="4DE84B0E">
      <w:pPr>
        <w:jc w:val="left"/>
        <w:rPr>
          <w:rFonts w:hint="eastAsia"/>
          <w:highlight w:val="none"/>
        </w:rPr>
      </w:pPr>
    </w:p>
    <w:p w14:paraId="493ECEBF">
      <w:pPr>
        <w:jc w:val="left"/>
        <w:rPr>
          <w:rFonts w:eastAsia="宋体"/>
          <w:highlight w:val="none"/>
        </w:rPr>
      </w:pPr>
      <w:r>
        <w:rPr>
          <w:rFonts w:hint="eastAsia"/>
          <w:highlight w:val="none"/>
        </w:rPr>
        <w:t>合同编号：</w:t>
      </w:r>
    </w:p>
    <w:p w14:paraId="380720B2">
      <w:pPr>
        <w:snapToGrid w:val="0"/>
        <w:spacing w:line="360" w:lineRule="auto"/>
        <w:rPr>
          <w:rStyle w:val="7"/>
          <w:rFonts w:hint="default"/>
          <w:sz w:val="44"/>
          <w:szCs w:val="44"/>
          <w:highlight w:val="none"/>
        </w:rPr>
      </w:pPr>
    </w:p>
    <w:bookmarkEnd w:id="0"/>
    <w:bookmarkEnd w:id="1"/>
    <w:bookmarkEnd w:id="2"/>
    <w:p w14:paraId="46BA1FE0">
      <w:pPr>
        <w:snapToGrid w:val="0"/>
        <w:spacing w:line="360" w:lineRule="auto"/>
        <w:jc w:val="center"/>
        <w:rPr>
          <w:rStyle w:val="7"/>
          <w:rFonts w:hint="default"/>
          <w:sz w:val="40"/>
          <w:szCs w:val="40"/>
          <w:highlight w:val="none"/>
        </w:rPr>
      </w:pPr>
    </w:p>
    <w:p w14:paraId="3D61D285">
      <w:pPr>
        <w:snapToGrid w:val="0"/>
        <w:spacing w:line="360" w:lineRule="auto"/>
        <w:jc w:val="center"/>
        <w:rPr>
          <w:rStyle w:val="7"/>
          <w:rFonts w:hint="default"/>
          <w:sz w:val="40"/>
          <w:szCs w:val="40"/>
          <w:highlight w:val="none"/>
          <w:lang w:eastAsia="zh-CN"/>
        </w:rPr>
      </w:pPr>
      <w:r>
        <w:rPr>
          <w:rStyle w:val="7"/>
          <w:rFonts w:hint="default"/>
          <w:sz w:val="40"/>
          <w:szCs w:val="40"/>
          <w:highlight w:val="none"/>
          <w:lang w:eastAsia="zh-CN"/>
        </w:rPr>
        <w:t>西安工程大学可变脉宽</w:t>
      </w:r>
    </w:p>
    <w:p w14:paraId="7E4E540E">
      <w:pPr>
        <w:snapToGrid w:val="0"/>
        <w:spacing w:line="360" w:lineRule="auto"/>
        <w:jc w:val="center"/>
        <w:rPr>
          <w:rStyle w:val="7"/>
          <w:rFonts w:hint="default"/>
          <w:sz w:val="40"/>
          <w:szCs w:val="40"/>
          <w:highlight w:val="none"/>
        </w:rPr>
      </w:pPr>
      <w:r>
        <w:rPr>
          <w:rStyle w:val="7"/>
          <w:rFonts w:hint="default"/>
          <w:sz w:val="40"/>
          <w:szCs w:val="40"/>
          <w:highlight w:val="none"/>
          <w:lang w:eastAsia="zh-CN"/>
        </w:rPr>
        <w:t>高能纳秒脉冲激光冲击系统（激光器）采购项目</w:t>
      </w:r>
    </w:p>
    <w:p w14:paraId="59949820">
      <w:pPr>
        <w:snapToGrid w:val="0"/>
        <w:spacing w:line="360" w:lineRule="auto"/>
        <w:jc w:val="center"/>
        <w:rPr>
          <w:rStyle w:val="7"/>
          <w:rFonts w:hint="default"/>
          <w:color w:val="000000" w:themeColor="text1"/>
          <w:sz w:val="28"/>
          <w:szCs w:val="28"/>
          <w14:textFill>
            <w14:solidFill>
              <w14:schemeClr w14:val="tx1"/>
            </w14:solidFill>
          </w14:textFill>
        </w:rPr>
      </w:pPr>
      <w:r>
        <w:rPr>
          <w:rStyle w:val="7"/>
          <w:rFonts w:hint="default"/>
          <w:color w:val="000000" w:themeColor="text1"/>
          <w:sz w:val="28"/>
          <w:szCs w:val="28"/>
          <w14:textFill>
            <w14:solidFill>
              <w14:schemeClr w14:val="tx1"/>
            </w14:solidFill>
          </w14:textFill>
        </w:rPr>
        <w:t>（合同参考文本，最终以实际签订为准）</w:t>
      </w:r>
    </w:p>
    <w:p w14:paraId="476E2F8A">
      <w:pPr>
        <w:snapToGrid w:val="0"/>
        <w:spacing w:line="360" w:lineRule="auto"/>
        <w:jc w:val="center"/>
        <w:rPr>
          <w:rStyle w:val="7"/>
          <w:rFonts w:hint="default"/>
          <w:sz w:val="40"/>
          <w:szCs w:val="40"/>
          <w:highlight w:val="none"/>
        </w:rPr>
      </w:pPr>
    </w:p>
    <w:p w14:paraId="3DC7A923">
      <w:pPr>
        <w:snapToGrid w:val="0"/>
        <w:spacing w:line="360" w:lineRule="auto"/>
        <w:jc w:val="center"/>
        <w:rPr>
          <w:rStyle w:val="7"/>
          <w:rFonts w:hint="default"/>
          <w:sz w:val="40"/>
          <w:szCs w:val="40"/>
          <w:highlight w:val="none"/>
        </w:rPr>
      </w:pPr>
    </w:p>
    <w:p w14:paraId="4E02B62D">
      <w:pPr>
        <w:snapToGrid w:val="0"/>
        <w:spacing w:line="360" w:lineRule="auto"/>
        <w:jc w:val="center"/>
        <w:rPr>
          <w:rStyle w:val="7"/>
          <w:rFonts w:hint="default"/>
          <w:sz w:val="40"/>
          <w:szCs w:val="40"/>
          <w:highlight w:val="none"/>
        </w:rPr>
      </w:pPr>
    </w:p>
    <w:p w14:paraId="51F1EC55">
      <w:pPr>
        <w:snapToGrid w:val="0"/>
        <w:spacing w:line="360" w:lineRule="auto"/>
        <w:jc w:val="center"/>
        <w:rPr>
          <w:rStyle w:val="7"/>
          <w:rFonts w:hint="default"/>
          <w:sz w:val="40"/>
          <w:szCs w:val="40"/>
          <w:highlight w:val="none"/>
        </w:rPr>
      </w:pPr>
      <w:r>
        <w:rPr>
          <w:rStyle w:val="7"/>
          <w:rFonts w:hint="default"/>
          <w:sz w:val="40"/>
          <w:szCs w:val="40"/>
          <w:highlight w:val="none"/>
        </w:rPr>
        <w:t>供货合同</w:t>
      </w:r>
    </w:p>
    <w:p w14:paraId="064351C8">
      <w:pPr>
        <w:snapToGrid w:val="0"/>
        <w:spacing w:line="360" w:lineRule="auto"/>
        <w:jc w:val="center"/>
        <w:rPr>
          <w:rFonts w:ascii="宋体" w:hAnsi="宋体"/>
          <w:b/>
          <w:bCs/>
          <w:sz w:val="24"/>
          <w:highlight w:val="none"/>
        </w:rPr>
      </w:pPr>
    </w:p>
    <w:p w14:paraId="34F909A5">
      <w:pPr>
        <w:snapToGrid w:val="0"/>
        <w:spacing w:line="360" w:lineRule="auto"/>
        <w:jc w:val="center"/>
        <w:rPr>
          <w:rFonts w:ascii="宋体" w:hAnsi="宋体"/>
          <w:b/>
          <w:bCs/>
          <w:strike/>
          <w:color w:val="FF0000"/>
          <w:sz w:val="44"/>
          <w:szCs w:val="44"/>
          <w:highlight w:val="none"/>
        </w:rPr>
      </w:pPr>
    </w:p>
    <w:p w14:paraId="77D11C99">
      <w:pPr>
        <w:snapToGrid w:val="0"/>
        <w:spacing w:line="360" w:lineRule="auto"/>
        <w:rPr>
          <w:rFonts w:ascii="宋体" w:hAnsi="宋体"/>
          <w:b/>
          <w:sz w:val="32"/>
          <w:szCs w:val="32"/>
          <w:highlight w:val="none"/>
        </w:rPr>
      </w:pPr>
    </w:p>
    <w:p w14:paraId="00E4005C">
      <w:pPr>
        <w:snapToGrid w:val="0"/>
        <w:spacing w:line="360" w:lineRule="auto"/>
        <w:rPr>
          <w:rFonts w:ascii="宋体" w:hAnsi="宋体"/>
          <w:b/>
          <w:sz w:val="32"/>
          <w:szCs w:val="32"/>
          <w:highlight w:val="none"/>
        </w:rPr>
      </w:pPr>
    </w:p>
    <w:p w14:paraId="24D8E752">
      <w:pPr>
        <w:snapToGrid w:val="0"/>
        <w:spacing w:line="360" w:lineRule="auto"/>
        <w:rPr>
          <w:rFonts w:ascii="宋体" w:hAnsi="宋体"/>
          <w:b/>
          <w:sz w:val="32"/>
          <w:szCs w:val="32"/>
          <w:highlight w:val="none"/>
        </w:rPr>
      </w:pPr>
    </w:p>
    <w:p w14:paraId="3DB67B67">
      <w:pPr>
        <w:snapToGrid w:val="0"/>
        <w:spacing w:line="360" w:lineRule="auto"/>
        <w:ind w:firstLine="2108" w:firstLineChars="700"/>
        <w:rPr>
          <w:rFonts w:ascii="宋体" w:hAnsi="宋体"/>
          <w:b/>
          <w:bCs/>
          <w:sz w:val="30"/>
          <w:szCs w:val="30"/>
          <w:highlight w:val="none"/>
        </w:rPr>
      </w:pPr>
      <w:r>
        <w:rPr>
          <w:rFonts w:hint="eastAsia" w:ascii="宋体" w:hAnsi="宋体"/>
          <w:b/>
          <w:bCs/>
          <w:sz w:val="30"/>
          <w:szCs w:val="30"/>
          <w:highlight w:val="none"/>
        </w:rPr>
        <w:t>甲方：</w:t>
      </w:r>
      <w:r>
        <w:rPr>
          <w:rFonts w:hint="eastAsia" w:ascii="宋体" w:hAnsi="宋体"/>
          <w:b/>
          <w:bCs/>
          <w:sz w:val="30"/>
          <w:szCs w:val="30"/>
          <w:highlight w:val="none"/>
          <w:u w:val="single"/>
        </w:rPr>
        <w:t xml:space="preserve">      西安工程大学       </w:t>
      </w:r>
    </w:p>
    <w:p w14:paraId="1B9B44F8">
      <w:pPr>
        <w:snapToGrid w:val="0"/>
        <w:spacing w:line="360" w:lineRule="auto"/>
        <w:ind w:firstLine="2108" w:firstLineChars="700"/>
        <w:rPr>
          <w:rFonts w:ascii="宋体" w:hAnsi="宋体"/>
          <w:b/>
          <w:bCs/>
          <w:sz w:val="30"/>
          <w:szCs w:val="30"/>
          <w:highlight w:val="none"/>
        </w:rPr>
      </w:pPr>
      <w:r>
        <w:rPr>
          <w:rFonts w:hint="eastAsia" w:ascii="宋体" w:hAnsi="宋体"/>
          <w:b/>
          <w:bCs/>
          <w:sz w:val="30"/>
          <w:szCs w:val="30"/>
          <w:highlight w:val="none"/>
        </w:rPr>
        <w:t>乙方：</w:t>
      </w:r>
      <w:r>
        <w:rPr>
          <w:rFonts w:hint="eastAsia" w:ascii="宋体" w:hAnsi="宋体"/>
          <w:b/>
          <w:bCs/>
          <w:sz w:val="30"/>
          <w:szCs w:val="30"/>
          <w:highlight w:val="none"/>
          <w:u w:val="single"/>
        </w:rPr>
        <w:t xml:space="preserve">                          </w:t>
      </w:r>
    </w:p>
    <w:p w14:paraId="52134242">
      <w:pPr>
        <w:snapToGrid w:val="0"/>
        <w:spacing w:line="360" w:lineRule="auto"/>
        <w:jc w:val="center"/>
        <w:rPr>
          <w:rFonts w:ascii="宋体" w:hAnsi="宋体"/>
          <w:b/>
          <w:bCs/>
          <w:spacing w:val="26"/>
          <w:sz w:val="30"/>
          <w:szCs w:val="30"/>
          <w:highlight w:val="none"/>
        </w:rPr>
      </w:pPr>
      <w:r>
        <w:rPr>
          <w:rFonts w:hint="eastAsia" w:ascii="宋体" w:hAnsi="宋体"/>
          <w:b/>
          <w:bCs/>
          <w:spacing w:val="26"/>
          <w:sz w:val="30"/>
          <w:szCs w:val="30"/>
          <w:highlight w:val="none"/>
        </w:rPr>
        <w:t xml:space="preserve"> 二〇二五年</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月</w:t>
      </w:r>
      <w:r>
        <w:rPr>
          <w:rFonts w:hint="eastAsia" w:ascii="宋体" w:hAnsi="宋体"/>
          <w:b/>
          <w:bCs/>
          <w:spacing w:val="26"/>
          <w:sz w:val="30"/>
          <w:szCs w:val="30"/>
          <w:highlight w:val="none"/>
          <w:u w:val="single"/>
        </w:rPr>
        <w:t xml:space="preserve">  </w:t>
      </w:r>
      <w:r>
        <w:rPr>
          <w:rFonts w:hint="eastAsia" w:ascii="宋体" w:hAnsi="宋体"/>
          <w:b/>
          <w:bCs/>
          <w:spacing w:val="26"/>
          <w:sz w:val="30"/>
          <w:szCs w:val="30"/>
          <w:highlight w:val="none"/>
        </w:rPr>
        <w:t>日</w:t>
      </w:r>
    </w:p>
    <w:p w14:paraId="759BA211">
      <w:pPr>
        <w:rPr>
          <w:rFonts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br w:type="page"/>
      </w:r>
    </w:p>
    <w:p w14:paraId="36965D1C">
      <w:pPr>
        <w:widowControl/>
        <w:adjustRightInd w:val="0"/>
        <w:snapToGrid w:val="0"/>
        <w:spacing w:line="360" w:lineRule="auto"/>
        <w:ind w:firstLine="482" w:firstLineChars="200"/>
        <w:rPr>
          <w:rFonts w:hint="eastAsia"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t>需方（以下简称“甲方”）:西安工程大学</w:t>
      </w:r>
    </w:p>
    <w:p w14:paraId="57A93108">
      <w:pPr>
        <w:widowControl/>
        <w:adjustRightInd w:val="0"/>
        <w:snapToGrid w:val="0"/>
        <w:spacing w:line="360" w:lineRule="auto"/>
        <w:ind w:firstLine="482" w:firstLineChars="200"/>
        <w:rPr>
          <w:rFonts w:ascii="宋体" w:hAnsi="宋体" w:eastAsia="宋体" w:cs="宋体"/>
          <w:b/>
          <w:bCs/>
          <w:color w:val="000000"/>
          <w:kern w:val="0"/>
          <w:sz w:val="24"/>
          <w:highlight w:val="none"/>
          <w:u w:val="single"/>
        </w:rPr>
      </w:pPr>
      <w:r>
        <w:rPr>
          <w:rFonts w:hint="eastAsia" w:ascii="宋体" w:hAnsi="宋体" w:eastAsia="宋体" w:cs="宋体"/>
          <w:b/>
          <w:bCs/>
          <w:color w:val="000000"/>
          <w:kern w:val="0"/>
          <w:sz w:val="24"/>
          <w:highlight w:val="none"/>
        </w:rPr>
        <w:t xml:space="preserve">供方（以下简称“乙方”）: </w:t>
      </w:r>
      <w:r>
        <w:rPr>
          <w:rFonts w:hint="eastAsia" w:ascii="宋体" w:hAnsi="宋体" w:eastAsia="宋体" w:cs="宋体"/>
          <w:b/>
          <w:bCs/>
          <w:color w:val="000000"/>
          <w:kern w:val="0"/>
          <w:sz w:val="24"/>
          <w:highlight w:val="none"/>
          <w:u w:val="single"/>
        </w:rPr>
        <w:t xml:space="preserve">           </w:t>
      </w:r>
    </w:p>
    <w:p w14:paraId="33B8122F">
      <w:pPr>
        <w:widowControl/>
        <w:adjustRightInd w:val="0"/>
        <w:snapToGrid w:val="0"/>
        <w:spacing w:line="360" w:lineRule="auto"/>
        <w:ind w:firstLine="482" w:firstLineChars="200"/>
        <w:rPr>
          <w:rFonts w:ascii="宋体" w:hAnsi="宋体" w:eastAsia="宋体" w:cs="宋体"/>
          <w:b/>
          <w:bCs/>
          <w:color w:val="000000"/>
          <w:kern w:val="0"/>
          <w:sz w:val="24"/>
          <w:highlight w:val="none"/>
        </w:rPr>
      </w:pPr>
      <w:r>
        <w:rPr>
          <w:rFonts w:hint="eastAsia" w:ascii="宋体" w:hAnsi="宋体" w:eastAsia="宋体" w:cs="宋体"/>
          <w:b/>
          <w:bCs/>
          <w:color w:val="000000"/>
          <w:kern w:val="0"/>
          <w:sz w:val="24"/>
          <w:highlight w:val="none"/>
        </w:rPr>
        <w:t xml:space="preserve">              </w:t>
      </w:r>
    </w:p>
    <w:p w14:paraId="3C70ABD6">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依据《中华人民共和国民法典》等规定，经双方协商同意，签订本合同并信守下列条款，共同严格履行。</w:t>
      </w:r>
    </w:p>
    <w:p w14:paraId="433BE7ED">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kern w:val="0"/>
          <w:sz w:val="24"/>
          <w:highlight w:val="none"/>
        </w:rPr>
        <w:t>一、</w:t>
      </w:r>
      <w:r>
        <w:rPr>
          <w:rFonts w:hint="eastAsia" w:ascii="宋体" w:hAnsi="宋体" w:eastAsia="宋体" w:cs="宋体"/>
          <w:b/>
          <w:color w:val="000000"/>
          <w:kern w:val="0"/>
          <w:sz w:val="24"/>
          <w:highlight w:val="none"/>
        </w:rPr>
        <w:t>产品名称、数量、价格：</w:t>
      </w:r>
    </w:p>
    <w:tbl>
      <w:tblPr>
        <w:tblStyle w:val="5"/>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57B8590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26626DFF">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46EA735B">
            <w:pPr>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产品</w:t>
            </w:r>
          </w:p>
          <w:p w14:paraId="0684AC30">
            <w:pPr>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1513121D">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4BF15CDF">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品牌</w:t>
            </w:r>
          </w:p>
          <w:p w14:paraId="7BB84452">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2AA6486E">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生产</w:t>
            </w:r>
          </w:p>
          <w:p w14:paraId="5FEFEB36">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3BD63BE2">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5E5B2AD2">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5BA05CB9">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单价</w:t>
            </w:r>
          </w:p>
          <w:p w14:paraId="358FA2BF">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92F72FB">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总金额</w:t>
            </w:r>
          </w:p>
          <w:p w14:paraId="78F63EA8">
            <w:pPr>
              <w:widowControl/>
              <w:adjustRightInd w:val="0"/>
              <w:snapToGrid w:val="0"/>
              <w:spacing w:line="360" w:lineRule="auto"/>
              <w:jc w:val="center"/>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2C08BAC1">
            <w:pPr>
              <w:widowControl/>
              <w:adjustRightInd w:val="0"/>
              <w:snapToGrid w:val="0"/>
              <w:spacing w:line="360" w:lineRule="auto"/>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备注</w:t>
            </w:r>
          </w:p>
        </w:tc>
      </w:tr>
      <w:tr w14:paraId="77B6A12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DF574B0">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79BF6147">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55812C9C">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0572B211">
            <w:pPr>
              <w:widowControl/>
              <w:adjustRightInd w:val="0"/>
              <w:snapToGrid w:val="0"/>
              <w:spacing w:line="360" w:lineRule="auto"/>
              <w:jc w:val="center"/>
              <w:rPr>
                <w:rFonts w:ascii="宋体" w:hAnsi="宋体" w:eastAsia="宋体" w:cs="宋体"/>
                <w:b/>
                <w:color w:val="000000"/>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72ACB88E">
            <w:pPr>
              <w:widowControl/>
              <w:adjustRightInd w:val="0"/>
              <w:snapToGrid w:val="0"/>
              <w:spacing w:line="360" w:lineRule="auto"/>
              <w:jc w:val="center"/>
              <w:rPr>
                <w:rFonts w:ascii="宋体" w:hAnsi="宋体" w:eastAsia="宋体" w:cs="宋体"/>
                <w:b/>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5EB779D9">
            <w:pPr>
              <w:adjustRightInd w:val="0"/>
              <w:snapToGrid w:val="0"/>
              <w:spacing w:line="360" w:lineRule="auto"/>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089C6C5E">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EAB14F3">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165C5D2F">
            <w:pPr>
              <w:widowControl/>
              <w:adjustRightInd w:val="0"/>
              <w:snapToGrid w:val="0"/>
              <w:spacing w:line="360" w:lineRule="auto"/>
              <w:jc w:val="center"/>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547CD047">
            <w:pPr>
              <w:widowControl/>
              <w:adjustRightInd w:val="0"/>
              <w:snapToGrid w:val="0"/>
              <w:spacing w:line="360" w:lineRule="auto"/>
              <w:jc w:val="center"/>
              <w:rPr>
                <w:rFonts w:ascii="宋体" w:hAnsi="宋体" w:eastAsia="宋体" w:cs="宋体"/>
                <w:b/>
                <w:color w:val="000000"/>
                <w:kern w:val="0"/>
                <w:sz w:val="24"/>
                <w:highlight w:val="none"/>
              </w:rPr>
            </w:pPr>
          </w:p>
        </w:tc>
      </w:tr>
      <w:tr w14:paraId="1DD366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4E7FB728">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39B221C0">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41F92095">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18529AA6">
            <w:pPr>
              <w:widowControl/>
              <w:adjustRightInd w:val="0"/>
              <w:snapToGrid w:val="0"/>
              <w:spacing w:line="360" w:lineRule="auto"/>
              <w:jc w:val="center"/>
              <w:rPr>
                <w:rFonts w:ascii="宋体" w:hAnsi="宋体" w:eastAsia="宋体" w:cs="宋体"/>
                <w:color w:val="000000"/>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5FB78106">
            <w:pPr>
              <w:widowControl/>
              <w:adjustRightInd w:val="0"/>
              <w:snapToGrid w:val="0"/>
              <w:spacing w:line="360" w:lineRule="auto"/>
              <w:jc w:val="center"/>
              <w:rPr>
                <w:rFonts w:ascii="宋体" w:hAnsi="宋体" w:eastAsia="宋体" w:cs="宋体"/>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4D0A59A8">
            <w:pPr>
              <w:adjustRightInd w:val="0"/>
              <w:snapToGrid w:val="0"/>
              <w:spacing w:line="360" w:lineRule="auto"/>
              <w:jc w:val="center"/>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5E803738">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209C7E84">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5E5FF4A9">
            <w:pPr>
              <w:widowControl/>
              <w:adjustRightInd w:val="0"/>
              <w:snapToGrid w:val="0"/>
              <w:spacing w:line="360" w:lineRule="auto"/>
              <w:jc w:val="center"/>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6D52E707">
            <w:pPr>
              <w:widowControl/>
              <w:adjustRightInd w:val="0"/>
              <w:snapToGrid w:val="0"/>
              <w:spacing w:line="360" w:lineRule="auto"/>
              <w:jc w:val="center"/>
              <w:rPr>
                <w:rFonts w:ascii="宋体" w:hAnsi="宋体" w:eastAsia="宋体" w:cs="宋体"/>
                <w:b/>
                <w:color w:val="000000"/>
                <w:kern w:val="0"/>
                <w:sz w:val="24"/>
                <w:highlight w:val="none"/>
              </w:rPr>
            </w:pPr>
          </w:p>
        </w:tc>
      </w:tr>
      <w:tr w14:paraId="4AD2049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002134D">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69DB6D8A">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285F2573">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6F7470FC">
            <w:pPr>
              <w:widowControl/>
              <w:adjustRightInd w:val="0"/>
              <w:snapToGrid w:val="0"/>
              <w:spacing w:line="360" w:lineRule="auto"/>
              <w:jc w:val="center"/>
              <w:rPr>
                <w:rFonts w:ascii="宋体" w:hAnsi="宋体" w:eastAsia="宋体" w:cs="宋体"/>
                <w:color w:val="000000"/>
                <w:kern w:val="0"/>
                <w:sz w:val="24"/>
                <w:highlight w:val="none"/>
              </w:rPr>
            </w:pPr>
          </w:p>
        </w:tc>
        <w:tc>
          <w:tcPr>
            <w:tcW w:w="900" w:type="dxa"/>
            <w:tcBorders>
              <w:top w:val="single" w:color="auto" w:sz="4" w:space="0"/>
              <w:left w:val="single" w:color="auto" w:sz="4" w:space="0"/>
              <w:bottom w:val="single" w:color="auto" w:sz="4" w:space="0"/>
              <w:right w:val="single" w:color="auto" w:sz="4" w:space="0"/>
            </w:tcBorders>
            <w:vAlign w:val="center"/>
          </w:tcPr>
          <w:p w14:paraId="02CEA741">
            <w:pPr>
              <w:widowControl/>
              <w:adjustRightInd w:val="0"/>
              <w:snapToGrid w:val="0"/>
              <w:spacing w:line="360" w:lineRule="auto"/>
              <w:jc w:val="center"/>
              <w:rPr>
                <w:rFonts w:ascii="宋体" w:hAnsi="宋体" w:eastAsia="宋体" w:cs="宋体"/>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2AD9820E">
            <w:pPr>
              <w:adjustRightInd w:val="0"/>
              <w:snapToGrid w:val="0"/>
              <w:spacing w:line="360" w:lineRule="auto"/>
              <w:jc w:val="center"/>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4BC74BA8">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267EE34B">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5CEFD57">
            <w:pPr>
              <w:widowControl/>
              <w:adjustRightInd w:val="0"/>
              <w:snapToGrid w:val="0"/>
              <w:spacing w:line="360" w:lineRule="auto"/>
              <w:jc w:val="center"/>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511EF5FC">
            <w:pPr>
              <w:widowControl/>
              <w:adjustRightInd w:val="0"/>
              <w:snapToGrid w:val="0"/>
              <w:spacing w:line="360" w:lineRule="auto"/>
              <w:jc w:val="center"/>
              <w:rPr>
                <w:rFonts w:ascii="宋体" w:hAnsi="宋体" w:eastAsia="宋体" w:cs="宋体"/>
                <w:b/>
                <w:color w:val="000000"/>
                <w:kern w:val="0"/>
                <w:sz w:val="24"/>
                <w:highlight w:val="none"/>
              </w:rPr>
            </w:pPr>
          </w:p>
        </w:tc>
      </w:tr>
      <w:tr w14:paraId="3DD87C2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E8C3329">
            <w:pPr>
              <w:adjustRightInd w:val="0"/>
              <w:snapToGrid w:val="0"/>
              <w:spacing w:line="360" w:lineRule="auto"/>
              <w:rPr>
                <w:rFonts w:ascii="宋体" w:hAnsi="宋体" w:eastAsia="宋体" w:cs="宋体"/>
                <w:b/>
                <w:color w:val="000000"/>
                <w:sz w:val="24"/>
                <w:highlight w:val="none"/>
              </w:rPr>
            </w:pPr>
          </w:p>
        </w:tc>
        <w:tc>
          <w:tcPr>
            <w:tcW w:w="1079" w:type="dxa"/>
            <w:tcBorders>
              <w:top w:val="single" w:color="auto" w:sz="4" w:space="0"/>
              <w:left w:val="single" w:color="auto" w:sz="4" w:space="0"/>
              <w:bottom w:val="single" w:color="auto" w:sz="4" w:space="0"/>
              <w:right w:val="single" w:color="auto" w:sz="4" w:space="0"/>
            </w:tcBorders>
            <w:vAlign w:val="center"/>
          </w:tcPr>
          <w:p w14:paraId="3ADE58EA">
            <w:pPr>
              <w:adjustRightInd w:val="0"/>
              <w:snapToGrid w:val="0"/>
              <w:spacing w:line="360" w:lineRule="auto"/>
              <w:rPr>
                <w:rFonts w:ascii="宋体" w:hAnsi="宋体" w:eastAsia="宋体" w:cs="宋体"/>
                <w:b/>
                <w:color w:val="000000"/>
                <w:sz w:val="24"/>
                <w:highlight w:val="none"/>
              </w:rPr>
            </w:pPr>
          </w:p>
        </w:tc>
        <w:tc>
          <w:tcPr>
            <w:tcW w:w="1439" w:type="dxa"/>
            <w:tcBorders>
              <w:top w:val="single" w:color="auto" w:sz="4" w:space="0"/>
              <w:left w:val="single" w:color="auto" w:sz="4" w:space="0"/>
              <w:bottom w:val="single" w:color="auto" w:sz="4" w:space="0"/>
              <w:right w:val="single" w:color="auto" w:sz="4" w:space="0"/>
            </w:tcBorders>
            <w:vAlign w:val="center"/>
          </w:tcPr>
          <w:p w14:paraId="5E705883">
            <w:pPr>
              <w:adjustRightInd w:val="0"/>
              <w:snapToGrid w:val="0"/>
              <w:spacing w:line="360" w:lineRule="auto"/>
              <w:rPr>
                <w:rFonts w:ascii="宋体" w:hAnsi="宋体" w:eastAsia="宋体" w:cs="宋体"/>
                <w:b/>
                <w:color w:val="000000"/>
                <w:sz w:val="24"/>
                <w:highlight w:val="none"/>
              </w:rPr>
            </w:pPr>
          </w:p>
        </w:tc>
        <w:tc>
          <w:tcPr>
            <w:tcW w:w="900" w:type="dxa"/>
            <w:tcBorders>
              <w:top w:val="single" w:color="auto" w:sz="4" w:space="0"/>
              <w:left w:val="single" w:color="auto" w:sz="4" w:space="0"/>
              <w:right w:val="single" w:color="auto" w:sz="4" w:space="0"/>
            </w:tcBorders>
            <w:vAlign w:val="center"/>
          </w:tcPr>
          <w:p w14:paraId="7004DBC0">
            <w:pPr>
              <w:widowControl/>
              <w:adjustRightInd w:val="0"/>
              <w:snapToGrid w:val="0"/>
              <w:spacing w:line="360" w:lineRule="auto"/>
              <w:jc w:val="center"/>
              <w:rPr>
                <w:rFonts w:ascii="宋体" w:hAnsi="宋体" w:eastAsia="宋体" w:cs="宋体"/>
                <w:color w:val="000000"/>
                <w:kern w:val="0"/>
                <w:sz w:val="24"/>
                <w:highlight w:val="none"/>
              </w:rPr>
            </w:pPr>
          </w:p>
        </w:tc>
        <w:tc>
          <w:tcPr>
            <w:tcW w:w="900" w:type="dxa"/>
            <w:tcBorders>
              <w:top w:val="single" w:color="auto" w:sz="4" w:space="0"/>
              <w:left w:val="single" w:color="auto" w:sz="4" w:space="0"/>
              <w:right w:val="single" w:color="auto" w:sz="4" w:space="0"/>
            </w:tcBorders>
            <w:vAlign w:val="center"/>
          </w:tcPr>
          <w:p w14:paraId="2D82D3CE">
            <w:pPr>
              <w:widowControl/>
              <w:adjustRightInd w:val="0"/>
              <w:snapToGrid w:val="0"/>
              <w:spacing w:line="360" w:lineRule="auto"/>
              <w:jc w:val="center"/>
              <w:rPr>
                <w:rFonts w:ascii="宋体" w:hAnsi="宋体" w:eastAsia="宋体" w:cs="宋体"/>
                <w:color w:val="000000"/>
                <w:kern w:val="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7219DAD5">
            <w:pPr>
              <w:adjustRightInd w:val="0"/>
              <w:snapToGrid w:val="0"/>
              <w:spacing w:line="360" w:lineRule="auto"/>
              <w:jc w:val="center"/>
              <w:rPr>
                <w:rFonts w:ascii="宋体" w:hAnsi="宋体" w:eastAsia="宋体" w:cs="宋体"/>
                <w:b/>
                <w:color w:val="000000"/>
                <w:sz w:val="24"/>
                <w:highlight w:val="none"/>
              </w:rPr>
            </w:pPr>
          </w:p>
        </w:tc>
        <w:tc>
          <w:tcPr>
            <w:tcW w:w="720" w:type="dxa"/>
            <w:tcBorders>
              <w:top w:val="single" w:color="auto" w:sz="4" w:space="0"/>
              <w:left w:val="single" w:color="auto" w:sz="4" w:space="0"/>
              <w:bottom w:val="single" w:color="auto" w:sz="4" w:space="0"/>
              <w:right w:val="single" w:color="auto" w:sz="4" w:space="0"/>
            </w:tcBorders>
            <w:vAlign w:val="center"/>
          </w:tcPr>
          <w:p w14:paraId="0A176F18">
            <w:pPr>
              <w:adjustRightInd w:val="0"/>
              <w:snapToGrid w:val="0"/>
              <w:spacing w:line="360" w:lineRule="auto"/>
              <w:jc w:val="center"/>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53F9434">
            <w:pPr>
              <w:adjustRightInd w:val="0"/>
              <w:snapToGrid w:val="0"/>
              <w:spacing w:line="360" w:lineRule="auto"/>
              <w:rPr>
                <w:rFonts w:ascii="宋体" w:hAnsi="宋体" w:eastAsia="宋体" w:cs="宋体"/>
                <w:b/>
                <w:color w:val="000000"/>
                <w:sz w:val="24"/>
                <w:highlight w:val="none"/>
              </w:rPr>
            </w:pPr>
          </w:p>
        </w:tc>
        <w:tc>
          <w:tcPr>
            <w:tcW w:w="1080" w:type="dxa"/>
            <w:tcBorders>
              <w:top w:val="single" w:color="auto" w:sz="4" w:space="0"/>
              <w:left w:val="single" w:color="auto" w:sz="4" w:space="0"/>
              <w:bottom w:val="single" w:color="auto" w:sz="4" w:space="0"/>
              <w:right w:val="single" w:color="auto" w:sz="4" w:space="0"/>
            </w:tcBorders>
            <w:vAlign w:val="center"/>
          </w:tcPr>
          <w:p w14:paraId="498F92F3">
            <w:pPr>
              <w:widowControl/>
              <w:adjustRightInd w:val="0"/>
              <w:snapToGrid w:val="0"/>
              <w:spacing w:line="360" w:lineRule="auto"/>
              <w:rPr>
                <w:rFonts w:ascii="宋体" w:hAnsi="宋体" w:eastAsia="宋体" w:cs="宋体"/>
                <w:b/>
                <w:color w:val="000000"/>
                <w:kern w:val="0"/>
                <w:sz w:val="24"/>
                <w:highlight w:val="none"/>
              </w:rPr>
            </w:pPr>
          </w:p>
        </w:tc>
        <w:tc>
          <w:tcPr>
            <w:tcW w:w="723" w:type="dxa"/>
            <w:tcBorders>
              <w:top w:val="single" w:color="auto" w:sz="4" w:space="0"/>
              <w:left w:val="single" w:color="auto" w:sz="4" w:space="0"/>
              <w:bottom w:val="single" w:color="auto" w:sz="4" w:space="0"/>
              <w:right w:val="single" w:color="auto" w:sz="4" w:space="0"/>
            </w:tcBorders>
            <w:vAlign w:val="center"/>
          </w:tcPr>
          <w:p w14:paraId="203B0DD5">
            <w:pPr>
              <w:widowControl/>
              <w:adjustRightInd w:val="0"/>
              <w:snapToGrid w:val="0"/>
              <w:spacing w:line="360" w:lineRule="auto"/>
              <w:rPr>
                <w:rFonts w:ascii="宋体" w:hAnsi="宋体" w:eastAsia="宋体" w:cs="宋体"/>
                <w:b/>
                <w:color w:val="000000"/>
                <w:kern w:val="0"/>
                <w:sz w:val="24"/>
                <w:highlight w:val="none"/>
              </w:rPr>
            </w:pPr>
          </w:p>
        </w:tc>
      </w:tr>
      <w:tr w14:paraId="450CAFA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68443076">
            <w:pPr>
              <w:widowControl/>
              <w:adjustRightInd w:val="0"/>
              <w:snapToGrid w:val="0"/>
              <w:spacing w:line="360" w:lineRule="auto"/>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492793F9">
            <w:pPr>
              <w:widowControl/>
              <w:adjustRightInd w:val="0"/>
              <w:snapToGrid w:val="0"/>
              <w:spacing w:line="360" w:lineRule="auto"/>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合计金额（小写）：</w:t>
            </w:r>
          </w:p>
        </w:tc>
      </w:tr>
    </w:tbl>
    <w:p w14:paraId="0A1798E8">
      <w:pPr>
        <w:widowControl/>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二、质量标准：</w:t>
      </w:r>
    </w:p>
    <w:p w14:paraId="63A2F718">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1.乙方提供的物资（设备）必须符合中华人民共和国国家安全环保标准、国家有关产品质量认证标准。没有国家标准的，采用该产品有关行业标准（取较高标准）。</w:t>
      </w:r>
    </w:p>
    <w:p w14:paraId="1EC07DE7">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2.甲方对乙方所供物资（设备）有具体技术指标及系统功能要求的，该技术指标及系统功能经甲乙双方书面确认，作为质量验收标准。</w:t>
      </w:r>
    </w:p>
    <w:p w14:paraId="2FFE7322">
      <w:pPr>
        <w:widowControl/>
        <w:adjustRightInd w:val="0"/>
        <w:snapToGrid w:val="0"/>
        <w:spacing w:line="360" w:lineRule="auto"/>
        <w:ind w:firstLine="480" w:firstLineChars="200"/>
        <w:jc w:val="left"/>
        <w:rPr>
          <w:rFonts w:ascii="宋体" w:hAnsi="宋体" w:eastAsia="宋体" w:cs="宋体"/>
          <w:color w:val="000000"/>
          <w:sz w:val="24"/>
          <w:highlight w:val="none"/>
        </w:rPr>
      </w:pPr>
      <w:r>
        <w:rPr>
          <w:rFonts w:hint="eastAsia" w:ascii="宋体" w:hAnsi="宋体" w:eastAsia="宋体" w:cs="宋体"/>
          <w:color w:val="000000"/>
          <w:sz w:val="24"/>
          <w:highlight w:val="none"/>
        </w:rPr>
        <w:t>3.以招投标方式采购的物资（设备），招标文件对质量有特殊要求的以双方签字确认的技术协议为准。</w:t>
      </w:r>
    </w:p>
    <w:p w14:paraId="2FF21037">
      <w:pPr>
        <w:adjustRightInd w:val="0"/>
        <w:snapToGrid w:val="0"/>
        <w:spacing w:line="360" w:lineRule="auto"/>
        <w:ind w:firstLine="482" w:firstLineChars="200"/>
        <w:outlineLvl w:val="0"/>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三、交货日期、方式及地点：</w:t>
      </w:r>
    </w:p>
    <w:p w14:paraId="6463310A">
      <w:pPr>
        <w:adjustRightInd w:val="0"/>
        <w:snapToGrid w:val="0"/>
        <w:spacing w:line="360" w:lineRule="auto"/>
        <w:ind w:firstLine="480" w:firstLineChars="200"/>
        <w:outlineLvl w:val="0"/>
        <w:rPr>
          <w:rFonts w:ascii="宋体" w:hAnsi="宋体" w:eastAsia="宋体" w:cs="宋体"/>
          <w:color w:val="000000"/>
          <w:sz w:val="24"/>
          <w:highlight w:val="none"/>
        </w:rPr>
      </w:pPr>
      <w:bookmarkStart w:id="3" w:name="_GoBack"/>
      <w:r>
        <w:rPr>
          <w:rFonts w:hint="eastAsia" w:ascii="宋体" w:hAnsi="宋体" w:eastAsia="宋体" w:cs="宋体"/>
          <w:color w:val="000000"/>
          <w:sz w:val="24"/>
          <w:highlight w:val="none"/>
        </w:rPr>
        <w:t>合同签订之日起</w:t>
      </w:r>
      <w:r>
        <w:rPr>
          <w:rFonts w:hint="eastAsia" w:ascii="宋体" w:hAnsi="宋体" w:eastAsia="宋体" w:cs="宋体"/>
          <w:color w:val="000000"/>
          <w:sz w:val="24"/>
          <w:highlight w:val="none"/>
          <w:u w:val="single"/>
        </w:rPr>
        <w:t xml:space="preserve">    </w:t>
      </w:r>
      <w:r>
        <w:rPr>
          <w:rFonts w:hint="eastAsia" w:ascii="宋体" w:hAnsi="宋体" w:eastAsia="宋体" w:cs="宋体"/>
          <w:color w:val="000000"/>
          <w:sz w:val="24"/>
          <w:highlight w:val="none"/>
        </w:rPr>
        <w:t>天到货</w:t>
      </w:r>
      <w:r>
        <w:rPr>
          <w:rFonts w:hint="eastAsia" w:ascii="宋体" w:hAnsi="宋体" w:eastAsia="宋体" w:cs="宋体"/>
          <w:color w:val="000000"/>
          <w:sz w:val="24"/>
          <w:highlight w:val="none"/>
          <w:lang w:eastAsia="zh-CN"/>
        </w:rPr>
        <w:t>、</w:t>
      </w:r>
      <w:r>
        <w:rPr>
          <w:rFonts w:hint="eastAsia" w:ascii="宋体" w:hAnsi="宋体" w:eastAsia="宋体" w:cs="宋体"/>
          <w:color w:val="000000"/>
          <w:sz w:val="24"/>
          <w:highlight w:val="none"/>
        </w:rPr>
        <w:t>安装调试</w:t>
      </w:r>
      <w:r>
        <w:rPr>
          <w:rFonts w:hint="eastAsia" w:ascii="宋体" w:hAnsi="宋体" w:eastAsia="宋体" w:cs="宋体"/>
          <w:color w:val="000000"/>
          <w:sz w:val="24"/>
          <w:highlight w:val="none"/>
          <w:lang w:val="en-US" w:eastAsia="zh-CN"/>
        </w:rPr>
        <w:t>并</w:t>
      </w:r>
      <w:r>
        <w:rPr>
          <w:rFonts w:hint="eastAsia" w:ascii="宋体" w:hAnsi="宋体" w:eastAsia="宋体" w:cs="宋体"/>
          <w:color w:val="000000"/>
          <w:sz w:val="24"/>
          <w:highlight w:val="none"/>
        </w:rPr>
        <w:t>交付使用，交货地点为西安工程大学临潼校区机电学院203室。</w:t>
      </w:r>
    </w:p>
    <w:bookmarkEnd w:id="3"/>
    <w:p w14:paraId="1E69025E">
      <w:pPr>
        <w:widowControl/>
        <w:adjustRightInd w:val="0"/>
        <w:snapToGrid w:val="0"/>
        <w:spacing w:line="360" w:lineRule="auto"/>
        <w:ind w:firstLine="482" w:firstLineChars="200"/>
        <w:jc w:val="left"/>
        <w:rPr>
          <w:rFonts w:ascii="宋体" w:hAnsi="宋体" w:eastAsia="宋体" w:cs="宋体"/>
          <w:b/>
          <w:bCs/>
          <w:color w:val="000000"/>
          <w:kern w:val="0"/>
          <w:sz w:val="24"/>
          <w:highlight w:val="none"/>
        </w:rPr>
      </w:pPr>
      <w:r>
        <w:rPr>
          <w:rFonts w:hint="eastAsia" w:ascii="宋体" w:hAnsi="宋体" w:eastAsia="宋体" w:cs="宋体"/>
          <w:b/>
          <w:color w:val="000000"/>
          <w:kern w:val="0"/>
          <w:sz w:val="24"/>
          <w:highlight w:val="none"/>
        </w:rPr>
        <w:t>四、质保及售后承诺</w:t>
      </w:r>
    </w:p>
    <w:p w14:paraId="0314B7B3">
      <w:pPr>
        <w:adjustRightInd w:val="0"/>
        <w:snapToGrid w:val="0"/>
        <w:spacing w:line="360" w:lineRule="auto"/>
        <w:ind w:firstLine="480" w:firstLineChars="200"/>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1.物资（设备）</w:t>
      </w:r>
      <w:r>
        <w:rPr>
          <w:rFonts w:hint="eastAsia" w:ascii="宋体" w:hAnsi="宋体" w:eastAsia="宋体" w:cs="宋体"/>
          <w:color w:val="000000"/>
          <w:sz w:val="24"/>
          <w:highlight w:val="none"/>
        </w:rPr>
        <w:t>自甲方出具书面验收合格文件之日</w:t>
      </w:r>
      <w:r>
        <w:rPr>
          <w:rFonts w:hint="eastAsia" w:ascii="宋体" w:hAnsi="宋体" w:eastAsia="宋体" w:cs="宋体"/>
          <w:color w:val="000000"/>
          <w:kern w:val="0"/>
          <w:sz w:val="24"/>
          <w:highlight w:val="none"/>
        </w:rPr>
        <w:t>起质保期</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年，（国家或行业规定有强制质保期的电子产品可按照国家或行业标准执行）。</w:t>
      </w:r>
    </w:p>
    <w:p w14:paraId="6F7C986A">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highlight w:val="none"/>
          <w:u w:val="single"/>
        </w:rPr>
        <w:t>10</w:t>
      </w:r>
      <w:r>
        <w:rPr>
          <w:rFonts w:hint="eastAsia" w:ascii="宋体" w:hAnsi="宋体" w:eastAsia="宋体" w:cs="宋体"/>
          <w:color w:val="000000"/>
          <w:sz w:val="24"/>
          <w:highlight w:val="none"/>
        </w:rPr>
        <w:t>%的违约金。</w:t>
      </w:r>
    </w:p>
    <w:p w14:paraId="13E4CA25">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kern w:val="0"/>
          <w:sz w:val="24"/>
          <w:highlight w:val="none"/>
        </w:rPr>
        <w:t>3.质保期内乙方对甲方提出的服务响应不得超出</w:t>
      </w: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小时，制定解决方案，</w:t>
      </w:r>
      <w:r>
        <w:rPr>
          <w:rFonts w:hint="eastAsia" w:ascii="宋体" w:hAnsi="宋体" w:eastAsia="宋体" w:cs="宋体"/>
          <w:color w:val="000000"/>
          <w:kern w:val="0"/>
          <w:sz w:val="24"/>
          <w:highlight w:val="none"/>
          <w:u w:val="single"/>
        </w:rPr>
        <w:t xml:space="preserve">             XX</w:t>
      </w:r>
      <w:r>
        <w:rPr>
          <w:rFonts w:hint="eastAsia" w:ascii="宋体" w:hAnsi="宋体" w:eastAsia="宋体" w:cs="宋体"/>
          <w:color w:val="000000"/>
          <w:kern w:val="0"/>
          <w:sz w:val="24"/>
          <w:highlight w:val="none"/>
        </w:rPr>
        <w:t>个工作日内派人到现场维修。</w:t>
      </w:r>
    </w:p>
    <w:p w14:paraId="3B538193">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4.乙方对</w:t>
      </w:r>
      <w:r>
        <w:rPr>
          <w:rFonts w:hint="eastAsia" w:ascii="宋体" w:hAnsi="宋体" w:eastAsia="宋体" w:cs="宋体"/>
          <w:color w:val="000000"/>
          <w:kern w:val="0"/>
          <w:sz w:val="24"/>
          <w:highlight w:val="none"/>
        </w:rPr>
        <w:t>物资（设备）出现的有关技术性问题或安全问题负责处理、解决，</w:t>
      </w:r>
      <w:r>
        <w:rPr>
          <w:rFonts w:hint="eastAsia" w:ascii="宋体" w:hAnsi="宋体" w:eastAsia="宋体" w:cs="宋体"/>
          <w:color w:val="000000"/>
          <w:sz w:val="24"/>
          <w:highlight w:val="none"/>
        </w:rPr>
        <w:t>承担因质量引起的事故损失。</w:t>
      </w:r>
    </w:p>
    <w:p w14:paraId="5FB5D502">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bCs/>
          <w:color w:val="000000"/>
          <w:sz w:val="24"/>
          <w:highlight w:val="none"/>
        </w:rPr>
        <w:t>5.乙方免费培训甲方用户</w:t>
      </w:r>
      <w:r>
        <w:rPr>
          <w:rFonts w:hint="eastAsia" w:ascii="宋体" w:hAnsi="宋体" w:eastAsia="宋体" w:cs="宋体"/>
          <w:bCs/>
          <w:color w:val="000000"/>
          <w:sz w:val="24"/>
          <w:highlight w:val="none"/>
          <w:u w:val="single"/>
        </w:rPr>
        <w:t xml:space="preserve">      </w:t>
      </w:r>
      <w:r>
        <w:rPr>
          <w:rFonts w:hint="eastAsia" w:ascii="宋体" w:hAnsi="宋体" w:eastAsia="宋体" w:cs="宋体"/>
          <w:bCs/>
          <w:color w:val="000000"/>
          <w:sz w:val="24"/>
          <w:highlight w:val="none"/>
        </w:rPr>
        <w:t>人熟练掌握所供物资（设备）为止。</w:t>
      </w:r>
    </w:p>
    <w:p w14:paraId="20032A8D">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hint="eastAsia" w:ascii="宋体" w:hAnsi="宋体" w:eastAsia="宋体" w:cs="宋体"/>
          <w:b/>
          <w:color w:val="000000"/>
          <w:kern w:val="0"/>
          <w:sz w:val="24"/>
          <w:highlight w:val="none"/>
        </w:rPr>
        <w:t>五、包装及运输：</w:t>
      </w:r>
    </w:p>
    <w:p w14:paraId="3E78B9B7">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乙方负责运输、搬运上下楼等一切费用并承担运保费，</w:t>
      </w:r>
      <w:r>
        <w:rPr>
          <w:rFonts w:hint="eastAsia" w:ascii="宋体" w:hAnsi="宋体" w:eastAsia="宋体" w:cs="宋体"/>
          <w:color w:val="000000"/>
          <w:sz w:val="24"/>
          <w:highlight w:val="none"/>
        </w:rPr>
        <w:t>保证所供产品为原厂包装，</w:t>
      </w:r>
      <w:r>
        <w:rPr>
          <w:rFonts w:hint="eastAsia" w:ascii="宋体" w:hAnsi="宋体" w:eastAsia="宋体" w:cs="宋体"/>
          <w:bCs/>
          <w:color w:val="000000"/>
          <w:sz w:val="24"/>
          <w:highlight w:val="none"/>
        </w:rPr>
        <w:t>开箱合格率达到100%，</w:t>
      </w:r>
      <w:r>
        <w:rPr>
          <w:rFonts w:hint="eastAsia" w:ascii="宋体" w:hAnsi="宋体" w:eastAsia="宋体" w:cs="宋体"/>
          <w:color w:val="000000"/>
          <w:kern w:val="0"/>
          <w:sz w:val="24"/>
          <w:highlight w:val="none"/>
        </w:rPr>
        <w:t>使用说明书、质量检验证明书、随配附件和工具以及清单与物资（设备）一起发送。</w:t>
      </w:r>
    </w:p>
    <w:p w14:paraId="51D56448">
      <w:pPr>
        <w:widowControl/>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ascii="宋体" w:hAnsi="宋体" w:eastAsia="宋体" w:cs="宋体"/>
          <w:b/>
          <w:color w:val="000000"/>
          <w:kern w:val="0"/>
          <w:sz w:val="24"/>
          <w:highlight w:val="none"/>
        </w:rPr>
        <w:t>六、</w:t>
      </w:r>
      <w:r>
        <w:rPr>
          <w:rFonts w:hint="eastAsia" w:ascii="宋体" w:hAnsi="宋体" w:eastAsia="宋体" w:cs="宋体"/>
          <w:b/>
          <w:color w:val="000000"/>
          <w:kern w:val="0"/>
          <w:sz w:val="24"/>
          <w:highlight w:val="none"/>
        </w:rPr>
        <w:t>安装、调试及验收：</w:t>
      </w:r>
    </w:p>
    <w:p w14:paraId="6A25FF1B">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1.乙方负责安装调试，甲方提供必要的工作条件。</w:t>
      </w:r>
    </w:p>
    <w:p w14:paraId="225A3B91">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412449C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0A0E836B">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4.如果所供物资（设备）以投标时双方封存样品为准的，可做破坏性检验，以确定乙方货物是否合格。</w:t>
      </w:r>
    </w:p>
    <w:p w14:paraId="0909BD66">
      <w:pPr>
        <w:widowControl/>
        <w:adjustRightInd w:val="0"/>
        <w:snapToGrid w:val="0"/>
        <w:spacing w:line="360" w:lineRule="auto"/>
        <w:ind w:firstLine="482" w:firstLineChars="200"/>
        <w:jc w:val="left"/>
        <w:rPr>
          <w:rFonts w:ascii="宋体" w:hAnsi="宋体" w:eastAsia="宋体" w:cs="宋体"/>
          <w:b/>
          <w:color w:val="000000"/>
          <w:kern w:val="0"/>
          <w:sz w:val="24"/>
          <w:highlight w:val="none"/>
        </w:rPr>
      </w:pPr>
      <w:r>
        <w:rPr>
          <w:rFonts w:ascii="宋体" w:hAnsi="宋体" w:eastAsia="宋体" w:cs="宋体"/>
          <w:b/>
          <w:color w:val="000000"/>
          <w:kern w:val="0"/>
          <w:sz w:val="24"/>
          <w:highlight w:val="none"/>
        </w:rPr>
        <w:t>七、</w:t>
      </w:r>
      <w:r>
        <w:rPr>
          <w:rFonts w:hint="eastAsia" w:ascii="宋体" w:hAnsi="宋体" w:eastAsia="宋体" w:cs="宋体"/>
          <w:b/>
          <w:color w:val="000000"/>
          <w:kern w:val="0"/>
          <w:sz w:val="24"/>
          <w:highlight w:val="none"/>
        </w:rPr>
        <w:t>付款方式及期限：</w:t>
      </w:r>
    </w:p>
    <w:p w14:paraId="77A9D419">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1.履约保证金：</w:t>
      </w:r>
    </w:p>
    <w:p w14:paraId="607D14B0">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（1）乙方成交后凭中标通知书向甲方缴纳合同金额的5%作为履约保证金；</w:t>
      </w:r>
    </w:p>
    <w:p w14:paraId="104BC9D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（2）履约保证金应使用人民币，可选择使用银行转账、支票、汇票、本票或者金融机构、担保机构出具的保函等非现金形式缴纳或提交；</w:t>
      </w:r>
    </w:p>
    <w:p w14:paraId="7A68C474">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（3）甲方验收合格后，乙方提出书面申请，甲方将履约保证金（无息）退还乙方。</w:t>
      </w:r>
    </w:p>
    <w:p w14:paraId="6B3EEF0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2.付款方式：</w:t>
      </w:r>
    </w:p>
    <w:p w14:paraId="0E1CBC86">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合同签订前，乙方须在甲方指定的银行开立一般结算账户。合同签订后，甲方通过银行电汇付给乙方全额货款。</w:t>
      </w:r>
    </w:p>
    <w:p w14:paraId="047F10D5">
      <w:pPr>
        <w:widowControl/>
        <w:adjustRightInd w:val="0"/>
        <w:snapToGrid w:val="0"/>
        <w:spacing w:line="360" w:lineRule="auto"/>
        <w:ind w:firstLine="480" w:firstLineChars="200"/>
        <w:jc w:val="left"/>
        <w:rPr>
          <w:rFonts w:ascii="宋体" w:hAnsi="宋体" w:eastAsia="宋体" w:cs="宋体"/>
          <w:color w:val="000000"/>
          <w:kern w:val="0"/>
          <w:sz w:val="24"/>
          <w:highlight w:val="none"/>
        </w:rPr>
      </w:pPr>
      <w:r>
        <w:rPr>
          <w:rFonts w:hint="eastAsia" w:ascii="宋体" w:hAnsi="宋体" w:eastAsia="宋体" w:cs="宋体"/>
          <w:color w:val="000000"/>
          <w:kern w:val="0"/>
          <w:sz w:val="24"/>
          <w:highlight w:val="none"/>
        </w:rPr>
        <w:t>最终结算时，乙方须向甲方出具合同总价款的增值税专用发票，若因乙方未开具或逾期开具合法有效的发票，甲方有权顺延付款期限且不承担逾期付款责任。</w:t>
      </w:r>
    </w:p>
    <w:p w14:paraId="3871DAC8">
      <w:pPr>
        <w:adjustRightInd w:val="0"/>
        <w:snapToGrid w:val="0"/>
        <w:spacing w:line="360" w:lineRule="auto"/>
        <w:ind w:firstLine="482" w:firstLineChars="200"/>
        <w:rPr>
          <w:rFonts w:ascii="宋体" w:hAnsi="宋体" w:eastAsia="宋体" w:cs="宋体"/>
          <w:b/>
          <w:kern w:val="0"/>
          <w:sz w:val="24"/>
          <w:highlight w:val="none"/>
        </w:rPr>
      </w:pPr>
      <w:r>
        <w:rPr>
          <w:rFonts w:hint="eastAsia" w:ascii="宋体" w:hAnsi="宋体" w:eastAsia="宋体" w:cs="宋体"/>
          <w:b/>
          <w:kern w:val="0"/>
          <w:sz w:val="24"/>
          <w:highlight w:val="none"/>
        </w:rPr>
        <w:t>八、知识产权</w:t>
      </w:r>
    </w:p>
    <w:p w14:paraId="72F2225D">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1.合同中软件产品的所有版权都归乙方所有，受《中华人民共和国计算机软件保护条例》等知识产权法律及国际条约与惯例的保护。甲方通过本合同获得本软件的使用权。</w:t>
      </w:r>
    </w:p>
    <w:p w14:paraId="1047505D">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2.除本合同的约定以外，乙方未向甲方授予许可软件著作权、专利权、商标专用权、商业秘密及其他权利有关的任何权利。</w:t>
      </w:r>
    </w:p>
    <w:p w14:paraId="0F098D14">
      <w:pPr>
        <w:adjustRightInd w:val="0"/>
        <w:snapToGrid w:val="0"/>
        <w:spacing w:line="360" w:lineRule="auto"/>
        <w:ind w:firstLine="480" w:firstLineChars="200"/>
        <w:rPr>
          <w:rFonts w:ascii="宋体" w:hAnsi="宋体" w:eastAsia="宋体" w:cs="宋体"/>
          <w:sz w:val="24"/>
          <w:highlight w:val="none"/>
        </w:rPr>
      </w:pPr>
      <w:r>
        <w:rPr>
          <w:rFonts w:hint="eastAsia" w:ascii="宋体" w:hAnsi="宋体" w:eastAsia="宋体" w:cs="宋体"/>
          <w:sz w:val="24"/>
          <w:highlight w:val="none"/>
        </w:rPr>
        <w:t>3.如果乙方提供给甲方的产品侵犯第三方知识产权，责任完全由乙方承担并赔偿由此给甲方造成的全部损失。</w:t>
      </w:r>
    </w:p>
    <w:p w14:paraId="00A1DE00">
      <w:pPr>
        <w:widowControl/>
        <w:adjustRightInd w:val="0"/>
        <w:snapToGrid w:val="0"/>
        <w:spacing w:line="360" w:lineRule="auto"/>
        <w:ind w:firstLine="482" w:firstLineChars="200"/>
        <w:jc w:val="left"/>
        <w:rPr>
          <w:rFonts w:ascii="宋体" w:hAnsi="宋体" w:eastAsia="宋体" w:cs="宋体"/>
          <w:b/>
          <w:kern w:val="0"/>
          <w:sz w:val="24"/>
          <w:highlight w:val="none"/>
        </w:rPr>
      </w:pPr>
      <w:r>
        <w:rPr>
          <w:rFonts w:ascii="宋体" w:hAnsi="宋体" w:eastAsia="宋体" w:cs="宋体"/>
          <w:b/>
          <w:kern w:val="0"/>
          <w:sz w:val="24"/>
          <w:highlight w:val="none"/>
        </w:rPr>
        <w:t>九、</w:t>
      </w:r>
      <w:r>
        <w:rPr>
          <w:rFonts w:hint="eastAsia" w:ascii="宋体" w:hAnsi="宋体" w:eastAsia="宋体" w:cs="宋体"/>
          <w:b/>
          <w:kern w:val="0"/>
          <w:sz w:val="24"/>
          <w:highlight w:val="none"/>
        </w:rPr>
        <w:t>违约责任：</w:t>
      </w:r>
    </w:p>
    <w:p w14:paraId="309E0E5D">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1.合同生效后，甲乙双方应按合同规定认真履约。合同履约责任只涉及合同甲乙双方，不考虑第三方因素。</w:t>
      </w:r>
    </w:p>
    <w:p w14:paraId="19F5D8AF">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61206E58">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3.甲方无正当理由拒收物资（设备），应向乙方支付合同总价款30%的违约金。</w:t>
      </w:r>
    </w:p>
    <w:p w14:paraId="3735CF53">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4.乙方所交的物资（设备）品种、规格型号、品牌、生产厂商、数量和质量不符合合同约定，所供物资（设备）达不到双方确认的技术标准的，乙方必须无条件退回全部货款，并向甲方支付合同总价款30%的赔偿金。</w:t>
      </w:r>
    </w:p>
    <w:p w14:paraId="5D2F43D3">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34214917">
      <w:pPr>
        <w:widowControl/>
        <w:adjustRightInd w:val="0"/>
        <w:snapToGrid w:val="0"/>
        <w:spacing w:line="360" w:lineRule="auto"/>
        <w:ind w:firstLine="480" w:firstLineChars="200"/>
        <w:jc w:val="left"/>
        <w:rPr>
          <w:rFonts w:ascii="宋体" w:hAnsi="宋体" w:eastAsia="宋体" w:cs="宋体"/>
          <w:kern w:val="0"/>
          <w:sz w:val="24"/>
          <w:highlight w:val="none"/>
        </w:rPr>
      </w:pPr>
      <w:r>
        <w:rPr>
          <w:rFonts w:hint="eastAsia" w:ascii="宋体" w:hAnsi="宋体" w:eastAsia="宋体" w:cs="宋体"/>
          <w:kern w:val="0"/>
          <w:sz w:val="24"/>
          <w:highlight w:val="none"/>
        </w:rPr>
        <w:t>6.在合同款项付清后、质保期内，乙方未履行质量保证条款约定的义务，乙方对甲方承担本合同总价10%的违约金。</w:t>
      </w:r>
    </w:p>
    <w:p w14:paraId="757E821B">
      <w:pPr>
        <w:widowControl/>
        <w:adjustRightInd w:val="0"/>
        <w:snapToGrid w:val="0"/>
        <w:spacing w:line="360" w:lineRule="auto"/>
        <w:ind w:firstLine="482" w:firstLineChars="200"/>
        <w:jc w:val="left"/>
        <w:rPr>
          <w:rFonts w:ascii="宋体" w:hAnsi="宋体" w:eastAsia="宋体" w:cs="宋体"/>
          <w:b/>
          <w:kern w:val="0"/>
          <w:sz w:val="24"/>
          <w:highlight w:val="none"/>
        </w:rPr>
      </w:pPr>
      <w:r>
        <w:rPr>
          <w:rFonts w:hint="eastAsia" w:ascii="宋体" w:hAnsi="宋体" w:eastAsia="宋体" w:cs="宋体"/>
          <w:b/>
          <w:kern w:val="0"/>
          <w:sz w:val="24"/>
          <w:highlight w:val="none"/>
        </w:rPr>
        <w:t>十、争议解决方式：</w:t>
      </w:r>
    </w:p>
    <w:p w14:paraId="6A3108B0">
      <w:pPr>
        <w:widowControl/>
        <w:adjustRightInd w:val="0"/>
        <w:snapToGrid w:val="0"/>
        <w:spacing w:line="360" w:lineRule="auto"/>
        <w:ind w:firstLine="480" w:firstLineChars="200"/>
        <w:rPr>
          <w:rFonts w:ascii="宋体" w:hAnsi="宋体" w:eastAsia="宋体" w:cs="宋体"/>
          <w:kern w:val="0"/>
          <w:sz w:val="24"/>
          <w:highlight w:val="none"/>
        </w:rPr>
      </w:pPr>
      <w:r>
        <w:rPr>
          <w:rFonts w:hint="eastAsia" w:ascii="宋体" w:hAnsi="宋体" w:eastAsia="宋体" w:cs="宋体"/>
          <w:kern w:val="0"/>
          <w:sz w:val="24"/>
          <w:highlight w:val="none"/>
        </w:rPr>
        <w:t>本合同在履行过程中，如发生争议，双方友好协商解决，如协商不成，双方同意在甲方所在地法院起诉解决。</w:t>
      </w:r>
    </w:p>
    <w:p w14:paraId="2D11B88D">
      <w:pPr>
        <w:widowControl/>
        <w:adjustRightInd w:val="0"/>
        <w:snapToGrid w:val="0"/>
        <w:spacing w:line="360" w:lineRule="auto"/>
        <w:ind w:firstLine="482" w:firstLineChars="200"/>
        <w:jc w:val="left"/>
        <w:rPr>
          <w:rFonts w:ascii="宋体" w:hAnsi="宋体" w:eastAsia="宋体" w:cs="宋体"/>
          <w:b/>
          <w:kern w:val="0"/>
          <w:sz w:val="24"/>
          <w:highlight w:val="none"/>
        </w:rPr>
      </w:pPr>
      <w:r>
        <w:rPr>
          <w:rFonts w:hint="eastAsia" w:ascii="宋体" w:hAnsi="宋体" w:eastAsia="宋体" w:cs="宋体"/>
          <w:b/>
          <w:kern w:val="0"/>
          <w:sz w:val="24"/>
          <w:highlight w:val="none"/>
        </w:rPr>
        <w:t>十一、其他：</w:t>
      </w:r>
    </w:p>
    <w:p w14:paraId="77C97C55">
      <w:pPr>
        <w:pStyle w:val="2"/>
        <w:snapToGrid w:val="0"/>
        <w:spacing w:line="360" w:lineRule="auto"/>
        <w:ind w:firstLine="480" w:firstLineChars="200"/>
        <w:textAlignment w:val="auto"/>
        <w:rPr>
          <w:rFonts w:ascii="宋体" w:hAnsi="宋体" w:eastAsia="宋体" w:cs="宋体"/>
          <w:b w:val="0"/>
          <w:sz w:val="24"/>
          <w:szCs w:val="24"/>
          <w:highlight w:val="none"/>
        </w:rPr>
      </w:pPr>
      <w:r>
        <w:rPr>
          <w:rFonts w:hint="eastAsia" w:ascii="宋体" w:hAnsi="宋体" w:eastAsia="宋体" w:cs="宋体"/>
          <w:b w:val="0"/>
          <w:sz w:val="24"/>
          <w:szCs w:val="24"/>
          <w:highlight w:val="none"/>
        </w:rPr>
        <w:t>1.本合同一式六份，甲方执四份，乙方执两份，双方签字</w:t>
      </w:r>
      <w:r>
        <w:rPr>
          <w:rFonts w:hint="eastAsia" w:ascii="宋体" w:hAnsi="宋体" w:eastAsia="宋体" w:cs="宋体"/>
          <w:b w:val="0"/>
          <w:color w:val="000000"/>
          <w:sz w:val="24"/>
          <w:szCs w:val="24"/>
          <w:highlight w:val="none"/>
        </w:rPr>
        <w:t>并</w:t>
      </w:r>
      <w:r>
        <w:rPr>
          <w:rFonts w:hint="eastAsia" w:ascii="宋体" w:hAnsi="宋体" w:eastAsia="宋体" w:cs="宋体"/>
          <w:b w:val="0"/>
          <w:sz w:val="24"/>
          <w:szCs w:val="24"/>
          <w:highlight w:val="none"/>
        </w:rPr>
        <w:t>盖章后生效，具有同等法律效力。合同未尽事宜</w:t>
      </w:r>
      <w:r>
        <w:rPr>
          <w:rFonts w:hint="eastAsia" w:ascii="宋体" w:hAnsi="宋体" w:eastAsia="宋体" w:cs="宋体"/>
          <w:b w:val="0"/>
          <w:kern w:val="2"/>
          <w:sz w:val="24"/>
          <w:szCs w:val="24"/>
          <w:highlight w:val="none"/>
        </w:rPr>
        <w:t>双方</w:t>
      </w:r>
      <w:r>
        <w:rPr>
          <w:rFonts w:hint="eastAsia" w:ascii="宋体" w:hAnsi="宋体" w:eastAsia="宋体" w:cs="宋体"/>
          <w:b w:val="0"/>
          <w:sz w:val="24"/>
          <w:szCs w:val="24"/>
          <w:highlight w:val="none"/>
        </w:rPr>
        <w:t>可协商解决或另立补充协议。</w:t>
      </w:r>
    </w:p>
    <w:p w14:paraId="6097FD42">
      <w:pPr>
        <w:pStyle w:val="2"/>
        <w:snapToGrid w:val="0"/>
        <w:spacing w:line="360" w:lineRule="auto"/>
        <w:ind w:firstLine="480" w:firstLineChars="200"/>
        <w:textAlignment w:val="auto"/>
        <w:rPr>
          <w:rFonts w:ascii="宋体" w:hAnsi="宋体" w:eastAsia="宋体" w:cs="宋体"/>
          <w:b w:val="0"/>
          <w:sz w:val="24"/>
          <w:szCs w:val="24"/>
          <w:highlight w:val="none"/>
        </w:rPr>
      </w:pPr>
      <w:r>
        <w:rPr>
          <w:rFonts w:hint="eastAsia" w:ascii="宋体" w:hAnsi="宋体" w:eastAsia="宋体" w:cs="宋体"/>
          <w:b w:val="0"/>
          <w:sz w:val="24"/>
          <w:szCs w:val="24"/>
          <w:highlight w:val="none"/>
        </w:rPr>
        <w:t>2.在合同实施过程如双方出现争议，物资（设备）清单、技术参数、系统功能要求、甲方招标文件、乙方投标文件等均作为解决争议的参考文件，与本合同具有同等法律效力。</w:t>
      </w:r>
    </w:p>
    <w:p w14:paraId="6E5FE63E">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3.本合同项下任何一方向对方发出的通知、信件、数据电文等，应当发送至本合同下列约定的地址、联系人和通信终端。</w:t>
      </w:r>
    </w:p>
    <w:p w14:paraId="1219C34A">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甲方联系人：</w:t>
      </w:r>
      <w:r>
        <w:rPr>
          <w:rFonts w:hint="eastAsia" w:ascii="宋体" w:hAnsi="宋体" w:eastAsia="宋体" w:cs="宋体"/>
          <w:b w:val="0"/>
          <w:color w:val="000000"/>
          <w:kern w:val="2"/>
          <w:sz w:val="24"/>
          <w:szCs w:val="24"/>
          <w:highlight w:val="none"/>
          <w:u w:val="single"/>
        </w:rPr>
        <w:t xml:space="preserve">             </w:t>
      </w:r>
    </w:p>
    <w:p w14:paraId="52F69B28">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联系电话：</w:t>
      </w:r>
      <w:r>
        <w:rPr>
          <w:rFonts w:hint="eastAsia" w:ascii="宋体" w:hAnsi="宋体" w:eastAsia="宋体" w:cs="宋体"/>
          <w:b w:val="0"/>
          <w:color w:val="000000"/>
          <w:kern w:val="2"/>
          <w:sz w:val="24"/>
          <w:szCs w:val="24"/>
          <w:highlight w:val="none"/>
          <w:u w:val="single"/>
        </w:rPr>
        <w:t xml:space="preserve">               </w:t>
      </w:r>
      <w:r>
        <w:rPr>
          <w:rFonts w:hint="eastAsia" w:ascii="宋体" w:hAnsi="宋体" w:eastAsia="宋体" w:cs="宋体"/>
          <w:b w:val="0"/>
          <w:color w:val="000000"/>
          <w:kern w:val="2"/>
          <w:sz w:val="24"/>
          <w:szCs w:val="24"/>
          <w:highlight w:val="none"/>
        </w:rPr>
        <w:t xml:space="preserve"> </w:t>
      </w:r>
    </w:p>
    <w:p w14:paraId="311628E0">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联系地址：</w:t>
      </w:r>
      <w:r>
        <w:rPr>
          <w:rFonts w:hint="eastAsia" w:ascii="宋体" w:hAnsi="宋体" w:eastAsia="宋体" w:cs="宋体"/>
          <w:b w:val="0"/>
          <w:color w:val="000000"/>
          <w:kern w:val="2"/>
          <w:sz w:val="24"/>
          <w:szCs w:val="24"/>
          <w:highlight w:val="none"/>
          <w:u w:val="single"/>
        </w:rPr>
        <w:t>陕西省西安市碑林区金花南路19号</w:t>
      </w:r>
      <w:r>
        <w:rPr>
          <w:rFonts w:hint="eastAsia" w:ascii="宋体" w:hAnsi="宋体" w:eastAsia="宋体" w:cs="宋体"/>
          <w:b w:val="0"/>
          <w:color w:val="000000"/>
          <w:kern w:val="2"/>
          <w:sz w:val="24"/>
          <w:szCs w:val="24"/>
          <w:highlight w:val="none"/>
        </w:rPr>
        <w:t xml:space="preserve">   邮编：</w:t>
      </w:r>
      <w:r>
        <w:rPr>
          <w:rFonts w:hint="eastAsia" w:ascii="宋体" w:hAnsi="宋体" w:eastAsia="宋体" w:cs="宋体"/>
          <w:b w:val="0"/>
          <w:color w:val="000000"/>
          <w:kern w:val="2"/>
          <w:sz w:val="24"/>
          <w:szCs w:val="24"/>
          <w:highlight w:val="none"/>
          <w:u w:val="single"/>
        </w:rPr>
        <w:t>710048</w:t>
      </w:r>
    </w:p>
    <w:p w14:paraId="4D58F744">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u w:val="single"/>
        </w:rPr>
      </w:pPr>
      <w:r>
        <w:rPr>
          <w:rFonts w:hint="eastAsia" w:ascii="宋体" w:hAnsi="宋体" w:eastAsia="宋体" w:cs="宋体"/>
          <w:b w:val="0"/>
          <w:color w:val="000000"/>
          <w:kern w:val="2"/>
          <w:sz w:val="24"/>
          <w:szCs w:val="24"/>
          <w:highlight w:val="none"/>
        </w:rPr>
        <w:t>电子邮箱：</w:t>
      </w:r>
      <w:r>
        <w:rPr>
          <w:rFonts w:hint="eastAsia" w:ascii="宋体" w:hAnsi="宋体" w:eastAsia="宋体" w:cs="宋体"/>
          <w:b w:val="0"/>
          <w:color w:val="000000"/>
          <w:kern w:val="2"/>
          <w:sz w:val="24"/>
          <w:szCs w:val="24"/>
          <w:highlight w:val="none"/>
          <w:u w:val="single"/>
        </w:rPr>
        <w:t xml:space="preserve">               </w:t>
      </w:r>
    </w:p>
    <w:p w14:paraId="6011B1CC">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乙方联系人：</w:t>
      </w:r>
      <w:r>
        <w:rPr>
          <w:rFonts w:hint="eastAsia" w:ascii="宋体" w:hAnsi="宋体" w:eastAsia="宋体" w:cs="宋体"/>
          <w:b w:val="0"/>
          <w:color w:val="000000"/>
          <w:kern w:val="2"/>
          <w:sz w:val="24"/>
          <w:szCs w:val="24"/>
          <w:highlight w:val="none"/>
          <w:u w:val="single"/>
        </w:rPr>
        <w:t xml:space="preserve">             </w:t>
      </w:r>
    </w:p>
    <w:p w14:paraId="5551AF7F">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联系电话：</w:t>
      </w:r>
      <w:r>
        <w:rPr>
          <w:rFonts w:hint="eastAsia" w:ascii="宋体" w:hAnsi="宋体" w:eastAsia="宋体" w:cs="宋体"/>
          <w:b w:val="0"/>
          <w:color w:val="000000"/>
          <w:kern w:val="2"/>
          <w:sz w:val="24"/>
          <w:szCs w:val="24"/>
          <w:highlight w:val="none"/>
          <w:u w:val="single"/>
        </w:rPr>
        <w:t xml:space="preserve">               </w:t>
      </w:r>
      <w:r>
        <w:rPr>
          <w:rFonts w:hint="eastAsia" w:ascii="宋体" w:hAnsi="宋体" w:eastAsia="宋体" w:cs="宋体"/>
          <w:b w:val="0"/>
          <w:color w:val="000000"/>
          <w:kern w:val="2"/>
          <w:sz w:val="24"/>
          <w:szCs w:val="24"/>
          <w:highlight w:val="none"/>
        </w:rPr>
        <w:t xml:space="preserve"> </w:t>
      </w:r>
    </w:p>
    <w:p w14:paraId="22964664">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联系地址：</w:t>
      </w:r>
      <w:r>
        <w:rPr>
          <w:rFonts w:hint="eastAsia" w:ascii="宋体" w:hAnsi="宋体" w:eastAsia="宋体" w:cs="宋体"/>
          <w:b w:val="0"/>
          <w:color w:val="000000"/>
          <w:kern w:val="2"/>
          <w:sz w:val="24"/>
          <w:szCs w:val="24"/>
          <w:highlight w:val="none"/>
          <w:u w:val="single"/>
        </w:rPr>
        <w:t xml:space="preserve">               </w:t>
      </w:r>
      <w:r>
        <w:rPr>
          <w:rFonts w:hint="eastAsia" w:ascii="宋体" w:hAnsi="宋体" w:eastAsia="宋体" w:cs="宋体"/>
          <w:b w:val="0"/>
          <w:color w:val="000000"/>
          <w:kern w:val="2"/>
          <w:sz w:val="24"/>
          <w:szCs w:val="24"/>
          <w:highlight w:val="none"/>
        </w:rPr>
        <w:t xml:space="preserve">                  邮编：</w:t>
      </w:r>
      <w:r>
        <w:rPr>
          <w:rFonts w:hint="eastAsia" w:ascii="宋体" w:hAnsi="宋体" w:eastAsia="宋体" w:cs="宋体"/>
          <w:b w:val="0"/>
          <w:color w:val="000000"/>
          <w:kern w:val="2"/>
          <w:sz w:val="24"/>
          <w:szCs w:val="24"/>
          <w:highlight w:val="none"/>
          <w:u w:val="single"/>
        </w:rPr>
        <w:t xml:space="preserve">      </w:t>
      </w:r>
    </w:p>
    <w:p w14:paraId="6EE89519">
      <w:pPr>
        <w:pStyle w:val="2"/>
        <w:snapToGrid w:val="0"/>
        <w:spacing w:line="360" w:lineRule="auto"/>
        <w:ind w:firstLine="480" w:firstLineChars="200"/>
        <w:textAlignment w:val="auto"/>
        <w:rPr>
          <w:rFonts w:ascii="宋体" w:hAnsi="宋体" w:eastAsia="宋体" w:cs="宋体"/>
          <w:b w:val="0"/>
          <w:color w:val="000000"/>
          <w:kern w:val="2"/>
          <w:sz w:val="24"/>
          <w:szCs w:val="24"/>
          <w:highlight w:val="none"/>
        </w:rPr>
      </w:pPr>
      <w:r>
        <w:rPr>
          <w:rFonts w:hint="eastAsia" w:ascii="宋体" w:hAnsi="宋体" w:eastAsia="宋体" w:cs="宋体"/>
          <w:b w:val="0"/>
          <w:color w:val="000000"/>
          <w:kern w:val="2"/>
          <w:sz w:val="24"/>
          <w:szCs w:val="24"/>
          <w:highlight w:val="none"/>
        </w:rPr>
        <w:t>电子邮箱：</w:t>
      </w:r>
      <w:r>
        <w:rPr>
          <w:rFonts w:hint="eastAsia" w:ascii="宋体" w:hAnsi="宋体" w:eastAsia="宋体" w:cs="宋体"/>
          <w:b w:val="0"/>
          <w:color w:val="000000"/>
          <w:kern w:val="2"/>
          <w:sz w:val="24"/>
          <w:szCs w:val="24"/>
          <w:highlight w:val="none"/>
          <w:u w:val="single"/>
        </w:rPr>
        <w:t xml:space="preserve">               </w:t>
      </w:r>
    </w:p>
    <w:p w14:paraId="09295B25">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送达时间以下列规定为准：</w:t>
      </w:r>
    </w:p>
    <w:p w14:paraId="2F5E3EE9">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(1)专人递送之日视为送达之日；</w:t>
      </w:r>
    </w:p>
    <w:p w14:paraId="78E5EAEA">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(2)以邮寄方式进行的通知均应采用邮政挂号快件或特快专递的方式进行，自信件交邮后的第2日视为送达；</w:t>
      </w:r>
    </w:p>
    <w:p w14:paraId="66F2C84A">
      <w:pPr>
        <w:adjustRightInd w:val="0"/>
        <w:snapToGrid w:val="0"/>
        <w:spacing w:line="360" w:lineRule="auto"/>
        <w:ind w:firstLine="480" w:firstLineChars="200"/>
        <w:rPr>
          <w:rFonts w:ascii="宋体" w:hAnsi="宋体" w:eastAsia="宋体" w:cs="宋体"/>
          <w:color w:val="000000"/>
          <w:sz w:val="24"/>
          <w:highlight w:val="none"/>
        </w:rPr>
      </w:pPr>
      <w:r>
        <w:rPr>
          <w:rFonts w:hint="eastAsia" w:ascii="宋体" w:hAnsi="宋体" w:eastAsia="宋体" w:cs="宋体"/>
          <w:color w:val="000000"/>
          <w:sz w:val="24"/>
          <w:highlight w:val="none"/>
        </w:rPr>
        <w:t>(3)短信、传真、微信、电子邮件以顺利发出当天后的第一个工作日视为送达之日；</w:t>
      </w:r>
    </w:p>
    <w:p w14:paraId="03C4F485">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3197FCD4">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68FC3AB7">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FEE0E2B">
      <w:pPr>
        <w:adjustRightInd w:val="0"/>
        <w:snapToGrid w:val="0"/>
        <w:spacing w:line="360" w:lineRule="auto"/>
        <w:ind w:firstLine="480" w:firstLineChars="200"/>
        <w:rPr>
          <w:rFonts w:ascii="宋体" w:hAnsi="宋体" w:eastAsia="宋体" w:cs="宋体"/>
          <w:sz w:val="24"/>
        </w:rPr>
      </w:pPr>
    </w:p>
    <w:p w14:paraId="0A91E60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67155890">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47889ADF">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6781A8D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0B42A623">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27FF9CC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20C31327">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4A23F69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4B5C7C2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地址：陕西省西安市碑林区金花南路19号</w:t>
      </w:r>
    </w:p>
    <w:p w14:paraId="1E47D807">
      <w:pPr>
        <w:jc w:val="center"/>
        <w:rPr>
          <w:b/>
          <w:bCs/>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1C6821"/>
    <w:rsid w:val="00224203"/>
    <w:rsid w:val="00567AE9"/>
    <w:rsid w:val="00647932"/>
    <w:rsid w:val="006D599A"/>
    <w:rsid w:val="00774AD9"/>
    <w:rsid w:val="0082203B"/>
    <w:rsid w:val="008F1CB2"/>
    <w:rsid w:val="00C35AD8"/>
    <w:rsid w:val="00E54F72"/>
    <w:rsid w:val="0A8C4462"/>
    <w:rsid w:val="1432613A"/>
    <w:rsid w:val="1D1A0407"/>
    <w:rsid w:val="2CDA0B6E"/>
    <w:rsid w:val="2E8E6614"/>
    <w:rsid w:val="30BB6C51"/>
    <w:rsid w:val="3CA91172"/>
    <w:rsid w:val="3E1916B2"/>
    <w:rsid w:val="3F0D08FB"/>
    <w:rsid w:val="43DD1985"/>
    <w:rsid w:val="45E676A8"/>
    <w:rsid w:val="4BB70BD9"/>
    <w:rsid w:val="4C3F5B81"/>
    <w:rsid w:val="4ECB55BA"/>
    <w:rsid w:val="54EE4C9C"/>
    <w:rsid w:val="58925CB0"/>
    <w:rsid w:val="5D0B1A92"/>
    <w:rsid w:val="5E060E26"/>
    <w:rsid w:val="618B3F3C"/>
    <w:rsid w:val="620C0ED6"/>
    <w:rsid w:val="62C22C7D"/>
    <w:rsid w:val="6371253C"/>
    <w:rsid w:val="65114DB3"/>
    <w:rsid w:val="6B1C04F6"/>
    <w:rsid w:val="6EC46A44"/>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页眉 字符"/>
    <w:basedOn w:val="6"/>
    <w:link w:val="4"/>
    <w:qFormat/>
    <w:uiPriority w:val="0"/>
    <w:rPr>
      <w:kern w:val="2"/>
      <w:sz w:val="18"/>
      <w:szCs w:val="18"/>
    </w:rPr>
  </w:style>
  <w:style w:type="character" w:customStyle="1" w:styleId="10">
    <w:name w:val="页脚 字符"/>
    <w:basedOn w:val="6"/>
    <w:link w:val="3"/>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2865</Words>
  <Characters>2982</Characters>
  <Lines>25</Lines>
  <Paragraphs>7</Paragraphs>
  <TotalTime>0</TotalTime>
  <ScaleCrop>false</ScaleCrop>
  <LinksUpToDate>false</LinksUpToDate>
  <CharactersWithSpaces>3434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开瑞</cp:lastModifiedBy>
  <dcterms:modified xsi:type="dcterms:W3CDTF">2025-08-20T11:03:58Z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6D3187FCB17A42B28EF4EE13050B2D7C_13</vt:lpwstr>
  </property>
  <property fmtid="{D5CDD505-2E9C-101B-9397-08002B2CF9AE}" pid="4" name="KSOTemplateDocerSaveRecord">
    <vt:lpwstr>eyJoZGlkIjoiNWJlY2JiMDE3MzA4NGFmMWNlMTU4MDg4OGY3M2QxZTQiLCJ1c2VySWQiOiIzODU0NDc2MTYifQ==</vt:lpwstr>
  </property>
</Properties>
</file>