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版本号：【KRDL】K4-250815620250820001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可变脉宽高能纳秒脉冲激光冲击系统（激光器）采购项目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【KRDL】K4-2508156</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开瑞项目管理有限公司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2025年08月20日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开瑞项目管理有限公司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可变脉宽高能纳秒脉冲激光冲击系统（激光器）采购项目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【KRDL】K4-2508156</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可变脉宽高能纳秒脉冲激光冲击系统（激光器）采购项目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本项目拟采购1套可变脉宽高能纳秒脉冲激光冲击系统（激光器），具体采购内容及要求详见招标文件。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采购包1（可变脉宽高能纳秒脉冲激光冲击系统（激光器）采购项目）：属于专门面向中小企业采购。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1、主体资格：投标人为向招标人提供相关货物的法人或其他组织；</w:t>
      </w:r>
    </w:p>
    <w:p>
      <w:pPr>
        <w:pStyle w:val="null3"/>
      </w:pPr>
      <w:r>
        <w:rPr>
          <w:rFonts w:ascii="仿宋_GB2312" w:hAnsi="仿宋_GB2312" w:cs="仿宋_GB2312" w:eastAsia="仿宋_GB2312"/>
        </w:rPr>
        <w:t>2、信誉要求：截止至投标文件递交截止时间之前，投标人未被“信用中国”网站列入失信被执行人、重大税收违法失信主体名单，未被“中国政府采购网”网站列入政府采购严重违法失信行为记录名单；</w:t>
      </w:r>
    </w:p>
    <w:p>
      <w:pPr>
        <w:pStyle w:val="null3"/>
      </w:pPr>
      <w:r>
        <w:rPr>
          <w:rFonts w:ascii="仿宋_GB2312" w:hAnsi="仿宋_GB2312" w:cs="仿宋_GB2312" w:eastAsia="仿宋_GB2312"/>
        </w:rPr>
        <w:t>3、投标授权代表：投标人应授权合法的人员参加本项目招标活动全过程；</w:t>
      </w:r>
    </w:p>
    <w:p>
      <w:pPr>
        <w:pStyle w:val="null3"/>
      </w:pPr>
      <w:r>
        <w:rPr>
          <w:rFonts w:ascii="仿宋_GB2312" w:hAnsi="仿宋_GB2312" w:cs="仿宋_GB2312" w:eastAsia="仿宋_GB2312"/>
        </w:rPr>
        <w:t>4、是否接受进口产品：本项目未做进口论证，不接受进口产品的投标；</w:t>
      </w:r>
    </w:p>
    <w:p>
      <w:pPr>
        <w:pStyle w:val="null3"/>
      </w:pPr>
      <w:r>
        <w:rPr>
          <w:rFonts w:ascii="仿宋_GB2312" w:hAnsi="仿宋_GB2312" w:cs="仿宋_GB2312" w:eastAsia="仿宋_GB2312"/>
        </w:rPr>
        <w:t>5、是否面向中小企业采购：本项目专门面向中小企业采购。</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开瑞项目管理有限公司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陕西省西安市莲湖区高新二路1号招商银行大厦19层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代光艳、姚瑶、刘如拉、贾亚妮、王昭、刘昆、张晨、王森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029-89581863、15229797656、17302920968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采购包1保证金金额：50,004.00元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开户名称：开瑞项目管理有限公司</w:t>
            </w:r>
          </w:p>
          <w:p>
            <w:pPr>
              <w:pStyle w:val="null3"/>
            </w:pPr>
            <w:r>
              <w:rPr>
                <w:rFonts w:ascii="仿宋_GB2312" w:hAnsi="仿宋_GB2312" w:cs="仿宋_GB2312" w:eastAsia="仿宋_GB2312"/>
              </w:rPr>
              <w:t>开户银行：招商银行股份有限公司西安分行营业部</w:t>
            </w:r>
          </w:p>
          <w:p>
            <w:pPr>
              <w:pStyle w:val="null3"/>
            </w:pPr>
            <w:r>
              <w:rPr>
                <w:rFonts w:ascii="仿宋_GB2312" w:hAnsi="仿宋_GB2312" w:cs="仿宋_GB2312" w:eastAsia="仿宋_GB2312"/>
              </w:rPr>
              <w:t>银行账号：129905724510703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说明：（1）中标人中标后凭中标通知书向招标人缴纳合同金额的5%作为履约保证金； （2）履约保证金应使用人民币，可选择使用银行转账、支票、汇票、本票或者金融机构、担保机构出具的保函等非现金形式缴纳或提交； （3）招标人验收合格后，中标人提出书面申请，招标人将履约保证金（无息）退还中标人。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代理服务费收费标准：参照国家计委颁发的《招标代理服务收费管理暂行办法》（计价格[2002]1980号）和国家发展改革委员会办公厅颁发的《关于招标代理服务收费有关问题的通知》（发改办价格[2003] 857号）的有关规定标准向采购代理机构一次付清代理服务费。备注：在对招标代理服务费或者投标保证金转账时需备注项目名称及采购包名称+招标代理服务费或投标保证金。</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开瑞项目管理有限公司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开瑞项目管理有限公司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开瑞项目管理有限公司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详见合同约定；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开瑞项目管理有限公司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开瑞项目管理有限公司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联系人：代光艳</w:t>
      </w:r>
    </w:p>
    <w:p>
      <w:pPr>
        <w:pStyle w:val="null3"/>
      </w:pPr>
      <w:r>
        <w:rPr>
          <w:rFonts w:ascii="仿宋_GB2312" w:hAnsi="仿宋_GB2312" w:cs="仿宋_GB2312" w:eastAsia="仿宋_GB2312"/>
        </w:rPr>
        <w:t>联系电话：029-89581311、17302920968</w:t>
      </w:r>
    </w:p>
    <w:p>
      <w:pPr>
        <w:pStyle w:val="null3"/>
      </w:pPr>
      <w:r>
        <w:rPr>
          <w:rFonts w:ascii="仿宋_GB2312" w:hAnsi="仿宋_GB2312" w:cs="仿宋_GB2312" w:eastAsia="仿宋_GB2312"/>
        </w:rPr>
        <w:t>地址：陕西省西安市莲湖区高新二路1号招商银行大厦19层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本项目拟采购1套可变脉宽高能纳秒脉冲激光冲击系统（激光器）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3,300,000.00</w:t>
      </w:r>
    </w:p>
    <w:p>
      <w:pPr>
        <w:pStyle w:val="null3"/>
      </w:pPr>
      <w:r>
        <w:rPr>
          <w:rFonts w:ascii="仿宋_GB2312" w:hAnsi="仿宋_GB2312" w:cs="仿宋_GB2312" w:eastAsia="仿宋_GB2312"/>
        </w:rPr>
        <w:t>采购包最高限价（元）: 3,300,000.00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可变脉宽高能纳秒脉冲激光冲击系统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标的名称：可变脉宽高能纳秒脉冲激光冲击系统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189"/>
              <w:gridCol w:w="303"/>
              <w:gridCol w:w="1740"/>
              <w:gridCol w:w="307"/>
            </w:tblGrid>
            <w:tr>
              <w:tc>
                <w:tcPr>
                  <w:tcW w:type="dxa" w:w="189"/>
                  <w:tcBorders>
                    <w:top w:val="singl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b/>
                    </w:rPr>
                    <w:t>序号</w:t>
                  </w:r>
                </w:p>
              </w:tc>
              <w:tc>
                <w:tcPr>
                  <w:tcW w:type="dxa" w:w="303"/>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b/>
                    </w:rPr>
                    <w:t>产品名称</w:t>
                  </w:r>
                </w:p>
              </w:tc>
              <w:tc>
                <w:tcPr>
                  <w:tcW w:type="dxa" w:w="1740"/>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b/>
                    </w:rPr>
                    <w:t>技术</w:t>
                  </w:r>
                  <w:r>
                    <w:rPr>
                      <w:rFonts w:ascii="仿宋_GB2312" w:hAnsi="仿宋_GB2312" w:cs="仿宋_GB2312" w:eastAsia="仿宋_GB2312"/>
                      <w:sz w:val="24"/>
                      <w:b/>
                    </w:rPr>
                    <w:t>参数及</w:t>
                  </w:r>
                  <w:r>
                    <w:rPr>
                      <w:rFonts w:ascii="仿宋_GB2312" w:hAnsi="仿宋_GB2312" w:cs="仿宋_GB2312" w:eastAsia="仿宋_GB2312"/>
                      <w:sz w:val="24"/>
                      <w:b/>
                    </w:rPr>
                    <w:t>要求</w:t>
                  </w:r>
                </w:p>
              </w:tc>
              <w:tc>
                <w:tcPr>
                  <w:tcW w:type="dxa" w:w="307"/>
                  <w:tcBorders>
                    <w:top w:val="singl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b/>
                    </w:rPr>
                    <w:t>数量</w:t>
                  </w:r>
                  <w:r>
                    <w:rPr>
                      <w:rFonts w:ascii="仿宋_GB2312" w:hAnsi="仿宋_GB2312" w:cs="仿宋_GB2312" w:eastAsia="仿宋_GB2312"/>
                      <w:sz w:val="24"/>
                      <w:b/>
                    </w:rPr>
                    <w:t>/单位</w:t>
                  </w:r>
                </w:p>
              </w:tc>
            </w:tr>
            <w:tr>
              <w:tc>
                <w:tcPr>
                  <w:tcW w:type="dxa" w:w="189"/>
                  <w:tcBorders>
                    <w:top w:val="none" w:color="000000" w:sz="4"/>
                    <w:left w:val="singl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w:t>
                  </w:r>
                </w:p>
              </w:tc>
              <w:tc>
                <w:tcPr>
                  <w:tcW w:type="dxa" w:w="303"/>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可变脉宽高能纳秒脉冲激光冲击系统（激光器）采购项目</w:t>
                  </w:r>
                </w:p>
              </w:tc>
              <w:tc>
                <w:tcPr>
                  <w:tcW w:type="dxa" w:w="1740"/>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both"/>
                  </w:pPr>
                  <w:r>
                    <w:rPr>
                      <w:rFonts w:ascii="仿宋_GB2312" w:hAnsi="仿宋_GB2312" w:cs="仿宋_GB2312" w:eastAsia="仿宋_GB2312"/>
                      <w:sz w:val="24"/>
                      <w:b/>
                    </w:rPr>
                    <w:t>1.</w:t>
                  </w:r>
                  <w:r>
                    <w:rPr>
                      <w:rFonts w:ascii="仿宋_GB2312" w:hAnsi="仿宋_GB2312" w:cs="仿宋_GB2312" w:eastAsia="仿宋_GB2312"/>
                      <w:sz w:val="24"/>
                      <w:b/>
                    </w:rPr>
                    <w:t>可变脉宽高能纳秒脉冲激光器主机</w:t>
                  </w:r>
                </w:p>
                <w:p>
                  <w:pPr>
                    <w:pStyle w:val="null3"/>
                    <w:jc w:val="both"/>
                  </w:pPr>
                  <w:r>
                    <w:rPr>
                      <w:rFonts w:ascii="仿宋_GB2312" w:hAnsi="仿宋_GB2312" w:cs="仿宋_GB2312" w:eastAsia="仿宋_GB2312"/>
                      <w:sz w:val="24"/>
                    </w:rPr>
                    <w:t>1.1</w:t>
                  </w:r>
                  <w:r>
                    <w:rPr>
                      <w:rFonts w:ascii="仿宋_GB2312" w:hAnsi="仿宋_GB2312" w:cs="仿宋_GB2312" w:eastAsia="仿宋_GB2312"/>
                      <w:sz w:val="24"/>
                    </w:rPr>
                    <w:t>输出波长：</w:t>
                  </w:r>
                  <w:r>
                    <w:rPr>
                      <w:rFonts w:ascii="仿宋_GB2312" w:hAnsi="仿宋_GB2312" w:cs="仿宋_GB2312" w:eastAsia="仿宋_GB2312"/>
                      <w:sz w:val="24"/>
                    </w:rPr>
                    <w:t>1053±0.5nm或1064±0.5nm；</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1.2</w:t>
                  </w:r>
                  <w:r>
                    <w:rPr>
                      <w:rFonts w:ascii="仿宋_GB2312" w:hAnsi="仿宋_GB2312" w:cs="仿宋_GB2312" w:eastAsia="仿宋_GB2312"/>
                      <w:sz w:val="24"/>
                    </w:rPr>
                    <w:t>输出能量：</w:t>
                  </w:r>
                  <w:r>
                    <w:rPr>
                      <w:rFonts w:ascii="仿宋_GB2312" w:hAnsi="仿宋_GB2312" w:cs="仿宋_GB2312" w:eastAsia="仿宋_GB2312"/>
                      <w:sz w:val="24"/>
                    </w:rPr>
                    <w:t>≥20J（连续可调）；</w:t>
                  </w:r>
                </w:p>
                <w:p>
                  <w:pPr>
                    <w:pStyle w:val="null3"/>
                    <w:jc w:val="both"/>
                  </w:pPr>
                  <w:r>
                    <w:rPr>
                      <w:rFonts w:ascii="仿宋_GB2312" w:hAnsi="仿宋_GB2312" w:cs="仿宋_GB2312" w:eastAsia="仿宋_GB2312"/>
                      <w:sz w:val="24"/>
                    </w:rPr>
                    <w:t>1.3</w:t>
                  </w:r>
                  <w:r>
                    <w:rPr>
                      <w:rFonts w:ascii="仿宋_GB2312" w:hAnsi="仿宋_GB2312" w:cs="仿宋_GB2312" w:eastAsia="仿宋_GB2312"/>
                      <w:sz w:val="24"/>
                    </w:rPr>
                    <w:t>输出稳定性（</w:t>
                  </w:r>
                  <w:r>
                    <w:rPr>
                      <w:rFonts w:ascii="仿宋_GB2312" w:hAnsi="仿宋_GB2312" w:cs="仿宋_GB2312" w:eastAsia="仿宋_GB2312"/>
                      <w:sz w:val="24"/>
                    </w:rPr>
                    <w:t>RMS）：≤2%；</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1.4</w:t>
                  </w:r>
                  <w:r>
                    <w:rPr>
                      <w:rFonts w:ascii="仿宋_GB2312" w:hAnsi="仿宋_GB2312" w:cs="仿宋_GB2312" w:eastAsia="仿宋_GB2312"/>
                      <w:sz w:val="24"/>
                    </w:rPr>
                    <w:t>脉冲宽度：</w:t>
                  </w:r>
                  <w:r>
                    <w:rPr>
                      <w:rFonts w:ascii="仿宋_GB2312" w:hAnsi="仿宋_GB2312" w:cs="仿宋_GB2312" w:eastAsia="仿宋_GB2312"/>
                      <w:sz w:val="24"/>
                    </w:rPr>
                    <w:t>10-50ns可调，步进5ns；</w:t>
                  </w:r>
                </w:p>
                <w:p>
                  <w:pPr>
                    <w:pStyle w:val="null3"/>
                    <w:jc w:val="both"/>
                  </w:pPr>
                  <w:r>
                    <w:rPr>
                      <w:rFonts w:ascii="仿宋_GB2312" w:hAnsi="仿宋_GB2312" w:cs="仿宋_GB2312" w:eastAsia="仿宋_GB2312"/>
                      <w:sz w:val="24"/>
                    </w:rPr>
                    <w:t>▲</w:t>
                  </w:r>
                  <w:r>
                    <w:rPr>
                      <w:rFonts w:ascii="仿宋_GB2312" w:hAnsi="仿宋_GB2312" w:cs="仿宋_GB2312" w:eastAsia="仿宋_GB2312"/>
                      <w:sz w:val="24"/>
                    </w:rPr>
                    <w:t>1.5</w:t>
                  </w:r>
                  <w:r>
                    <w:rPr>
                      <w:rFonts w:ascii="仿宋_GB2312" w:hAnsi="仿宋_GB2312" w:cs="仿宋_GB2312" w:eastAsia="仿宋_GB2312"/>
                      <w:sz w:val="24"/>
                    </w:rPr>
                    <w:t>重复频率：单发、最高工作频率</w:t>
                  </w:r>
                  <w:r>
                    <w:rPr>
                      <w:rFonts w:ascii="仿宋_GB2312" w:hAnsi="仿宋_GB2312" w:cs="仿宋_GB2312" w:eastAsia="仿宋_GB2312"/>
                      <w:sz w:val="24"/>
                    </w:rPr>
                    <w:t>5Hz（向下可调）；</w:t>
                  </w:r>
                </w:p>
                <w:p>
                  <w:pPr>
                    <w:pStyle w:val="null3"/>
                    <w:jc w:val="both"/>
                  </w:pPr>
                  <w:r>
                    <w:rPr>
                      <w:rFonts w:ascii="仿宋_GB2312" w:hAnsi="仿宋_GB2312" w:cs="仿宋_GB2312" w:eastAsia="仿宋_GB2312"/>
                      <w:sz w:val="24"/>
                    </w:rPr>
                    <w:t>1.6</w:t>
                  </w:r>
                  <w:r>
                    <w:rPr>
                      <w:rFonts w:ascii="仿宋_GB2312" w:hAnsi="仿宋_GB2312" w:cs="仿宋_GB2312" w:eastAsia="仿宋_GB2312"/>
                      <w:sz w:val="24"/>
                    </w:rPr>
                    <w:t>光斑分布：平顶分布，</w:t>
                  </w:r>
                  <w:r>
                    <w:rPr>
                      <w:rFonts w:ascii="仿宋_GB2312" w:hAnsi="仿宋_GB2312" w:cs="仿宋_GB2312" w:eastAsia="仿宋_GB2312"/>
                      <w:sz w:val="24"/>
                    </w:rPr>
                    <w:t>P to A≤1.6:1；</w:t>
                  </w:r>
                </w:p>
                <w:p>
                  <w:pPr>
                    <w:pStyle w:val="null3"/>
                    <w:jc w:val="both"/>
                  </w:pPr>
                  <w:r>
                    <w:rPr>
                      <w:rFonts w:ascii="仿宋_GB2312" w:hAnsi="仿宋_GB2312" w:cs="仿宋_GB2312" w:eastAsia="仿宋_GB2312"/>
                      <w:sz w:val="24"/>
                    </w:rPr>
                    <w:t>1.7</w:t>
                  </w:r>
                  <w:r>
                    <w:rPr>
                      <w:rFonts w:ascii="仿宋_GB2312" w:hAnsi="仿宋_GB2312" w:cs="仿宋_GB2312" w:eastAsia="仿宋_GB2312"/>
                      <w:sz w:val="24"/>
                    </w:rPr>
                    <w:t>外触发抖动</w:t>
                  </w:r>
                  <w:r>
                    <w:rPr>
                      <w:rFonts w:ascii="仿宋_GB2312" w:hAnsi="仿宋_GB2312" w:cs="仿宋_GB2312" w:eastAsia="仿宋_GB2312"/>
                      <w:sz w:val="24"/>
                    </w:rPr>
                    <w:t>Jitter值：≤2ns；</w:t>
                  </w:r>
                </w:p>
                <w:p>
                  <w:pPr>
                    <w:pStyle w:val="null3"/>
                    <w:jc w:val="both"/>
                  </w:pPr>
                  <w:r>
                    <w:rPr>
                      <w:rFonts w:ascii="仿宋_GB2312" w:hAnsi="仿宋_GB2312" w:cs="仿宋_GB2312" w:eastAsia="仿宋_GB2312"/>
                      <w:sz w:val="24"/>
                    </w:rPr>
                    <w:t>1.8</w:t>
                  </w:r>
                  <w:r>
                    <w:rPr>
                      <w:rFonts w:ascii="仿宋_GB2312" w:hAnsi="仿宋_GB2312" w:cs="仿宋_GB2312" w:eastAsia="仿宋_GB2312"/>
                      <w:sz w:val="24"/>
                    </w:rPr>
                    <w:t>指向稳定性：</w:t>
                  </w:r>
                  <w:r>
                    <w:rPr>
                      <w:rFonts w:ascii="仿宋_GB2312" w:hAnsi="仿宋_GB2312" w:cs="仿宋_GB2312" w:eastAsia="仿宋_GB2312"/>
                      <w:sz w:val="24"/>
                    </w:rPr>
                    <w:t>≤20μrad；</w:t>
                  </w:r>
                </w:p>
                <w:p>
                  <w:pPr>
                    <w:pStyle w:val="null3"/>
                    <w:jc w:val="both"/>
                  </w:pPr>
                  <w:r>
                    <w:rPr>
                      <w:rFonts w:ascii="仿宋_GB2312" w:hAnsi="仿宋_GB2312" w:cs="仿宋_GB2312" w:eastAsia="仿宋_GB2312"/>
                      <w:sz w:val="24"/>
                    </w:rPr>
                    <w:t>1.9</w:t>
                  </w:r>
                  <w:r>
                    <w:rPr>
                      <w:rFonts w:ascii="仿宋_GB2312" w:hAnsi="仿宋_GB2312" w:cs="仿宋_GB2312" w:eastAsia="仿宋_GB2312"/>
                      <w:sz w:val="24"/>
                    </w:rPr>
                    <w:t>偏振态：线偏振，</w:t>
                  </w:r>
                  <w:r>
                    <w:rPr>
                      <w:rFonts w:ascii="仿宋_GB2312" w:hAnsi="仿宋_GB2312" w:cs="仿宋_GB2312" w:eastAsia="仿宋_GB2312"/>
                      <w:sz w:val="24"/>
                    </w:rPr>
                    <w:t>≥200：1；</w:t>
                  </w:r>
                </w:p>
                <w:p>
                  <w:pPr>
                    <w:pStyle w:val="null3"/>
                    <w:jc w:val="both"/>
                  </w:pPr>
                  <w:r>
                    <w:rPr>
                      <w:rFonts w:ascii="仿宋_GB2312" w:hAnsi="仿宋_GB2312" w:cs="仿宋_GB2312" w:eastAsia="仿宋_GB2312"/>
                      <w:sz w:val="24"/>
                    </w:rPr>
                    <w:t>1.10</w:t>
                  </w:r>
                  <w:r>
                    <w:rPr>
                      <w:rFonts w:ascii="仿宋_GB2312" w:hAnsi="仿宋_GB2312" w:cs="仿宋_GB2312" w:eastAsia="仿宋_GB2312"/>
                      <w:sz w:val="24"/>
                    </w:rPr>
                    <w:t>光斑可调范围：</w:t>
                  </w:r>
                  <w:r>
                    <w:rPr>
                      <w:rFonts w:ascii="仿宋_GB2312" w:hAnsi="仿宋_GB2312" w:cs="仿宋_GB2312" w:eastAsia="仿宋_GB2312"/>
                      <w:sz w:val="24"/>
                    </w:rPr>
                    <w:t>2-8mm可调；</w:t>
                  </w:r>
                </w:p>
                <w:p>
                  <w:pPr>
                    <w:pStyle w:val="null3"/>
                    <w:jc w:val="both"/>
                  </w:pPr>
                  <w:r>
                    <w:rPr>
                      <w:rFonts w:ascii="仿宋_GB2312" w:hAnsi="仿宋_GB2312" w:cs="仿宋_GB2312" w:eastAsia="仿宋_GB2312"/>
                      <w:sz w:val="24"/>
                    </w:rPr>
                    <w:t>1.11</w:t>
                  </w:r>
                  <w:r>
                    <w:rPr>
                      <w:rFonts w:ascii="仿宋_GB2312" w:hAnsi="仿宋_GB2312" w:cs="仿宋_GB2312" w:eastAsia="仿宋_GB2312"/>
                      <w:sz w:val="24"/>
                    </w:rPr>
                    <w:t>具有能量调节、能量监测功能；</w:t>
                  </w:r>
                </w:p>
                <w:p>
                  <w:pPr>
                    <w:pStyle w:val="null3"/>
                    <w:jc w:val="both"/>
                  </w:pPr>
                  <w:r>
                    <w:rPr>
                      <w:rFonts w:ascii="仿宋_GB2312" w:hAnsi="仿宋_GB2312" w:cs="仿宋_GB2312" w:eastAsia="仿宋_GB2312"/>
                      <w:sz w:val="24"/>
                      <w:b/>
                    </w:rPr>
                    <w:t>2.</w:t>
                  </w:r>
                  <w:r>
                    <w:rPr>
                      <w:rFonts w:ascii="仿宋_GB2312" w:hAnsi="仿宋_GB2312" w:cs="仿宋_GB2312" w:eastAsia="仿宋_GB2312"/>
                      <w:sz w:val="24"/>
                      <w:b/>
                    </w:rPr>
                    <w:t>激光水冷机</w:t>
                  </w:r>
                </w:p>
                <w:p>
                  <w:pPr>
                    <w:pStyle w:val="null3"/>
                    <w:jc w:val="both"/>
                  </w:pPr>
                  <w:r>
                    <w:rPr>
                      <w:rFonts w:ascii="仿宋_GB2312" w:hAnsi="仿宋_GB2312" w:cs="仿宋_GB2312" w:eastAsia="仿宋_GB2312"/>
                      <w:sz w:val="24"/>
                    </w:rPr>
                    <w:t>制冷量</w:t>
                  </w:r>
                  <w:r>
                    <w:rPr>
                      <w:rFonts w:ascii="仿宋_GB2312" w:hAnsi="仿宋_GB2312" w:cs="仿宋_GB2312" w:eastAsia="仿宋_GB2312"/>
                      <w:sz w:val="24"/>
                    </w:rPr>
                    <w:t>≥7kW，控温精度±0.2℃，配有流量保护端口；</w:t>
                  </w:r>
                </w:p>
                <w:p>
                  <w:pPr>
                    <w:pStyle w:val="null3"/>
                    <w:jc w:val="both"/>
                  </w:pPr>
                  <w:r>
                    <w:rPr>
                      <w:rFonts w:ascii="仿宋_GB2312" w:hAnsi="仿宋_GB2312" w:cs="仿宋_GB2312" w:eastAsia="仿宋_GB2312"/>
                      <w:sz w:val="24"/>
                      <w:b/>
                    </w:rPr>
                    <w:t>3.</w:t>
                  </w:r>
                  <w:r>
                    <w:rPr>
                      <w:rFonts w:ascii="仿宋_GB2312" w:hAnsi="仿宋_GB2312" w:cs="仿宋_GB2312" w:eastAsia="仿宋_GB2312"/>
                      <w:sz w:val="24"/>
                      <w:b/>
                    </w:rPr>
                    <w:t>激光恒温机</w:t>
                  </w:r>
                </w:p>
                <w:p>
                  <w:pPr>
                    <w:pStyle w:val="null3"/>
                    <w:jc w:val="both"/>
                  </w:pPr>
                  <w:r>
                    <w:rPr>
                      <w:rFonts w:ascii="仿宋_GB2312" w:hAnsi="仿宋_GB2312" w:cs="仿宋_GB2312" w:eastAsia="仿宋_GB2312"/>
                      <w:sz w:val="24"/>
                    </w:rPr>
                    <w:t>制冷量</w:t>
                  </w:r>
                  <w:r>
                    <w:rPr>
                      <w:rFonts w:ascii="仿宋_GB2312" w:hAnsi="仿宋_GB2312" w:cs="仿宋_GB2312" w:eastAsia="仿宋_GB2312"/>
                      <w:sz w:val="24"/>
                    </w:rPr>
                    <w:t>≥1.5kW，控温精度±0.2℃，配有流量保护端口；</w:t>
                  </w:r>
                </w:p>
                <w:p>
                  <w:pPr>
                    <w:pStyle w:val="null3"/>
                    <w:jc w:val="both"/>
                  </w:pPr>
                  <w:r>
                    <w:rPr>
                      <w:rFonts w:ascii="仿宋_GB2312" w:hAnsi="仿宋_GB2312" w:cs="仿宋_GB2312" w:eastAsia="仿宋_GB2312"/>
                      <w:sz w:val="24"/>
                      <w:b/>
                    </w:rPr>
                    <w:t>4.</w:t>
                  </w:r>
                  <w:r>
                    <w:rPr>
                      <w:rFonts w:ascii="仿宋_GB2312" w:hAnsi="仿宋_GB2312" w:cs="仿宋_GB2312" w:eastAsia="仿宋_GB2312"/>
                      <w:sz w:val="24"/>
                      <w:b/>
                    </w:rPr>
                    <w:t>背面粒子速度测试系统</w:t>
                  </w:r>
                  <w:r>
                    <w:rPr>
                      <w:rFonts w:ascii="仿宋_GB2312" w:hAnsi="仿宋_GB2312" w:cs="仿宋_GB2312" w:eastAsia="仿宋_GB2312"/>
                      <w:sz w:val="24"/>
                      <w:b/>
                    </w:rPr>
                    <w:t>(含测试软件)</w:t>
                  </w:r>
                </w:p>
                <w:p>
                  <w:pPr>
                    <w:pStyle w:val="null3"/>
                    <w:jc w:val="both"/>
                  </w:pPr>
                  <w:r>
                    <w:rPr>
                      <w:rFonts w:ascii="仿宋_GB2312" w:hAnsi="仿宋_GB2312" w:cs="仿宋_GB2312" w:eastAsia="仿宋_GB2312"/>
                      <w:sz w:val="24"/>
                    </w:rPr>
                    <w:t>4.1</w:t>
                  </w:r>
                  <w:r>
                    <w:rPr>
                      <w:rFonts w:ascii="仿宋_GB2312" w:hAnsi="仿宋_GB2312" w:cs="仿宋_GB2312" w:eastAsia="仿宋_GB2312"/>
                      <w:sz w:val="24"/>
                    </w:rPr>
                    <w:t>测速范围：</w:t>
                  </w:r>
                  <w:r>
                    <w:rPr>
                      <w:rFonts w:ascii="仿宋_GB2312" w:hAnsi="仿宋_GB2312" w:cs="仿宋_GB2312" w:eastAsia="仿宋_GB2312"/>
                      <w:sz w:val="24"/>
                    </w:rPr>
                    <w:t>0.1m/s-2000m/s；</w:t>
                  </w:r>
                </w:p>
                <w:p>
                  <w:pPr>
                    <w:pStyle w:val="null3"/>
                    <w:jc w:val="both"/>
                  </w:pPr>
                  <w:r>
                    <w:rPr>
                      <w:rFonts w:ascii="仿宋_GB2312" w:hAnsi="仿宋_GB2312" w:cs="仿宋_GB2312" w:eastAsia="仿宋_GB2312"/>
                      <w:sz w:val="24"/>
                    </w:rPr>
                    <w:t>4.2</w:t>
                  </w:r>
                  <w:r>
                    <w:rPr>
                      <w:rFonts w:ascii="仿宋_GB2312" w:hAnsi="仿宋_GB2312" w:cs="仿宋_GB2312" w:eastAsia="仿宋_GB2312"/>
                      <w:sz w:val="24"/>
                    </w:rPr>
                    <w:t>响应时间：</w:t>
                  </w:r>
                  <w:r>
                    <w:rPr>
                      <w:rFonts w:ascii="仿宋_GB2312" w:hAnsi="仿宋_GB2312" w:cs="仿宋_GB2312" w:eastAsia="仿宋_GB2312"/>
                      <w:sz w:val="24"/>
                    </w:rPr>
                    <w:t>≤50ps；</w:t>
                  </w:r>
                </w:p>
                <w:p>
                  <w:pPr>
                    <w:pStyle w:val="null3"/>
                    <w:jc w:val="both"/>
                  </w:pPr>
                  <w:r>
                    <w:rPr>
                      <w:rFonts w:ascii="仿宋_GB2312" w:hAnsi="仿宋_GB2312" w:cs="仿宋_GB2312" w:eastAsia="仿宋_GB2312"/>
                      <w:sz w:val="24"/>
                    </w:rPr>
                    <w:t>4.3</w:t>
                  </w:r>
                  <w:r>
                    <w:rPr>
                      <w:rFonts w:ascii="仿宋_GB2312" w:hAnsi="仿宋_GB2312" w:cs="仿宋_GB2312" w:eastAsia="仿宋_GB2312"/>
                      <w:sz w:val="24"/>
                    </w:rPr>
                    <w:t>测量距离：</w:t>
                  </w:r>
                  <w:r>
                    <w:rPr>
                      <w:rFonts w:ascii="仿宋_GB2312" w:hAnsi="仿宋_GB2312" w:cs="仿宋_GB2312" w:eastAsia="仿宋_GB2312"/>
                      <w:sz w:val="24"/>
                    </w:rPr>
                    <w:t>0.5mm-500mm；</w:t>
                  </w:r>
                </w:p>
                <w:p>
                  <w:pPr>
                    <w:pStyle w:val="null3"/>
                    <w:jc w:val="both"/>
                  </w:pPr>
                  <w:r>
                    <w:rPr>
                      <w:rFonts w:ascii="仿宋_GB2312" w:hAnsi="仿宋_GB2312" w:cs="仿宋_GB2312" w:eastAsia="仿宋_GB2312"/>
                      <w:sz w:val="24"/>
                    </w:rPr>
                    <w:t>4.4</w:t>
                  </w:r>
                  <w:r>
                    <w:rPr>
                      <w:rFonts w:ascii="仿宋_GB2312" w:hAnsi="仿宋_GB2312" w:cs="仿宋_GB2312" w:eastAsia="仿宋_GB2312"/>
                      <w:sz w:val="24"/>
                    </w:rPr>
                    <w:t>通道数：</w:t>
                  </w:r>
                  <w:r>
                    <w:rPr>
                      <w:rFonts w:ascii="仿宋_GB2312" w:hAnsi="仿宋_GB2312" w:cs="仿宋_GB2312" w:eastAsia="仿宋_GB2312"/>
                      <w:sz w:val="24"/>
                    </w:rPr>
                    <w:t>≥2通道；</w:t>
                  </w:r>
                </w:p>
                <w:p>
                  <w:pPr>
                    <w:pStyle w:val="null3"/>
                    <w:jc w:val="both"/>
                  </w:pPr>
                  <w:r>
                    <w:rPr>
                      <w:rFonts w:ascii="仿宋_GB2312" w:hAnsi="仿宋_GB2312" w:cs="仿宋_GB2312" w:eastAsia="仿宋_GB2312"/>
                      <w:sz w:val="24"/>
                      <w:b/>
                    </w:rPr>
                    <w:t>5.</w:t>
                  </w:r>
                  <w:r>
                    <w:rPr>
                      <w:rFonts w:ascii="仿宋_GB2312" w:hAnsi="仿宋_GB2312" w:cs="仿宋_GB2312" w:eastAsia="仿宋_GB2312"/>
                      <w:sz w:val="24"/>
                      <w:b/>
                    </w:rPr>
                    <w:t>智能工件控制系统</w:t>
                  </w:r>
                  <w:r>
                    <w:rPr>
                      <w:rFonts w:ascii="仿宋_GB2312" w:hAnsi="仿宋_GB2312" w:cs="仿宋_GB2312" w:eastAsia="仿宋_GB2312"/>
                      <w:sz w:val="24"/>
                      <w:b/>
                    </w:rPr>
                    <w:t>(含控制软件)</w:t>
                  </w:r>
                </w:p>
                <w:p>
                  <w:pPr>
                    <w:pStyle w:val="null3"/>
                    <w:jc w:val="both"/>
                  </w:pPr>
                  <w:r>
                    <w:rPr>
                      <w:rFonts w:ascii="仿宋_GB2312" w:hAnsi="仿宋_GB2312" w:cs="仿宋_GB2312" w:eastAsia="仿宋_GB2312"/>
                      <w:sz w:val="24"/>
                    </w:rPr>
                    <w:t>5.1</w:t>
                  </w:r>
                  <w:r>
                    <w:rPr>
                      <w:rFonts w:ascii="仿宋_GB2312" w:hAnsi="仿宋_GB2312" w:cs="仿宋_GB2312" w:eastAsia="仿宋_GB2312"/>
                      <w:sz w:val="24"/>
                    </w:rPr>
                    <w:t>工件夹持机器人负载：</w:t>
                  </w:r>
                  <w:r>
                    <w:rPr>
                      <w:rFonts w:ascii="仿宋_GB2312" w:hAnsi="仿宋_GB2312" w:cs="仿宋_GB2312" w:eastAsia="仿宋_GB2312"/>
                      <w:sz w:val="24"/>
                    </w:rPr>
                    <w:t>≥3kg；</w:t>
                  </w:r>
                </w:p>
                <w:p>
                  <w:pPr>
                    <w:pStyle w:val="null3"/>
                    <w:jc w:val="both"/>
                  </w:pPr>
                  <w:r>
                    <w:rPr>
                      <w:rFonts w:ascii="仿宋_GB2312" w:hAnsi="仿宋_GB2312" w:cs="仿宋_GB2312" w:eastAsia="仿宋_GB2312"/>
                      <w:sz w:val="24"/>
                    </w:rPr>
                    <w:t>5.2</w:t>
                  </w:r>
                  <w:r>
                    <w:rPr>
                      <w:rFonts w:ascii="仿宋_GB2312" w:hAnsi="仿宋_GB2312" w:cs="仿宋_GB2312" w:eastAsia="仿宋_GB2312"/>
                      <w:sz w:val="24"/>
                    </w:rPr>
                    <w:t>工件夹持机器人自由度：</w:t>
                  </w:r>
                  <w:r>
                    <w:rPr>
                      <w:rFonts w:ascii="仿宋_GB2312" w:hAnsi="仿宋_GB2312" w:cs="仿宋_GB2312" w:eastAsia="仿宋_GB2312"/>
                      <w:sz w:val="24"/>
                    </w:rPr>
                    <w:t>≥6轴；</w:t>
                  </w:r>
                </w:p>
                <w:p>
                  <w:pPr>
                    <w:pStyle w:val="null3"/>
                    <w:jc w:val="both"/>
                  </w:pPr>
                  <w:r>
                    <w:rPr>
                      <w:rFonts w:ascii="仿宋_GB2312" w:hAnsi="仿宋_GB2312" w:cs="仿宋_GB2312" w:eastAsia="仿宋_GB2312"/>
                      <w:sz w:val="24"/>
                    </w:rPr>
                    <w:t>5.3</w:t>
                  </w:r>
                  <w:r>
                    <w:rPr>
                      <w:rFonts w:ascii="仿宋_GB2312" w:hAnsi="仿宋_GB2312" w:cs="仿宋_GB2312" w:eastAsia="仿宋_GB2312"/>
                      <w:sz w:val="24"/>
                    </w:rPr>
                    <w:t>工件夹持机器人重复定位精度：</w:t>
                  </w:r>
                  <w:r>
                    <w:rPr>
                      <w:rFonts w:ascii="仿宋_GB2312" w:hAnsi="仿宋_GB2312" w:cs="仿宋_GB2312" w:eastAsia="仿宋_GB2312"/>
                      <w:sz w:val="24"/>
                    </w:rPr>
                    <w:t>≤0.02mm ；</w:t>
                  </w:r>
                </w:p>
                <w:p>
                  <w:pPr>
                    <w:pStyle w:val="null3"/>
                    <w:jc w:val="both"/>
                  </w:pPr>
                  <w:r>
                    <w:rPr>
                      <w:rFonts w:ascii="仿宋_GB2312" w:hAnsi="仿宋_GB2312" w:cs="仿宋_GB2312" w:eastAsia="仿宋_GB2312"/>
                      <w:sz w:val="24"/>
                    </w:rPr>
                    <w:t>5.4</w:t>
                  </w:r>
                  <w:r>
                    <w:rPr>
                      <w:rFonts w:ascii="仿宋_GB2312" w:hAnsi="仿宋_GB2312" w:cs="仿宋_GB2312" w:eastAsia="仿宋_GB2312"/>
                      <w:sz w:val="24"/>
                    </w:rPr>
                    <w:t>具备在线编程功能，能够快速生成二维平面加工路径；</w:t>
                  </w:r>
                </w:p>
                <w:p>
                  <w:pPr>
                    <w:pStyle w:val="null3"/>
                    <w:jc w:val="both"/>
                  </w:pPr>
                  <w:r>
                    <w:rPr>
                      <w:rFonts w:ascii="仿宋_GB2312" w:hAnsi="仿宋_GB2312" w:cs="仿宋_GB2312" w:eastAsia="仿宋_GB2312"/>
                      <w:sz w:val="24"/>
                    </w:rPr>
                    <w:t>5.5</w:t>
                  </w:r>
                  <w:r>
                    <w:rPr>
                      <w:rFonts w:ascii="仿宋_GB2312" w:hAnsi="仿宋_GB2312" w:cs="仿宋_GB2312" w:eastAsia="仿宋_GB2312"/>
                      <w:sz w:val="24"/>
                    </w:rPr>
                    <w:t>具有人员登录管理权限设置及登录日志查询功能。</w:t>
                  </w:r>
                </w:p>
                <w:p>
                  <w:pPr>
                    <w:pStyle w:val="null3"/>
                    <w:jc w:val="both"/>
                  </w:pPr>
                  <w:r>
                    <w:rPr>
                      <w:rFonts w:ascii="仿宋_GB2312" w:hAnsi="仿宋_GB2312" w:cs="仿宋_GB2312" w:eastAsia="仿宋_GB2312"/>
                      <w:sz w:val="24"/>
                    </w:rPr>
                    <w:t>5.6</w:t>
                  </w:r>
                  <w:r>
                    <w:rPr>
                      <w:rFonts w:ascii="仿宋_GB2312" w:hAnsi="仿宋_GB2312" w:cs="仿宋_GB2312" w:eastAsia="仿宋_GB2312"/>
                      <w:sz w:val="24"/>
                    </w:rPr>
                    <w:t>工业超纯水处理设备：</w:t>
                  </w:r>
                </w:p>
                <w:p>
                  <w:pPr>
                    <w:pStyle w:val="null3"/>
                    <w:jc w:val="both"/>
                  </w:pPr>
                  <w:r>
                    <w:rPr>
                      <w:rFonts w:ascii="仿宋_GB2312" w:hAnsi="仿宋_GB2312" w:cs="仿宋_GB2312" w:eastAsia="仿宋_GB2312"/>
                      <w:sz w:val="24"/>
                    </w:rPr>
                    <w:t>5.7</w:t>
                  </w:r>
                  <w:r>
                    <w:rPr>
                      <w:rFonts w:ascii="仿宋_GB2312" w:hAnsi="仿宋_GB2312" w:cs="仿宋_GB2312" w:eastAsia="仿宋_GB2312"/>
                      <w:sz w:val="24"/>
                    </w:rPr>
                    <w:t>处理后超纯水电阻率</w:t>
                  </w:r>
                  <w:r>
                    <w:rPr>
                      <w:rFonts w:ascii="仿宋_GB2312" w:hAnsi="仿宋_GB2312" w:cs="仿宋_GB2312" w:eastAsia="仿宋_GB2312"/>
                      <w:sz w:val="24"/>
                    </w:rPr>
                    <w:t>≥15MΩ·cm；</w:t>
                  </w:r>
                  <w:r>
                    <w:br/>
                  </w:r>
                  <w:r>
                    <w:rPr>
                      <w:rFonts w:ascii="仿宋_GB2312" w:hAnsi="仿宋_GB2312" w:cs="仿宋_GB2312" w:eastAsia="仿宋_GB2312"/>
                      <w:sz w:val="24"/>
                    </w:rPr>
                    <w:t>6.其他要求：</w:t>
                  </w:r>
                  <w:r>
                    <w:rPr>
                      <w:rFonts w:ascii="仿宋_GB2312" w:hAnsi="仿宋_GB2312" w:cs="仿宋_GB2312" w:eastAsia="仿宋_GB2312"/>
                      <w:sz w:val="24"/>
                    </w:rPr>
                    <w:t>中标人在</w:t>
                  </w:r>
                  <w:r>
                    <w:rPr>
                      <w:rFonts w:ascii="仿宋_GB2312" w:hAnsi="仿宋_GB2312" w:cs="仿宋_GB2312" w:eastAsia="仿宋_GB2312"/>
                      <w:sz w:val="24"/>
                    </w:rPr>
                    <w:t>交货时</w:t>
                  </w:r>
                  <w:r>
                    <w:rPr>
                      <w:rFonts w:ascii="仿宋_GB2312" w:hAnsi="仿宋_GB2312" w:cs="仿宋_GB2312" w:eastAsia="仿宋_GB2312"/>
                      <w:sz w:val="24"/>
                    </w:rPr>
                    <w:t>应</w:t>
                  </w:r>
                  <w:r>
                    <w:rPr>
                      <w:rFonts w:ascii="仿宋_GB2312" w:hAnsi="仿宋_GB2312" w:cs="仿宋_GB2312" w:eastAsia="仿宋_GB2312"/>
                      <w:sz w:val="24"/>
                    </w:rPr>
                    <w:t>提供以下设备必要的备品备件：</w:t>
                  </w:r>
                </w:p>
                <w:p>
                  <w:pPr>
                    <w:pStyle w:val="null3"/>
                    <w:jc w:val="both"/>
                  </w:pPr>
                  <w:r>
                    <w:rPr>
                      <w:rFonts w:ascii="仿宋_GB2312" w:hAnsi="仿宋_GB2312" w:cs="仿宋_GB2312" w:eastAsia="仿宋_GB2312"/>
                      <w:sz w:val="24"/>
                    </w:rPr>
                    <w:t>6.1</w:t>
                  </w:r>
                  <w:r>
                    <w:rPr>
                      <w:rFonts w:ascii="仿宋_GB2312" w:hAnsi="仿宋_GB2312" w:cs="仿宋_GB2312" w:eastAsia="仿宋_GB2312"/>
                      <w:sz w:val="24"/>
                    </w:rPr>
                    <w:t>氙灯：规格</w:t>
                  </w:r>
                  <w:r>
                    <w:rPr>
                      <w:rFonts w:ascii="仿宋_GB2312" w:hAnsi="仿宋_GB2312" w:cs="仿宋_GB2312" w:eastAsia="仿宋_GB2312"/>
                      <w:sz w:val="24"/>
                    </w:rPr>
                    <w:t>7×100、7×90，各1套；</w:t>
                  </w:r>
                </w:p>
                <w:p>
                  <w:pPr>
                    <w:pStyle w:val="null3"/>
                    <w:jc w:val="both"/>
                  </w:pPr>
                  <w:r>
                    <w:rPr>
                      <w:rFonts w:ascii="仿宋_GB2312" w:hAnsi="仿宋_GB2312" w:cs="仿宋_GB2312" w:eastAsia="仿宋_GB2312"/>
                      <w:sz w:val="24"/>
                    </w:rPr>
                    <w:t>6.2</w:t>
                  </w:r>
                  <w:r>
                    <w:rPr>
                      <w:rFonts w:ascii="仿宋_GB2312" w:hAnsi="仿宋_GB2312" w:cs="仿宋_GB2312" w:eastAsia="仿宋_GB2312"/>
                      <w:sz w:val="24"/>
                    </w:rPr>
                    <w:t>备用防护镜片：</w:t>
                  </w:r>
                  <w:r>
                    <w:rPr>
                      <w:rFonts w:ascii="仿宋_GB2312" w:hAnsi="仿宋_GB2312" w:cs="仿宋_GB2312" w:eastAsia="仿宋_GB2312"/>
                      <w:sz w:val="24"/>
                    </w:rPr>
                    <w:t>≥</w:t>
                  </w:r>
                  <w:r>
                    <w:rPr>
                      <w:rFonts w:ascii="仿宋_GB2312" w:hAnsi="仿宋_GB2312" w:cs="仿宋_GB2312" w:eastAsia="仿宋_GB2312"/>
                      <w:sz w:val="24"/>
                    </w:rPr>
                    <w:t>4片；</w:t>
                  </w:r>
                </w:p>
                <w:p>
                  <w:pPr>
                    <w:pStyle w:val="null3"/>
                    <w:jc w:val="both"/>
                  </w:pPr>
                  <w:r>
                    <w:rPr>
                      <w:rFonts w:ascii="仿宋_GB2312" w:hAnsi="仿宋_GB2312" w:cs="仿宋_GB2312" w:eastAsia="仿宋_GB2312"/>
                      <w:sz w:val="24"/>
                    </w:rPr>
                    <w:t>6.3</w:t>
                  </w:r>
                  <w:r>
                    <w:rPr>
                      <w:rFonts w:ascii="仿宋_GB2312" w:hAnsi="仿宋_GB2312" w:cs="仿宋_GB2312" w:eastAsia="仿宋_GB2312"/>
                      <w:sz w:val="24"/>
                    </w:rPr>
                    <w:t>水处理设备滤芯：</w:t>
                  </w:r>
                  <w:r>
                    <w:rPr>
                      <w:rFonts w:ascii="仿宋_GB2312" w:hAnsi="仿宋_GB2312" w:cs="仿宋_GB2312" w:eastAsia="仿宋_GB2312"/>
                      <w:sz w:val="24"/>
                    </w:rPr>
                    <w:t>≥</w:t>
                  </w:r>
                  <w:r>
                    <w:rPr>
                      <w:rFonts w:ascii="仿宋_GB2312" w:hAnsi="仿宋_GB2312" w:cs="仿宋_GB2312" w:eastAsia="仿宋_GB2312"/>
                      <w:sz w:val="24"/>
                    </w:rPr>
                    <w:t>2套；</w:t>
                  </w:r>
                </w:p>
                <w:p>
                  <w:pPr>
                    <w:pStyle w:val="null3"/>
                    <w:jc w:val="both"/>
                  </w:pPr>
                  <w:r>
                    <w:rPr>
                      <w:rFonts w:ascii="仿宋_GB2312" w:hAnsi="仿宋_GB2312" w:cs="仿宋_GB2312" w:eastAsia="仿宋_GB2312"/>
                      <w:sz w:val="24"/>
                    </w:rPr>
                    <w:t>6.4</w:t>
                  </w:r>
                  <w:r>
                    <w:rPr>
                      <w:rFonts w:ascii="仿宋_GB2312" w:hAnsi="仿宋_GB2312" w:cs="仿宋_GB2312" w:eastAsia="仿宋_GB2312"/>
                      <w:sz w:val="24"/>
                    </w:rPr>
                    <w:t>水冷机滤芯：</w:t>
                  </w:r>
                  <w:r>
                    <w:rPr>
                      <w:rFonts w:ascii="仿宋_GB2312" w:hAnsi="仿宋_GB2312" w:cs="仿宋_GB2312" w:eastAsia="仿宋_GB2312"/>
                      <w:sz w:val="24"/>
                    </w:rPr>
                    <w:t>≥</w:t>
                  </w:r>
                  <w:r>
                    <w:rPr>
                      <w:rFonts w:ascii="仿宋_GB2312" w:hAnsi="仿宋_GB2312" w:cs="仿宋_GB2312" w:eastAsia="仿宋_GB2312"/>
                      <w:sz w:val="24"/>
                    </w:rPr>
                    <w:t>2套。</w:t>
                  </w:r>
                  <w:r>
                    <w:br/>
                  </w:r>
                  <w:r>
                    <w:rPr>
                      <w:rFonts w:ascii="仿宋_GB2312" w:hAnsi="仿宋_GB2312" w:cs="仿宋_GB2312" w:eastAsia="仿宋_GB2312"/>
                      <w:sz w:val="24"/>
                    </w:rPr>
                    <w:t>注：标记</w:t>
                  </w:r>
                  <w:r>
                    <w:rPr>
                      <w:rFonts w:ascii="仿宋_GB2312" w:hAnsi="仿宋_GB2312" w:cs="仿宋_GB2312" w:eastAsia="仿宋_GB2312"/>
                      <w:sz w:val="24"/>
                    </w:rPr>
                    <w:t>“★”和“▲”指标必须提供佐证材料，否则视为负偏离。投标人对所投设备需尽可能多的提供相关技术、功能的证明材料（包括设备技术说明或设备彩页或彩色照片或设备功能证明及截图等）予以佐证；投标人自行承担因材料提供不全导致技术参数评审的风险。</w:t>
                  </w:r>
                </w:p>
              </w:tc>
              <w:tc>
                <w:tcPr>
                  <w:tcW w:type="dxa" w:w="307"/>
                  <w:tcBorders>
                    <w:top w:val="none" w:color="000000" w:sz="4"/>
                    <w:left w:val="none" w:color="000000" w:sz="4"/>
                    <w:bottom w:val="single" w:color="000000" w:sz="4"/>
                    <w:right w:val="single" w:color="000000" w:sz="4"/>
                  </w:tcBorders>
                  <w:tcMar>
                    <w:top w:type="dxa" w:w="0"/>
                    <w:left w:type="dxa" w:w="30"/>
                    <w:bottom w:type="dxa" w:w="0"/>
                    <w:right w:type="dxa" w:w="30"/>
                  </w:tcMar>
                  <w:vAlign w:val="top"/>
                </w:tcPr>
                <w:p>
                  <w:pPr>
                    <w:pStyle w:val="null3"/>
                    <w:jc w:val="center"/>
                  </w:pPr>
                  <w:r>
                    <w:rPr>
                      <w:rFonts w:ascii="仿宋_GB2312" w:hAnsi="仿宋_GB2312" w:cs="仿宋_GB2312" w:eastAsia="仿宋_GB2312"/>
                      <w:sz w:val="24"/>
                    </w:rPr>
                    <w:t>1套</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自合同签订之日起60天到货、安装调试并交付使用。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西安工程大学临潼校区机电学院203室。</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前，中标人须在招标人指定的银行开立一般结算账户。合同签订后，招标人通过银行电汇付给中标人全额货款。最终结算时，中标人须向招标人出具合同总价款的增值税专用发票，若因中标人未开具或逾期开具合法有效的发票，招标人有权顺延付款期限且不承担逾期付款责任</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设备到货后，招标人与中标人双方共同开箱验收。在检查设备原产地、规格、型号、配置等符合合同要求后，由中标人负责安装调试，招标人负责技术验收（中标人协助），验收标准以国内或同文本仪器设备详细配置清单中描述的有关技术要求为准。 2.中标人安装调试完毕、正常运行后及时向招标人提出书面验收申请，招标人将组织人员对采购物品进行核查验收，核查验收时需出具经招标人确认的开箱验收报告，核查验收工作完成后签字确认。验收不合格的，限期整改；整改仍达不到要求的，作退货处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（1）质量保证期：验收合格通过之日起3年。 （2）售后服务响应时间（质保期内）：提供7×24小时售后服务热线；质保期内接到采购人故障信息后要求24小时内响应，3个工作日排除故障。超过5个工作日未排除故障，保修期顺延；如无法修复，则提供部件冗余服务或采取应急措施，提供相同产品或不低于故障产品规格档次的备用产品供招标人使用，以确保货物的正常使用。 （3）质保期内，若设备发生故障，中标人需调查故障原因并负责修复直至满足设备性能的要求，或者更换整机或部分有缺陷的组件； （4）质保期内中标人应对由于设计、工艺或材料的缺陷而发生的任何不足和故障负责任； （5）质保期满后，中标人终身提供技术支持和维修服务，由此发生的相关服务和备品备件费用需按内部优惠价格由双方商议确定。</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（2）乙方未按合同要求的提供产品或产品质量不能满足技术要求，甲方有权终止合同，甚至对乙方违约行为进行追究。 （3）如有纠纷，双方友好协商解决，协商不成时可诉讼到甲方所在地人民法院解决。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所有设备安装、调试开始前，中标人负责按照招标人要求进行相关技术培训，每次培训不低于8小时，培训内容包含：设备的工作原理、设备结构、操作步骤、主要部件用途、消耗品更换、日常保养、硬件维护、故障排查等，并提供应用、技术支持及软/硬件升级。 2.培训目标：保证客户能够独立操作、熟练使用、维护和管理有关设备； 3.所有设备实验数据未经采购人同意，不允许自动外传，中标人须提供承诺函，格式自拟。 4.投标人需要在线提交所有通过电子化交易平台实施的政府采购项目的投标文件，同时，线下提交纸质投标文件正本壹份、副本壹份，纸质投标文件正副本分别胶装，标明投标人名称密封递交，递交截止时间同在线递交电子投标文件截止时间一致，线下递交文件地点：开瑞项目管理有限公司（陕西省西安市莲湖区高新二路1号招商银行大厦19层，联系人：刘如拉、代光艳，联系电话：15229797656、17302920968）,若电子投标文件与纸质投标文件不一致的，以电子投标文件为准。 5.投标保证金注意事项 （1）投标保证金须从投标人户名支付，如从个人户名或非投标人户名支付，将被拒绝，视为自动放弃投标权利（该个人是投标人的情形除外）；投标人保证金缴纳时间：开标时间之前；以保函形式交纳投标保证金的，投标人应在投标截止时间前将保函上传至政府采购电子化交易平台，同时将保函扫描成清晰的PDF文件，发送至邮箱2973608682@qq.com（邮件命名：项目名称+项目编号）；投标人应在投标文件中附保函复印件。保函必须由具有开具投标保函资格的单位开具；若投标人违约，开具保函单位承担连带责任； （2）投标保证金的提交金额、时间不满足招标文件要求的，投标无效； （3）投标人未按指定账户提交投标保证金的，我公司将退回，投标人须在文件递交截止时间前按照指定账户再次提交。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提供会计师事务所出具的有效的2024年度的审计报告（成立时间至提交投标文件截止时间不足一年的可提供成立后任意时段的资产负债表），或投标文件提交截止时间前6个月内银行出具的资信证明，或信用担保机构出具的担保函，（以上三种形式的资料提供任何一种即可）；其他组织和自然人提供银行出具的资信证明或财务报表。</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资格证明材料.docx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投标人为向招标人提供相关货物的法人或其他组织；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信誉要求</w:t>
            </w:r>
          </w:p>
        </w:tc>
        <w:tc>
          <w:tcPr>
            <w:tcW w:type="dxa" w:w="3322"/>
          </w:tcPr>
          <w:p>
            <w:pPr>
              <w:pStyle w:val="null3"/>
            </w:pPr>
            <w:r>
              <w:rPr>
                <w:rFonts w:ascii="仿宋_GB2312" w:hAnsi="仿宋_GB2312" w:cs="仿宋_GB2312" w:eastAsia="仿宋_GB2312"/>
              </w:rPr>
              <w:t>截止至投标文件递交截止时间之前，投标人未被“信用中国”网站列入失信被执行人、重大税收违法失信主体名单，未被“中国政府采购网”网站列入政府采购严重违法失信行为记录名单；</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投标授权代表</w:t>
            </w:r>
          </w:p>
        </w:tc>
        <w:tc>
          <w:tcPr>
            <w:tcW w:type="dxa" w:w="3322"/>
          </w:tcPr>
          <w:p>
            <w:pPr>
              <w:pStyle w:val="null3"/>
            </w:pPr>
            <w:r>
              <w:rPr>
                <w:rFonts w:ascii="仿宋_GB2312" w:hAnsi="仿宋_GB2312" w:cs="仿宋_GB2312" w:eastAsia="仿宋_GB2312"/>
              </w:rPr>
              <w:t>投标人应授权合法的人员参加本项目招标活动全过程；</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是否接受进口产品</w:t>
            </w:r>
          </w:p>
        </w:tc>
        <w:tc>
          <w:tcPr>
            <w:tcW w:type="dxa" w:w="3322"/>
          </w:tcPr>
          <w:p>
            <w:pPr>
              <w:pStyle w:val="null3"/>
            </w:pPr>
            <w:r>
              <w:rPr>
                <w:rFonts w:ascii="仿宋_GB2312" w:hAnsi="仿宋_GB2312" w:cs="仿宋_GB2312" w:eastAsia="仿宋_GB2312"/>
              </w:rPr>
              <w:t>本项目未做进口论证，不接受进口产品的投标；</w:t>
            </w:r>
          </w:p>
        </w:tc>
        <w:tc>
          <w:tcPr>
            <w:tcW w:type="dxa" w:w="1661"/>
          </w:tcPr>
          <w:p>
            <w:pPr>
              <w:pStyle w:val="null3"/>
            </w:pPr>
            <w:r>
              <w:rPr>
                <w:rFonts w:ascii="仿宋_GB2312" w:hAnsi="仿宋_GB2312" w:cs="仿宋_GB2312" w:eastAsia="仿宋_GB2312"/>
              </w:rPr>
              <w:t>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是否面向中小企业采购</w:t>
            </w:r>
          </w:p>
        </w:tc>
        <w:tc>
          <w:tcPr>
            <w:tcW w:type="dxa" w:w="3322"/>
          </w:tcPr>
          <w:p>
            <w:pPr>
              <w:pStyle w:val="null3"/>
            </w:pPr>
            <w:r>
              <w:rPr>
                <w:rFonts w:ascii="仿宋_GB2312" w:hAnsi="仿宋_GB2312" w:cs="仿宋_GB2312" w:eastAsia="仿宋_GB2312"/>
              </w:rPr>
              <w:t>本项目专门面向中小企业采购。</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（1）《关于在政府采购活动中查询及使用信用记录有关问题的通知》（财库〔2016〕125号）； （2）《政府采购促进中小企业发展管理办法》（财库〔2020〕46号）、《关于进一步加大政府采购支持中小企业力度的通知》（财库〔2022〕19 号）《关于政府采购支持监狱企业发展有关问题的通知》（财库〔2014〕68号）以及《关于促进残疾人就业政府采购政策的通知》（财库〔2017〕141号）； （3）国务院办公厅《关于建立政府强制采购节能产品制度的通知》（国办发〔2007〕51号）、财政部、国家发改委、生态环境部、国家市场监督管理总局联合印发《关于调整优化节能产品、环境标志产品政府采购执行机制的通知》（财库〔2019〕9号）； （4）《陕西省财政厅关于加快推进我省中小企业政府采购信用融资工作的通知》（陕财办采〔2020〕15号）、陕西省财政厅关于印发《陕西省中小企业政府采购信用融资办法》（陕财办采〔2018〕23号）； （5）其他需要落实的政府采购政策</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投标文件是否按招标文件要求签署、盖章的</w:t>
            </w:r>
          </w:p>
        </w:tc>
        <w:tc>
          <w:tcPr>
            <w:tcW w:type="dxa" w:w="3322"/>
          </w:tcPr>
          <w:p>
            <w:pPr>
              <w:pStyle w:val="null3"/>
            </w:pPr>
            <w:r>
              <w:rPr>
                <w:rFonts w:ascii="仿宋_GB2312" w:hAnsi="仿宋_GB2312" w:cs="仿宋_GB2312" w:eastAsia="仿宋_GB2312"/>
              </w:rPr>
              <w:t>投标文件应当按招标文件要求签署、盖章，否则评标委员会应当将其投标文件作为无效处理。</w:t>
            </w:r>
          </w:p>
        </w:tc>
        <w:tc>
          <w:tcPr>
            <w:tcW w:type="dxa" w:w="1661"/>
          </w:tcPr>
          <w:p>
            <w:pPr>
              <w:pStyle w:val="null3"/>
            </w:pPr>
            <w:r>
              <w:rPr>
                <w:rFonts w:ascii="仿宋_GB2312" w:hAnsi="仿宋_GB2312" w:cs="仿宋_GB2312" w:eastAsia="仿宋_GB2312"/>
              </w:rPr>
              <w:t>开标一览表 售后服务方案.docx 培训服务方案.docx 中小企业声明函 商务应答表 质量保证措施.docx 备品备件清单.docx 技术条款响应偏离表.docx 产品技术参数表 产品来源证明资料.docx 投标函 残疾人福利性单位声明函 供货方案.docx 标的清单 投标文件封面 其他承诺.docx 资格证明材料.docx 类似业绩.docx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报价是否超过招标文件中规定的最高限价的</w:t>
            </w:r>
          </w:p>
        </w:tc>
        <w:tc>
          <w:tcPr>
            <w:tcW w:type="dxa" w:w="3322"/>
          </w:tcPr>
          <w:p>
            <w:pPr>
              <w:pStyle w:val="null3"/>
            </w:pPr>
            <w:r>
              <w:rPr>
                <w:rFonts w:ascii="仿宋_GB2312" w:hAnsi="仿宋_GB2312" w:cs="仿宋_GB2312" w:eastAsia="仿宋_GB2312"/>
              </w:rPr>
              <w:t>投标文件的报价应当不超过招标文件中规定的最高限价，否则评标委员会应当将其投标文件作为无效处理。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投标文件是否含有采购人不能接受的附加条件的或其他情形</w:t>
            </w:r>
          </w:p>
        </w:tc>
        <w:tc>
          <w:tcPr>
            <w:tcW w:type="dxa" w:w="3322"/>
          </w:tcPr>
          <w:p>
            <w:pPr>
              <w:pStyle w:val="null3"/>
            </w:pPr>
            <w:r>
              <w:rPr>
                <w:rFonts w:ascii="仿宋_GB2312" w:hAnsi="仿宋_GB2312" w:cs="仿宋_GB2312" w:eastAsia="仿宋_GB2312"/>
              </w:rPr>
              <w:t>投标文件未含有采购人不能接受的附加条件的或其他情形，否则评标委员会应当将其投标文件作为无效处理。</w:t>
            </w:r>
          </w:p>
        </w:tc>
        <w:tc>
          <w:tcPr>
            <w:tcW w:type="dxa" w:w="1661"/>
          </w:tcPr>
          <w:p>
            <w:pPr>
              <w:pStyle w:val="null3"/>
            </w:pPr>
            <w:r>
              <w:rPr>
                <w:rFonts w:ascii="仿宋_GB2312" w:hAnsi="仿宋_GB2312" w:cs="仿宋_GB2312" w:eastAsia="仿宋_GB2312"/>
              </w:rPr>
              <w:t>开标一览表 售后服务方案.docx 培训服务方案.docx 中小企业声明函 商务应答表 质量保证措施.docx 备品备件清单.docx 技术条款响应偏离表.docx 产品技术参数表 产品来源证明资料.docx 投标函 残疾人福利性单位声明函 供货方案.docx 标的清单 投标文件封面 其他承诺.docx 资格证明材料.docx 类似业绩.docx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是否发现法律、法规和招标文件规定的其他无效情形</w:t>
            </w:r>
          </w:p>
        </w:tc>
        <w:tc>
          <w:tcPr>
            <w:tcW w:type="dxa" w:w="3322"/>
          </w:tcPr>
          <w:p>
            <w:pPr>
              <w:pStyle w:val="null3"/>
            </w:pPr>
            <w:r>
              <w:rPr>
                <w:rFonts w:ascii="仿宋_GB2312" w:hAnsi="仿宋_GB2312" w:cs="仿宋_GB2312" w:eastAsia="仿宋_GB2312"/>
              </w:rPr>
              <w:t>投标文件未发现法律、法规和招标文件规定的其他无效情形，否则评标委员会应当将其投标文件作为无效处理。</w:t>
            </w:r>
          </w:p>
        </w:tc>
        <w:tc>
          <w:tcPr>
            <w:tcW w:type="dxa" w:w="1661"/>
          </w:tcPr>
          <w:p>
            <w:pPr>
              <w:pStyle w:val="null3"/>
            </w:pPr>
            <w:r>
              <w:rPr>
                <w:rFonts w:ascii="仿宋_GB2312" w:hAnsi="仿宋_GB2312" w:cs="仿宋_GB2312" w:eastAsia="仿宋_GB2312"/>
              </w:rPr>
              <w:t>开标一览表 售后服务方案.docx 培训服务方案.docx 中小企业声明函 商务应答表 质量保证措施.docx 备品备件清单.docx 技术条款响应偏离表.docx 产品技术参数表 产品来源证明资料.docx 投标函 残疾人福利性单位声明函 供货方案.docx 标的清单 投标文件封面 其他承诺.docx 资格证明材料.docx 类似业绩.docx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投标文件是否响应本项目商务要求及服务内容及要求中的标记“★”条款</w:t>
            </w:r>
          </w:p>
        </w:tc>
        <w:tc>
          <w:tcPr>
            <w:tcW w:type="dxa" w:w="3322"/>
          </w:tcPr>
          <w:p>
            <w:pPr>
              <w:pStyle w:val="null3"/>
            </w:pPr>
            <w:r>
              <w:rPr>
                <w:rFonts w:ascii="仿宋_GB2312" w:hAnsi="仿宋_GB2312" w:cs="仿宋_GB2312" w:eastAsia="仿宋_GB2312"/>
              </w:rPr>
              <w:t>投标文件响应本项目商务要求及采购内容及要求中的标记“★”条款</w:t>
            </w:r>
          </w:p>
        </w:tc>
        <w:tc>
          <w:tcPr>
            <w:tcW w:type="dxa" w:w="1661"/>
          </w:tcPr>
          <w:p>
            <w:pPr>
              <w:pStyle w:val="null3"/>
            </w:pPr>
            <w:r>
              <w:rPr>
                <w:rFonts w:ascii="仿宋_GB2312" w:hAnsi="仿宋_GB2312" w:cs="仿宋_GB2312" w:eastAsia="仿宋_GB2312"/>
              </w:rPr>
              <w:t>产品技术参数表 商务应答表 技术条款响应偏离表.docx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技术指标响应情况</w:t>
            </w:r>
          </w:p>
        </w:tc>
        <w:tc>
          <w:tcPr>
            <w:tcW w:type="dxa" w:w="2492"/>
          </w:tcPr>
          <w:p>
            <w:pPr>
              <w:pStyle w:val="null3"/>
            </w:pPr>
            <w:r>
              <w:rPr>
                <w:rFonts w:ascii="仿宋_GB2312" w:hAnsi="仿宋_GB2312" w:cs="仿宋_GB2312" w:eastAsia="仿宋_GB2312"/>
              </w:rPr>
              <w:t>根据产品技术和性能响应情况进行评审： （1）完全满足采购技术要求的，得30分； （2）技术参数标记为“▲”为重要技术条款，每负偏离一项扣3分，共计2项；（3）未标记“▲”技术指标每负偏离一项扣1分，扣完为止。 备注：标记“★”和“▲”指标必须提供佐证材料，否则视为负偏离。投标人对所投设备需尽可能多的提供相关技术、功能的证明材料（包括设备技术说明或设备彩页或彩色照片或设备功能证明及截图等）予以佐证；投标人自行承担因材料提供不全导致技术参数评审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技术条款响应偏离表.docx</w:t>
            </w:r>
          </w:p>
        </w:tc>
      </w:tr>
      <w:tr>
        <w:tc>
          <w:tcPr>
            <w:tcW w:type="dxa" w:w="831"/>
            <w:vMerge/>
          </w:tcPr>
          <w:p/>
        </w:tc>
        <w:tc>
          <w:tcPr>
            <w:tcW w:type="dxa" w:w="1661"/>
          </w:tcPr>
          <w:p>
            <w:pPr>
              <w:pStyle w:val="null3"/>
            </w:pPr>
            <w:r>
              <w:rPr>
                <w:rFonts w:ascii="仿宋_GB2312" w:hAnsi="仿宋_GB2312" w:cs="仿宋_GB2312" w:eastAsia="仿宋_GB2312"/>
              </w:rPr>
              <w:t>产品来源证明资料</w:t>
            </w:r>
          </w:p>
        </w:tc>
        <w:tc>
          <w:tcPr>
            <w:tcW w:type="dxa" w:w="2492"/>
          </w:tcPr>
          <w:p>
            <w:pPr>
              <w:pStyle w:val="null3"/>
            </w:pPr>
            <w:r>
              <w:rPr>
                <w:rFonts w:ascii="仿宋_GB2312" w:hAnsi="仿宋_GB2312" w:cs="仿宋_GB2312" w:eastAsia="仿宋_GB2312"/>
              </w:rPr>
              <w:t>投标人针对本项目拟投产品来源的相关证明材料（内容包含货源渠道材料、链条的清晰及完整度）齐全、货源渠道正规、链条清晰完整的得3分，未提供或提供不全的得0分。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产品来源证明资料.docx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根据投标人提供的质量保证措施进行评审： 投标人提供的质量保证措施切实合理可行、针对性强，完全满足项目要求的得3.1-5分； 投标人提供的质量保证措施有一定的可行性，针对性较强，基本能满足项目要求的得1.1-3分； 投标人提供的质量保证措施有较多欠缺的得0.1-1分； 投标人未提供方案得0分。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质量保证措施.docx</w:t>
            </w:r>
          </w:p>
        </w:tc>
      </w:tr>
      <w:tr>
        <w:tc>
          <w:tcPr>
            <w:tcW w:type="dxa" w:w="831"/>
            <w:vMerge/>
          </w:tcPr>
          <w:p/>
        </w:tc>
        <w:tc>
          <w:tcPr>
            <w:tcW w:type="dxa" w:w="1661"/>
          </w:tcPr>
          <w:p>
            <w:pPr>
              <w:pStyle w:val="null3"/>
            </w:pPr>
            <w:r>
              <w:rPr>
                <w:rFonts w:ascii="仿宋_GB2312" w:hAnsi="仿宋_GB2312" w:cs="仿宋_GB2312" w:eastAsia="仿宋_GB2312"/>
              </w:rPr>
              <w:t>供货方案</w:t>
            </w:r>
          </w:p>
        </w:tc>
        <w:tc>
          <w:tcPr>
            <w:tcW w:type="dxa" w:w="2492"/>
          </w:tcPr>
          <w:p>
            <w:pPr>
              <w:pStyle w:val="null3"/>
            </w:pPr>
            <w:r>
              <w:rPr>
                <w:rFonts w:ascii="仿宋_GB2312" w:hAnsi="仿宋_GB2312" w:cs="仿宋_GB2312" w:eastAsia="仿宋_GB2312"/>
              </w:rPr>
              <w:t>根据投标人针对本项目提供的供货、安装调试、人员配备等方面制订具体的实施方案，做出合理计划及制订工作保障措施，进行评审： 实施方案完整、科学合理、操作性强的得3.1-5分； 实施方案较完整，工作目标较明确、工作保障措施一般的得1.1-3分； 实施方案粗略，可执行性差，缺项、漏项的0.1-1分；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供货方案.docx</w:t>
            </w:r>
          </w:p>
        </w:tc>
      </w:tr>
      <w:tr>
        <w:tc>
          <w:tcPr>
            <w:tcW w:type="dxa" w:w="831"/>
            <w:vMerge/>
          </w:tcPr>
          <w:p/>
        </w:tc>
        <w:tc>
          <w:tcPr>
            <w:tcW w:type="dxa" w:w="1661"/>
          </w:tcPr>
          <w:p>
            <w:pPr>
              <w:pStyle w:val="null3"/>
            </w:pPr>
            <w:r>
              <w:rPr>
                <w:rFonts w:ascii="仿宋_GB2312" w:hAnsi="仿宋_GB2312" w:cs="仿宋_GB2312" w:eastAsia="仿宋_GB2312"/>
              </w:rPr>
              <w:t>售后服务方案1</w:t>
            </w:r>
          </w:p>
        </w:tc>
        <w:tc>
          <w:tcPr>
            <w:tcW w:type="dxa" w:w="2492"/>
          </w:tcPr>
          <w:p>
            <w:pPr>
              <w:pStyle w:val="null3"/>
            </w:pPr>
            <w:r>
              <w:rPr>
                <w:rFonts w:ascii="仿宋_GB2312" w:hAnsi="仿宋_GB2312" w:cs="仿宋_GB2312" w:eastAsia="仿宋_GB2312"/>
              </w:rPr>
              <w:t>1.根据投标人的售后服务方案（包括但不限于①服务标准；②响应时间；③质保期满后的承诺等）进行评审： 售后服务方案有具体、详细、可行的方案及措施，对响应及上门时间有明确表述，能够完全满足采购需求的得3.1-5分； 售后服务方案及措施基本可行，对响应及上门时间有明确表述，基本能够满足采购需求的得1.1-3分； 售后服务方案及措施欠缺较多，对响应及上门时间有相应表述，不能完全满足采购需求的得0.1-1分；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售后服务方案2</w:t>
            </w:r>
          </w:p>
        </w:tc>
        <w:tc>
          <w:tcPr>
            <w:tcW w:type="dxa" w:w="2492"/>
          </w:tcPr>
          <w:p>
            <w:pPr>
              <w:pStyle w:val="null3"/>
            </w:pPr>
            <w:r>
              <w:rPr>
                <w:rFonts w:ascii="仿宋_GB2312" w:hAnsi="仿宋_GB2312" w:cs="仿宋_GB2312" w:eastAsia="仿宋_GB2312"/>
              </w:rPr>
              <w:t>2.根据投标人针对本项目提供在质保期内针对设备出现故障或不能正常工作时候的应急方案（包括但不限于确保设备正常使用的应急措施、提供相同产品或不低于故障产品规格档次的备用产品供采购人使用的使用承诺）进行评审： 方案完善、科学合理，针对性强、服务承诺明确的得3.1-5分； 方案较完整、合理可行、特点和承诺不明确的得计1.1-3的得分； 方案完整性、合理性差的得计0.1-1分；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售后服务方案.docx</w:t>
            </w:r>
          </w:p>
        </w:tc>
      </w:tr>
      <w:tr>
        <w:tc>
          <w:tcPr>
            <w:tcW w:type="dxa" w:w="831"/>
            <w:vMerge/>
          </w:tcPr>
          <w:p/>
        </w:tc>
        <w:tc>
          <w:tcPr>
            <w:tcW w:type="dxa" w:w="1661"/>
          </w:tcPr>
          <w:p>
            <w:pPr>
              <w:pStyle w:val="null3"/>
            </w:pPr>
            <w:r>
              <w:rPr>
                <w:rFonts w:ascii="仿宋_GB2312" w:hAnsi="仿宋_GB2312" w:cs="仿宋_GB2312" w:eastAsia="仿宋_GB2312"/>
              </w:rPr>
              <w:t>培训服务方案</w:t>
            </w:r>
          </w:p>
        </w:tc>
        <w:tc>
          <w:tcPr>
            <w:tcW w:type="dxa" w:w="2492"/>
          </w:tcPr>
          <w:p>
            <w:pPr>
              <w:pStyle w:val="null3"/>
            </w:pPr>
            <w:r>
              <w:rPr>
                <w:rFonts w:ascii="仿宋_GB2312" w:hAnsi="仿宋_GB2312" w:cs="仿宋_GB2312" w:eastAsia="仿宋_GB2312"/>
              </w:rPr>
              <w:t>根据投标人针对本项目提供的培训服务方案（包括但不限于所提供设备的原理和技术性能、操作维护方法等培训内容、培训人员、培训时长，培训次数，培训方式等）进行评审： 培训方案内容完整详细、有人员安排及执行计划方案，培训时长、次数、方式等科学合理有保障、针对性强得3.1-5分； 培训方案内容详细具体，人员安排、培训方式等较为合理得1.1-3分； 培训方案内容简单，人员安排、培训计划等稍有欠缺得0-1分；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培训服务方案.docx</w:t>
            </w:r>
          </w:p>
        </w:tc>
      </w:tr>
      <w:tr>
        <w:tc>
          <w:tcPr>
            <w:tcW w:type="dxa" w:w="831"/>
            <w:vMerge/>
          </w:tcPr>
          <w:p/>
        </w:tc>
        <w:tc>
          <w:tcPr>
            <w:tcW w:type="dxa" w:w="1661"/>
          </w:tcPr>
          <w:p>
            <w:pPr>
              <w:pStyle w:val="null3"/>
            </w:pPr>
            <w:r>
              <w:rPr>
                <w:rFonts w:ascii="仿宋_GB2312" w:hAnsi="仿宋_GB2312" w:cs="仿宋_GB2312" w:eastAsia="仿宋_GB2312"/>
              </w:rPr>
              <w:t>备品备件清单</w:t>
            </w:r>
          </w:p>
        </w:tc>
        <w:tc>
          <w:tcPr>
            <w:tcW w:type="dxa" w:w="2492"/>
          </w:tcPr>
          <w:p>
            <w:pPr>
              <w:pStyle w:val="null3"/>
            </w:pPr>
            <w:r>
              <w:rPr>
                <w:rFonts w:ascii="仿宋_GB2312" w:hAnsi="仿宋_GB2312" w:cs="仿宋_GB2312" w:eastAsia="仿宋_GB2312"/>
              </w:rPr>
              <w:t>根据投标人针对本项目提供的备品备件清单进行评审： 投标人提供详细具体的备品备件清单，投标文件中附有详细配置清单，贴合项目实际情况，并有所投设备各种规格的备品备件的单独报价，报价合理的得3.1-5分。 投标人提供完整的备品备件清单，贴合项目实际情况，有完整的备品备件清单及报价等，但承诺内容较简单的得1.1-3分。 投标人提供的备品备件清单及报价不贴合项目实际情况，简单粗略的得0-1分； 未提供的得0分。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备品备件清单.docx</w:t>
            </w:r>
          </w:p>
        </w:tc>
      </w:tr>
      <w:tr>
        <w:tc>
          <w:tcPr>
            <w:tcW w:type="dxa" w:w="831"/>
            <w:vMerge/>
          </w:tcPr>
          <w:p/>
        </w:tc>
        <w:tc>
          <w:tcPr>
            <w:tcW w:type="dxa" w:w="1661"/>
          </w:tcPr>
          <w:p>
            <w:pPr>
              <w:pStyle w:val="null3"/>
            </w:pPr>
            <w:r>
              <w:rPr>
                <w:rFonts w:ascii="仿宋_GB2312" w:hAnsi="仿宋_GB2312" w:cs="仿宋_GB2312" w:eastAsia="仿宋_GB2312"/>
              </w:rPr>
              <w:t>其他承诺</w:t>
            </w:r>
          </w:p>
        </w:tc>
        <w:tc>
          <w:tcPr>
            <w:tcW w:type="dxa" w:w="2492"/>
          </w:tcPr>
          <w:p>
            <w:pPr>
              <w:pStyle w:val="null3"/>
            </w:pPr>
            <w:r>
              <w:rPr>
                <w:rFonts w:ascii="仿宋_GB2312" w:hAnsi="仿宋_GB2312" w:cs="仿宋_GB2312" w:eastAsia="仿宋_GB2312"/>
              </w:rPr>
              <w:t>根据投标人针对本项目实施工作中的常见质量和服务问题进行梳理，投标人可根据自身情况对服务标准、过程管理、质量保证、后续服务、增值服务等方面作出有利于本项目开展的承诺，每提供1条有效承诺，得0.5分，满分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其他承诺.docx</w:t>
            </w:r>
          </w:p>
        </w:tc>
      </w:tr>
      <w:tr>
        <w:tc>
          <w:tcPr>
            <w:tcW w:type="dxa" w:w="831"/>
            <w:vMerge/>
          </w:tcPr>
          <w:p/>
        </w:tc>
        <w:tc>
          <w:tcPr>
            <w:tcW w:type="dxa" w:w="1661"/>
          </w:tcPr>
          <w:p>
            <w:pPr>
              <w:pStyle w:val="null3"/>
            </w:pPr>
            <w:r>
              <w:rPr>
                <w:rFonts w:ascii="仿宋_GB2312" w:hAnsi="仿宋_GB2312" w:cs="仿宋_GB2312" w:eastAsia="仿宋_GB2312"/>
              </w:rPr>
              <w:t>类似业绩</w:t>
            </w:r>
          </w:p>
        </w:tc>
        <w:tc>
          <w:tcPr>
            <w:tcW w:type="dxa" w:w="2492"/>
          </w:tcPr>
          <w:p>
            <w:pPr>
              <w:pStyle w:val="null3"/>
            </w:pPr>
            <w:r>
              <w:rPr>
                <w:rFonts w:ascii="仿宋_GB2312" w:hAnsi="仿宋_GB2312" w:cs="仿宋_GB2312" w:eastAsia="仿宋_GB2312"/>
              </w:rPr>
              <w:t>投标人应在投标文件中提供该投标人自2022年8月1日起至今的类似采购项目的业绩证明材料或者投标人拟投产品自2022年8月1日起至今的业绩证明材料，每提供一份业绩合同的得1分，满分为5分，不得重复累计。 注：以合同签订时间为准，投标人应在投标文件中提供业绩合同复印件或扫描件且加盖单位公章。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类似业绩.docx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经初审合格的投标文件，其投标报价为有效投标价。评标基准价：即满足招标文件要求且投标价格最低的投标报价为评标基准价。 其他投标人的价格分统一按照下列公式计算。投标报价得分=(评标基准价／投标报价)×30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详见附件：备品备件清单.docx</w:t>
      </w:r>
    </w:p>
    <w:p>
      <w:pPr>
        <w:pStyle w:val="null3"/>
        <w:ind w:firstLine="960"/>
      </w:pPr>
      <w:r>
        <w:rPr>
          <w:rFonts w:ascii="仿宋_GB2312" w:hAnsi="仿宋_GB2312" w:cs="仿宋_GB2312" w:eastAsia="仿宋_GB2312"/>
        </w:rPr>
        <w:t>详见附件：产品来源证明资料.docx</w:t>
      </w:r>
    </w:p>
    <w:p>
      <w:pPr>
        <w:pStyle w:val="null3"/>
        <w:ind w:firstLine="960"/>
      </w:pPr>
      <w:r>
        <w:rPr>
          <w:rFonts w:ascii="仿宋_GB2312" w:hAnsi="仿宋_GB2312" w:cs="仿宋_GB2312" w:eastAsia="仿宋_GB2312"/>
        </w:rPr>
        <w:t>详见附件：供货方案.docx</w:t>
      </w:r>
    </w:p>
    <w:p>
      <w:pPr>
        <w:pStyle w:val="null3"/>
        <w:ind w:firstLine="960"/>
      </w:pPr>
      <w:r>
        <w:rPr>
          <w:rFonts w:ascii="仿宋_GB2312" w:hAnsi="仿宋_GB2312" w:cs="仿宋_GB2312" w:eastAsia="仿宋_GB2312"/>
        </w:rPr>
        <w:t>详见附件：技术条款响应偏离表.docx</w:t>
      </w:r>
    </w:p>
    <w:p>
      <w:pPr>
        <w:pStyle w:val="null3"/>
        <w:ind w:firstLine="960"/>
      </w:pPr>
      <w:r>
        <w:rPr>
          <w:rFonts w:ascii="仿宋_GB2312" w:hAnsi="仿宋_GB2312" w:cs="仿宋_GB2312" w:eastAsia="仿宋_GB2312"/>
        </w:rPr>
        <w:t>详见附件：类似业绩.docx</w:t>
      </w:r>
    </w:p>
    <w:p>
      <w:pPr>
        <w:pStyle w:val="null3"/>
        <w:ind w:firstLine="960"/>
      </w:pPr>
      <w:r>
        <w:rPr>
          <w:rFonts w:ascii="仿宋_GB2312" w:hAnsi="仿宋_GB2312" w:cs="仿宋_GB2312" w:eastAsia="仿宋_GB2312"/>
        </w:rPr>
        <w:t>详见附件：培训服务方案.docx</w:t>
      </w:r>
    </w:p>
    <w:p>
      <w:pPr>
        <w:pStyle w:val="null3"/>
        <w:ind w:firstLine="960"/>
      </w:pPr>
      <w:r>
        <w:rPr>
          <w:rFonts w:ascii="仿宋_GB2312" w:hAnsi="仿宋_GB2312" w:cs="仿宋_GB2312" w:eastAsia="仿宋_GB2312"/>
        </w:rPr>
        <w:t>详见附件：其他承诺.docx</w:t>
      </w:r>
    </w:p>
    <w:p>
      <w:pPr>
        <w:pStyle w:val="null3"/>
        <w:ind w:firstLine="960"/>
      </w:pPr>
      <w:r>
        <w:rPr>
          <w:rFonts w:ascii="仿宋_GB2312" w:hAnsi="仿宋_GB2312" w:cs="仿宋_GB2312" w:eastAsia="仿宋_GB2312"/>
        </w:rPr>
        <w:t>详见附件：售后服务方案.docx</w:t>
      </w:r>
    </w:p>
    <w:p>
      <w:pPr>
        <w:pStyle w:val="null3"/>
        <w:ind w:firstLine="960"/>
      </w:pPr>
      <w:r>
        <w:rPr>
          <w:rFonts w:ascii="仿宋_GB2312" w:hAnsi="仿宋_GB2312" w:cs="仿宋_GB2312" w:eastAsia="仿宋_GB2312"/>
        </w:rPr>
        <w:t>详见附件：质量保证措施.docx</w:t>
      </w:r>
    </w:p>
    <w:p>
      <w:pPr>
        <w:pStyle w:val="null3"/>
        <w:ind w:firstLine="960"/>
      </w:pPr>
      <w:r>
        <w:rPr>
          <w:rFonts w:ascii="仿宋_GB2312" w:hAnsi="仿宋_GB2312" w:cs="仿宋_GB2312" w:eastAsia="仿宋_GB2312"/>
        </w:rPr>
        <w:t>详见附件：资格证明材料.docx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详见附件：【国产】合同参考文本2025.08.20.docx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