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版本号：DTZB-202503020250820001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城镇老旧小区改造改造跟踪问效</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DTZB-2025030</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陕西大同项目管理有限公司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陕西大同项目管理有限公司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城镇老旧小区改造改造跟踪问效</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DTZB-2025030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城镇老旧小区改造改造跟踪问效</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城镇老旧小区改造跟踪问效，2020年7月，国务院办公厅印发《关于全面推进城镇老旧小区改造工作的指导意见》（国办发〔2020〕23号），提出“到‘十四五’期末，结合各地实际，力争基本完成2000年底前建成的需改造城镇老旧小区改造任务”的工作目标。为回顾“十四五”期间全省城镇老旧小区改造工作，总结各地涌现出的典型案例经验，评价各地工作成效，梳理难点问题，提出创新性、有可行性的工作思路，为“十五五”城镇老旧小区改造工作开展提供参考。形成“十四五”期间全省城镇老旧小区改造工作成效评估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代理机构现场查询。</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11、资质要求：具有城乡规划编制甲级资质。</w:t>
      </w:r>
    </w:p>
    <w:p>
      <w:pPr>
        <w:pStyle w:val="null3"/>
      </w:pPr>
      <w:r>
        <w:rPr>
          <w:rFonts w:ascii="仿宋_GB2312" w:hAnsi="仿宋_GB2312" w:cs="仿宋_GB2312" w:eastAsia="仿宋_GB2312"/>
        </w:rPr>
        <w:t>12、项目负责人：拟派项目负责人须具备相关专业高级职称或注册规划师资格。</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西安市新城广场陕西省人民政府院内前大楼9楼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陕西省住房和城乡建设厅机关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029-63915803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陕西省西安市国家民用航天产业基地航天新经济科技园北区2号楼8层北户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张秋秋、杨皎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029-89689227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招标代理服务费以成交价格为计算基数，参照国家发展计划委员会计价格[2002]1980号文件及国家发展和改革委员会办公厅颁发的《关于招标代理服务收费有关问题的通知》（发改价格[2011]534号）规定的服务类标准（不作上下浮动）进行收取，招标代理服务费金额不足5000元按照5000元收取。具体收费金额在成交公告中公布。 2.代理服务费缴纳账户信息： 户名：陕西大同项目管理有限公司 开户行名称：中国银行西安高新科技支行 账号：102451771385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陕西大同项目管理有限公司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按照现行的有关国家标准、规范执行，质量要求合格以上。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联系人：张秋秋、杨皎</w:t>
      </w:r>
    </w:p>
    <w:p>
      <w:pPr>
        <w:pStyle w:val="null3"/>
      </w:pPr>
      <w:r>
        <w:rPr>
          <w:rFonts w:ascii="仿宋_GB2312" w:hAnsi="仿宋_GB2312" w:cs="仿宋_GB2312" w:eastAsia="仿宋_GB2312"/>
        </w:rPr>
        <w:t>联系电话：029-89689227</w:t>
      </w:r>
    </w:p>
    <w:p>
      <w:pPr>
        <w:pStyle w:val="null3"/>
      </w:pPr>
      <w:r>
        <w:rPr>
          <w:rFonts w:ascii="仿宋_GB2312" w:hAnsi="仿宋_GB2312" w:cs="仿宋_GB2312" w:eastAsia="仿宋_GB2312"/>
        </w:rPr>
        <w:t>地址：陕西省西安市国家民用航天产业基地航天新经济科技园北区2号楼8层北户</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城镇老旧小区改造改造跟踪问效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城镇老旧小区改造改造跟踪问效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标的名称：城镇老旧小区改造改造跟踪问效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rPr>
              <w:t>一、项目概况：城镇老旧小区改造改造跟踪问效</w:t>
            </w:r>
          </w:p>
          <w:p>
            <w:pPr>
              <w:pStyle w:val="null3"/>
              <w:jc w:val="left"/>
            </w:pPr>
            <w:r>
              <w:rPr>
                <w:rFonts w:ascii="仿宋_GB2312" w:hAnsi="仿宋_GB2312" w:cs="仿宋_GB2312" w:eastAsia="仿宋_GB2312"/>
                <w:sz w:val="28"/>
              </w:rPr>
              <w:t>二、技术要求：</w:t>
            </w:r>
            <w:r>
              <w:rPr>
                <w:rFonts w:ascii="仿宋_GB2312" w:hAnsi="仿宋_GB2312" w:cs="仿宋_GB2312" w:eastAsia="仿宋_GB2312"/>
                <w:sz w:val="28"/>
              </w:rPr>
              <w:t>城镇老旧小区改造跟踪问效，</w:t>
            </w:r>
            <w:r>
              <w:rPr>
                <w:rFonts w:ascii="仿宋_GB2312" w:hAnsi="仿宋_GB2312" w:cs="仿宋_GB2312" w:eastAsia="仿宋_GB2312"/>
                <w:sz w:val="28"/>
              </w:rPr>
              <w:t>2020年7月，国务院办公厅印发《关于全面推进城镇老旧小区改造工作的指导意见》（国办发〔2020〕23号），提出“到‘十四五’期末，结合各地实际，力争基本完成2000年底前建成的需改造城镇老旧小区改造任务”的工作目标。为回顾“十四五”期间全省城镇老旧小区改造工作，总结各地涌现出的典型案例经验，评价各地工作成效，梳理难点问题，提出创新性、有可行性的工作思路，为“十五五”城镇老旧小区改造工作开展提供参考。形成“十四五”期间全省城镇老旧小区改造工作成效评估报告。</w:t>
            </w:r>
          </w:p>
          <w:p>
            <w:pPr>
              <w:pStyle w:val="null3"/>
              <w:spacing w:after="120"/>
              <w:jc w:val="both"/>
            </w:pPr>
            <w:r>
              <w:rPr>
                <w:rFonts w:ascii="仿宋_GB2312" w:hAnsi="仿宋_GB2312" w:cs="仿宋_GB2312" w:eastAsia="仿宋_GB2312"/>
                <w:sz w:val="28"/>
              </w:rPr>
              <w:t>三、合同履行期限：自合同签订之日起</w:t>
            </w:r>
            <w:r>
              <w:rPr>
                <w:rFonts w:ascii="仿宋_GB2312" w:hAnsi="仿宋_GB2312" w:cs="仿宋_GB2312" w:eastAsia="仿宋_GB2312"/>
                <w:sz w:val="28"/>
              </w:rPr>
              <w:t>180日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满足文件要求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满足文件要求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以文件为主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代理机构现场查询。</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具有城乡规划编制甲级资质。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拟派项目负责人须具备相关专业高级职称或注册规划师资格。</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提供的整体服务方案内容，包括但不限于：(1)服务思路(2)服务内容(3)服务方法(4)服务体系(5)服务响应机制(6)服务承诺等；以上(1)-(6)项内容齐全且无缺陷的得18分，每有一项内容缺项的扣3分;每存在一项缺陷的扣1分，扣完为止。无此项描述的不得分。(“缺陷”是指以下任意一种情形：数据、名称、专业术语及符号、文字表述错误；或前后矛盾；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项目理解和熟悉程度</w:t>
            </w:r>
          </w:p>
        </w:tc>
        <w:tc>
          <w:tcPr>
            <w:tcW w:type="dxa" w:w="2492"/>
          </w:tcPr>
          <w:p>
            <w:pPr>
              <w:pStyle w:val="null3"/>
            </w:pPr>
            <w:r>
              <w:rPr>
                <w:rFonts w:ascii="仿宋_GB2312" w:hAnsi="仿宋_GB2312" w:cs="仿宋_GB2312" w:eastAsia="仿宋_GB2312"/>
              </w:rPr>
              <w:t>针对本项目提供的对项目理解和热悉程度内容，包括但不限于:(1)目标任务(2)工作内容(3)重点、难点理解及分析等； 以上(1)-(3)项内容齐全且无缺陷的得9分，每有一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针对本项目提供的质量保障措施内容，包括但不限于:(1)质量管理方案(2)质量管理机构及职责(3)质量保证措施(4)质量保障承诺; 以上(1)-(4)项内容齐全且无缺陷的得12分，每有-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进度安排及保障措施</w:t>
            </w:r>
          </w:p>
        </w:tc>
        <w:tc>
          <w:tcPr>
            <w:tcW w:type="dxa" w:w="2492"/>
          </w:tcPr>
          <w:p>
            <w:pPr>
              <w:pStyle w:val="null3"/>
            </w:pPr>
            <w:r>
              <w:rPr>
                <w:rFonts w:ascii="仿宋_GB2312" w:hAnsi="仿宋_GB2312" w:cs="仿宋_GB2312" w:eastAsia="仿宋_GB2312"/>
              </w:rPr>
              <w:t>针对本项目提供的进度安排及保障措施内容，包括但不限于:(1)进度计划(2)工作部署(3)各阶段实施流程(4)进度保障措施；以上(1)-(4)项内容齐全且无缺陷的得12分，每有一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供应商结合自身技术优势，充分考虑用户的需求发展，提出创新、创优等合理化建议。每条有实质性的合理化建议的得1分，最多4分。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提供近三年（2022年1月至今）签署的同类项目业绩。每提供一项得2分（以加盖公章的中标通知书或合同复印件为准），满分12分。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工期及服务承诺</w:t>
            </w:r>
          </w:p>
        </w:tc>
        <w:tc>
          <w:tcPr>
            <w:tcW w:type="dxa" w:w="2492"/>
          </w:tcPr>
          <w:p>
            <w:pPr>
              <w:pStyle w:val="null3"/>
            </w:pPr>
            <w:r>
              <w:rPr>
                <w:rFonts w:ascii="仿宋_GB2312" w:hAnsi="仿宋_GB2312" w:cs="仿宋_GB2312" w:eastAsia="仿宋_GB2312"/>
              </w:rPr>
              <w:t>工期保证、服务内容、承诺全面，对本项目有技术支持度及跟踪服务能力。①内容具体、完整、详细、全面、可行性强，计3-6分； ②内容欠缺、薄弱、仅能满足项目需求，计 1-3分； 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拟派项目团队中每具有1名与本项目相关的高级职称或国家注册类证书的得3分，最高得12分。 注：提供人员职称证书或注册证书。</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价格分统一采用低价优先法计算，即满足磋商文件要求且最低的磋商报价为评审基准价，其价格分为满分。其他供应商的价格分统一按照下列公式计算：价格分=(评审基准价／磋商报价)×报价得分分值；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