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版本号：DTZB-202502720250820001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陕西省2025年城市体检报告</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DTZB-2025027</w:t>
      </w:r>
      <w:r>
        <w:br/>
      </w:r>
      <w:r>
        <w:br/>
      </w:r>
      <w:r>
        <w:br/>
      </w:r>
    </w:p>
    <w:p>
      <w:pPr>
        <w:pStyle w:val="null3"/>
        <w:jc w:val="center"/>
        <w:outlineLvl w:val="2"/>
      </w:pPr>
      <w:r>
        <w:rPr>
          <w:rFonts w:ascii="仿宋_GB2312" w:hAnsi="仿宋_GB2312" w:cs="仿宋_GB2312" w:eastAsia="仿宋_GB2312"/>
          <w:sz w:val="28"/>
          <w:b/>
        </w:rPr>
        <w:t>陕西省住房和城乡建设厅机关</w:t>
      </w:r>
    </w:p>
    <w:p>
      <w:pPr>
        <w:pStyle w:val="null3"/>
        <w:jc w:val="center"/>
        <w:outlineLvl w:val="2"/>
      </w:pPr>
      <w:r>
        <w:rPr>
          <w:rFonts w:ascii="仿宋_GB2312" w:hAnsi="仿宋_GB2312" w:cs="仿宋_GB2312" w:eastAsia="仿宋_GB2312"/>
          <w:sz w:val="28"/>
          <w:b/>
        </w:rPr>
        <w:t>陕西大同项目管理有限公司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陕西大同项目管理有限公司</w:t>
      </w:r>
      <w:r>
        <w:rPr>
          <w:rFonts w:ascii="仿宋_GB2312" w:hAnsi="仿宋_GB2312" w:cs="仿宋_GB2312" w:eastAsia="仿宋_GB2312"/>
        </w:rPr>
        <w:t>（以下简称“代理机构”）受</w:t>
      </w:r>
      <w:r>
        <w:rPr>
          <w:rFonts w:ascii="仿宋_GB2312" w:hAnsi="仿宋_GB2312" w:cs="仿宋_GB2312" w:eastAsia="仿宋_GB2312"/>
        </w:rPr>
        <w:t>陕西省住房和城乡建设厅机关</w:t>
      </w:r>
      <w:r>
        <w:rPr>
          <w:rFonts w:ascii="仿宋_GB2312" w:hAnsi="仿宋_GB2312" w:cs="仿宋_GB2312" w:eastAsia="仿宋_GB2312"/>
        </w:rPr>
        <w:t>委托，拟对</w:t>
      </w:r>
      <w:r>
        <w:rPr>
          <w:rFonts w:ascii="仿宋_GB2312" w:hAnsi="仿宋_GB2312" w:cs="仿宋_GB2312" w:eastAsia="仿宋_GB2312"/>
        </w:rPr>
        <w:t>陕西省2025年城市体检报告</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DTZB-2025027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陕西省2025年城市体检报告</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2025城市体检报告为贯彻落实总书记关于建立“城市体检”评估机制的重要指示精神，按照住房和城乡建设部《关于全面开展城市体检工作的指导意见》要求，全国各省需结合各地城市体检自评估报告，组织编制全省城市体检评估报告，查找分析全省城市短板弱项，建立健全“发现问题-解决问题-巩固提升”的城市体检工作机制。计划委托第三方专业机构编制陕西省2025年城市体检报告，对2025年全省城市体检工作开展评估，分析全省城市发展的主要成效和面临的突出问题，并对比2024年度城市体检成果，总结全省体检报告应用及成果转化情况，形成全省城市体检报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代理机构现场查询。</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10、联合体：本项目不接受联合体响应，不允许分包；供应商需在项目电子化交易系统中按要求填写《承诺书》完成承诺并进行电子签章。</w:t>
      </w:r>
    </w:p>
    <w:p>
      <w:pPr>
        <w:pStyle w:val="null3"/>
      </w:pPr>
      <w:r>
        <w:rPr>
          <w:rFonts w:ascii="仿宋_GB2312" w:hAnsi="仿宋_GB2312" w:cs="仿宋_GB2312" w:eastAsia="仿宋_GB2312"/>
        </w:rPr>
        <w:t>11、资质要求：具有城乡规划编制甲级资质。</w:t>
      </w:r>
    </w:p>
    <w:p>
      <w:pPr>
        <w:pStyle w:val="null3"/>
      </w:pPr>
      <w:r>
        <w:rPr>
          <w:rFonts w:ascii="仿宋_GB2312" w:hAnsi="仿宋_GB2312" w:cs="仿宋_GB2312" w:eastAsia="仿宋_GB2312"/>
        </w:rPr>
        <w:t>12、项目负责人：拟派项目负责人须具备相关专业高级职称或注册规划师资格。</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陕西省住房和城乡建设厅机关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西安市新城广场陕西省人民政府院内前大楼9楼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陕西省住房和城乡建设厅机关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63915803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陕西大同项目管理有限公司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陕西省西安市国家民用航天产业基地航天新经济科技园北区2号楼8层北户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张秋秋、杨皎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02989689227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以成交价格为计算基数，参照国家发展计划委员会计价格[2002]1980号文件及国家发展和改革委员会办公厅颁发的《关于招标代理服务收费有关问题的通知》（发改价格[2011]534号）规定的服务类标准（不作上下浮动）进行收取，招标代理服务费金额不足5000元按照5000元收取。具体收费金额在成交公告中公布。 2.代理服务费缴纳账户信息： 户名：陕西大同项目管理有限公司 开户行名称：中国银行西安高新科技支行 账号：102451771385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陕西省住房和城乡建设厅机关</w:t>
      </w:r>
      <w:r>
        <w:rPr>
          <w:rFonts w:ascii="仿宋_GB2312" w:hAnsi="仿宋_GB2312" w:cs="仿宋_GB2312" w:eastAsia="仿宋_GB2312"/>
        </w:rPr>
        <w:t>和</w:t>
      </w:r>
      <w:r>
        <w:rPr>
          <w:rFonts w:ascii="仿宋_GB2312" w:hAnsi="仿宋_GB2312" w:cs="仿宋_GB2312" w:eastAsia="仿宋_GB2312"/>
        </w:rPr>
        <w:t>陕西大同项目管理有限公司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陕西省住房和城乡建设厅机关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陕西大同项目管理有限公司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陕西省住房和城乡建设厅机关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陕西大同项目管理有限公司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按照现行的有关国家标准、规范执行，质量要求合格以上。</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陕西大同项目管理有限公司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陕西大同项目管理有限公司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陕西大同项目管理有限公司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联系人：张秋秋、杨皎</w:t>
      </w:r>
    </w:p>
    <w:p>
      <w:pPr>
        <w:pStyle w:val="null3"/>
      </w:pPr>
      <w:r>
        <w:rPr>
          <w:rFonts w:ascii="仿宋_GB2312" w:hAnsi="仿宋_GB2312" w:cs="仿宋_GB2312" w:eastAsia="仿宋_GB2312"/>
        </w:rPr>
        <w:t>联系电话：029-89689227</w:t>
      </w:r>
    </w:p>
    <w:p>
      <w:pPr>
        <w:pStyle w:val="null3"/>
      </w:pPr>
      <w:r>
        <w:rPr>
          <w:rFonts w:ascii="仿宋_GB2312" w:hAnsi="仿宋_GB2312" w:cs="仿宋_GB2312" w:eastAsia="仿宋_GB2312"/>
        </w:rPr>
        <w:t>地址：陕西省西安市国家民用航天产业基地航天新经济科技园北区2号楼8层北户</w:t>
      </w:r>
    </w:p>
    <w:p>
      <w:pPr>
        <w:pStyle w:val="null3"/>
      </w:pPr>
      <w:r>
        <w:rPr>
          <w:rFonts w:ascii="仿宋_GB2312" w:hAnsi="仿宋_GB2312" w:cs="仿宋_GB2312" w:eastAsia="仿宋_GB2312"/>
        </w:rPr>
        <w:t>邮编：710100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陕西省2025年城市体检报告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陕西省2025城市体检报告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标的名称：陕西省2025城市体检报告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rPr>
              <w:t>一、项目概况：</w:t>
            </w:r>
            <w:r>
              <w:rPr>
                <w:rFonts w:ascii="仿宋_GB2312" w:hAnsi="仿宋_GB2312" w:cs="仿宋_GB2312" w:eastAsia="仿宋_GB2312"/>
                <w:sz w:val="28"/>
                <w:color w:val="222222"/>
                <w:shd w:fill="FFFFFF" w:val="clear"/>
              </w:rPr>
              <w:t>陕西省</w:t>
            </w:r>
            <w:r>
              <w:rPr>
                <w:rFonts w:ascii="仿宋_GB2312" w:hAnsi="仿宋_GB2312" w:cs="仿宋_GB2312" w:eastAsia="仿宋_GB2312"/>
                <w:sz w:val="28"/>
                <w:color w:val="222222"/>
                <w:shd w:fill="FFFFFF" w:val="clear"/>
              </w:rPr>
              <w:t>2025年城市体检报告</w:t>
            </w:r>
          </w:p>
          <w:p>
            <w:pPr>
              <w:pStyle w:val="null3"/>
              <w:jc w:val="left"/>
            </w:pPr>
            <w:r>
              <w:rPr>
                <w:rFonts w:ascii="仿宋_GB2312" w:hAnsi="仿宋_GB2312" w:cs="仿宋_GB2312" w:eastAsia="仿宋_GB2312"/>
                <w:sz w:val="28"/>
              </w:rPr>
              <w:t>二、技术要求：</w:t>
            </w:r>
            <w:r>
              <w:rPr>
                <w:rFonts w:ascii="仿宋_GB2312" w:hAnsi="仿宋_GB2312" w:cs="仿宋_GB2312" w:eastAsia="仿宋_GB2312"/>
                <w:sz w:val="28"/>
              </w:rPr>
              <w:t>陕西省</w:t>
            </w:r>
            <w:r>
              <w:rPr>
                <w:rFonts w:ascii="仿宋_GB2312" w:hAnsi="仿宋_GB2312" w:cs="仿宋_GB2312" w:eastAsia="仿宋_GB2312"/>
                <w:sz w:val="28"/>
              </w:rPr>
              <w:t>2025城市体检报告为贯彻落实总书记关于建立“城市体检”评估机制的重要指示精神，按照住房和城乡建设部《关于全面开展城市体检工作的指导意见》要求，全国各省需结合各地城市体检自评估报告，组织编制全省城市体检评估报告，查找分析全省城市短板弱项，建立健全“发现问题-解决问题-巩固提升”的城市体检工作机制。计划委托第三方专业机构编制陕西省2025年城市体检报告，对2025年全省城市体检工作开展评估，分析全省城市发展的主要成效和面临的突出问题，并对比2024年度城市体检成果，总结全省体检报告应用及成果转化情况，形成全省城市体检报告。</w:t>
            </w:r>
          </w:p>
          <w:p>
            <w:pPr>
              <w:pStyle w:val="null3"/>
              <w:spacing w:after="120"/>
              <w:jc w:val="both"/>
            </w:pPr>
            <w:r>
              <w:rPr>
                <w:rFonts w:ascii="仿宋_GB2312" w:hAnsi="仿宋_GB2312" w:cs="仿宋_GB2312" w:eastAsia="仿宋_GB2312"/>
                <w:sz w:val="28"/>
              </w:rPr>
              <w:t>三、合同履行期限：自合同签订之日起</w:t>
            </w:r>
            <w:r>
              <w:rPr>
                <w:rFonts w:ascii="仿宋_GB2312" w:hAnsi="仿宋_GB2312" w:cs="仿宋_GB2312" w:eastAsia="仿宋_GB2312"/>
                <w:sz w:val="28"/>
              </w:rPr>
              <w:t>120日</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以文件为主</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代理机构现场查询。</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具有城乡规划编制甲级资质。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拟派项目负责人须具备相关专业高级职称或注册规划师资格。</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中小企业声明函 承诺书.docx 报价表 技术指标偏差表.docx 商务条款响应说明.docx 响应文件封面 法定代表人身份证明书.docx 供应商应提交的相关资格证明材料.docx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针对本项目提供的整体服务方案内容，包括但不限于：(1)服务思路(2)服务内容(3)服务方法(4)服务体系(5)服务响应机制(6)服务承诺等；以上(1)-(6)项内容齐全且无缺陷的得18分，每有一项内容缺项的扣3分;每存在一项缺陷的扣1分，扣完为止。无此项描述的不得分。(“缺陷”是指以下任意一种情形：数据、名称、专业术语及符号、文字表述错误；或前后矛盾；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项目理解和熟悉程度</w:t>
            </w:r>
          </w:p>
        </w:tc>
        <w:tc>
          <w:tcPr>
            <w:tcW w:type="dxa" w:w="2492"/>
          </w:tcPr>
          <w:p>
            <w:pPr>
              <w:pStyle w:val="null3"/>
            </w:pPr>
            <w:r>
              <w:rPr>
                <w:rFonts w:ascii="仿宋_GB2312" w:hAnsi="仿宋_GB2312" w:cs="仿宋_GB2312" w:eastAsia="仿宋_GB2312"/>
              </w:rPr>
              <w:t>针对本项目提供的对项目理解和热悉程度内容，包括但不限于:(1)目标任务(2)工作内容(3)重点、难点理解及分析等； 以上(1)-(3)项内容齐全且无缺陷的得9分，每有一项内容缺项的扣3分;每存在一项缺陷的扣1分，扣完为止。无此项描述的不得分。(“缺陷”是指以下任意一种情形：数据、名称、专业术语及符号、文字表述错误；或前后矛后；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针对本项目提供的质量保障措施内容，包括但不限于:(1)质量管理方案(2)质量管理机构及职责(3)质量保证措施(4)质量保障承诺; 以上(1)-(4)项内容齐全且无缺陷的得12分，每有-项内容缺项的扣3分;每存在一项缺陷的扣1分，扣完为止。无此项描述的不得分。(“缺陷”是指以下任意一种情形：数据、名称、专业术语及符号、文字表述错误；或前后矛后；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进度安排及保障措施</w:t>
            </w:r>
          </w:p>
        </w:tc>
        <w:tc>
          <w:tcPr>
            <w:tcW w:type="dxa" w:w="2492"/>
          </w:tcPr>
          <w:p>
            <w:pPr>
              <w:pStyle w:val="null3"/>
            </w:pPr>
            <w:r>
              <w:rPr>
                <w:rFonts w:ascii="仿宋_GB2312" w:hAnsi="仿宋_GB2312" w:cs="仿宋_GB2312" w:eastAsia="仿宋_GB2312"/>
              </w:rPr>
              <w:t>针对本项目提供的进度安排及保障措施内容，包括但不限于:(1)进度计划(2)工作部署(3)各阶段实施流程(4)进度保障措施；以上(1)-(4)项内容齐全且无缺陷的得12分，每有一项内容缺项的扣3分;每存在一项缺陷的扣1分，扣完为止。无此项描述的不得分。(“缺陷”是指以下任意一种情形：数据、名称、专业术语及符号、文字表述错误；或前后矛后；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供应商结合自身技术优势，充分考虑用户的需求发展，提出创新、创优等合理化建议。每条有实质性的合理化建议的得1分，最多4分。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提供近三年（2022年1月至今）签署的同类项目业绩。每提供一项得2分（以加盖公章的中标通知书或合同复印件为准），满分12分。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工期及服务承诺</w:t>
            </w:r>
          </w:p>
        </w:tc>
        <w:tc>
          <w:tcPr>
            <w:tcW w:type="dxa" w:w="2492"/>
          </w:tcPr>
          <w:p>
            <w:pPr>
              <w:pStyle w:val="null3"/>
            </w:pPr>
            <w:r>
              <w:rPr>
                <w:rFonts w:ascii="仿宋_GB2312" w:hAnsi="仿宋_GB2312" w:cs="仿宋_GB2312" w:eastAsia="仿宋_GB2312"/>
              </w:rPr>
              <w:t>工期保证、服务内容、承诺全面，对本项目有技术支持度及跟踪服务能力。①内容具体、完整、详细、全面、可行性强，计3-6分； ②内容欠缺、薄弱、仅能满足项目需求，计 1-3分； 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项目团队配备</w:t>
            </w:r>
          </w:p>
        </w:tc>
        <w:tc>
          <w:tcPr>
            <w:tcW w:type="dxa" w:w="2492"/>
          </w:tcPr>
          <w:p>
            <w:pPr>
              <w:pStyle w:val="null3"/>
            </w:pPr>
            <w:r>
              <w:rPr>
                <w:rFonts w:ascii="仿宋_GB2312" w:hAnsi="仿宋_GB2312" w:cs="仿宋_GB2312" w:eastAsia="仿宋_GB2312"/>
              </w:rPr>
              <w:t>拟派项目团队中每具有1名与本项目相关的高级职称或国家注册类证书的得3分，最高得12分。 注：提供人员职称证书或注册证书。</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价格分统一采用低价优先法计算，即满足磋商文件要求且最低的磋商报价为评审基准价，其价格分为满分。其他供应商的价格分统一按照下列公式计算：价格分=(评审基准价／磋商报价)×报价得分分值； 注：计算分数时四舍五入取小数点后两位。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