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版本号：SZB-2025-002-1520250819001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陕西省2024年度知识产权保护社会满意度调查项目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SZB-2025-002-15</w:t>
      </w:r>
      <w:r>
        <w:br/>
      </w:r>
      <w:r>
        <w:br/>
      </w:r>
      <w:r>
        <w:br/>
      </w:r>
    </w:p>
    <w:p>
      <w:pPr>
        <w:pStyle w:val="null3"/>
        <w:jc w:val="center"/>
        <w:outlineLvl w:val="2"/>
      </w:pPr>
      <w:r>
        <w:rPr>
          <w:rFonts w:ascii="仿宋_GB2312" w:hAnsi="仿宋_GB2312" w:cs="仿宋_GB2312" w:eastAsia="仿宋_GB2312"/>
          <w:sz w:val="28"/>
          <w:b/>
        </w:rPr>
        <w:t>陕西省知识产权局机关</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陕西省2024年度知识产权保护社会满意度调查项目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SZB-2025-002-15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陕西省2024年度知识产权保护社会满意度调查项目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开展知识产权保护社会满意度调查工作，统计分析不同群体（社会公众、知识产权权利人、专业人士和特殊群体）对知识产权保护社会满意度的总体情况，综合评估全省知识产权保护工作的整体结果和社会影响，对全省各市（区）知识产权保护社会满意度情况进行排序。形成陕西省2024年度知识产权保护社会满意度调查报告，为加强全省知识产权保护顶层设计、明确工作重点以及重大决策提供数据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2、法定代表人授权委托书：法定代表人参加投标的，提供本人身份证复印件；法定代表人授权他人参加投标的，提供法定代表人授权委托书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3、财务状况报告：财务状况报告：提供 2024 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4、社保缴纳证明：提供供应商2025年1月以来已缴存的任意时段的社会保障资金缴存单据或社保机构开具的社会保险参保缴费情况证明，依法不需要缴纳社会保障资金的应提供相关文件证明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5、税收缴纳证明：提供2025年1月以来已缴纳任意时段完税凭证或税务机关开具的完税证明（任意税种），依法免税的应提供相关文件证明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8、信用主体查询：供应商通过“信用中国”网站(www.creditchina.gov.cn)查询相关主体信用记录，查询时间须在采购文件发售期至开标截止时间之间，并将网页截图附在响应文件中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13389273101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按国家计委颁发的《招标代理服务收费管理暂行办法》（计价格[2002]1980号）计算收取，支付依据：按（发改办价格【2003】857号文件），由中标供应商在领取中标通知书时向招标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联系人：李楠</w:t>
      </w:r>
    </w:p>
    <w:p>
      <w:pPr>
        <w:pStyle w:val="null3"/>
      </w:pPr>
      <w:r>
        <w:rPr>
          <w:rFonts w:ascii="仿宋_GB2312" w:hAnsi="仿宋_GB2312" w:cs="仿宋_GB2312" w:eastAsia="仿宋_GB2312"/>
        </w:rPr>
        <w:t>联系电话：18821775788</w:t>
      </w:r>
    </w:p>
    <w:p>
      <w:pPr>
        <w:pStyle w:val="null3"/>
      </w:pPr>
      <w:r>
        <w:rPr>
          <w:rFonts w:ascii="仿宋_GB2312" w:hAnsi="仿宋_GB2312" w:cs="仿宋_GB2312" w:eastAsia="仿宋_GB2312"/>
        </w:rPr>
        <w:t>地址：西安市雁翔路99号交大博源科技广场C座12层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知识产权保护社会满意度调查工作，统计分析不同群体（社会公众、知识产权权利人、专业人士和特殊群体）对知识产权保护社会满意度的总体情况，综合评估全省知识产权保护工作的整体结果和社会影响，对全省各市（区）知识产权保护社会满意度情况进行排序。形成陕西省2024年度知识产权保护社会满意度调查报告，为加强全省知识产权保护顶层设计、明确工作重点以及重大决策提供数据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陕西省2024年度知识产权保护社会满意度调查项目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标的名称：陕西省2024年度知识产权保护社会满意度调查项目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本次全省知识产权保护社会满意度调查中所指的知识产权主要包括：专利权、商标权、著作权、地理标志和特殊标志。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left"/>
            </w:pPr>
            <w:r>
              <w:rPr>
                <w:rFonts w:ascii="仿宋_GB2312" w:hAnsi="仿宋_GB2312" w:cs="仿宋_GB2312" w:eastAsia="仿宋_GB2312"/>
                <w:sz w:val="28"/>
                <w:color w:val="333333"/>
                <w:shd w:fill="FFFFFF" w:val="clear"/>
              </w:rPr>
              <w:t>调查对象范围</w:t>
            </w:r>
            <w:r>
              <w:rPr>
                <w:rFonts w:ascii="仿宋_GB2312" w:hAnsi="仿宋_GB2312" w:cs="仿宋_GB2312" w:eastAsia="仿宋_GB2312"/>
                <w:sz w:val="28"/>
                <w:color w:val="333333"/>
                <w:shd w:fill="FFFFFF" w:val="clear"/>
              </w:rPr>
              <w:t>陕西省</w:t>
            </w:r>
            <w:r>
              <w:rPr>
                <w:rFonts w:ascii="仿宋_GB2312" w:hAnsi="仿宋_GB2312" w:cs="仿宋_GB2312" w:eastAsia="仿宋_GB2312"/>
                <w:sz w:val="28"/>
                <w:color w:val="333333"/>
                <w:shd w:fill="FFFFFF" w:val="clear"/>
              </w:rPr>
              <w:t>12个市（区）：西安市、宝鸡市、咸阳市、铜川市、渭南市、延安市、榆林市、汉中市、安康市、商洛市、韩城市、杨凌示范区。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 2024 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提供供应商2025年1月以来已缴存的任意时段的社会保障资金缴存单据或社保机构开具的社会保险参保缴费情况证明，依法不需要缴纳社会保障资金的应提供相关文件证明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对本项目的解读与掌握情况：根据对本项目背景、现状、目标、内容和要求的理解情况，提供针对知识产权保护社会满意度调查工作的实施方案。方案框架结构清晰，体系完善，达到服务标准，得8.1-15分；方案框架结构基本清晰，体系较完善，得3.1-8分；方案不清晰，不能到达服务标准，得0.1-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本项目整体实施方案：供应商提供的项目整体实施方案科学、实用。项目实施方案内容完整，与项目业务内容高度吻合，有着完善、严格规范的项目过程管理、文档管理、风险管理等方案，得7.1-11分；实施方案内容基本完整，与项目业务基本吻合得3.1-7分；实施方案内容不完整或者与项目业务相关性弱得0.1-3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技术路线和方法：项目实施的技术路线清晰、全面，方法科学合理，技术指标明确得5.1-10分；项目实施的技术路线基本清晰全面，方法可行得2.1-5分；项目实施的技术路线不够清晰，方法简单不利于项目实施的得0.1-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流程清晰、方法得当，可行性强，完全满足采购人的要求得5.1-8分；流程基本全面，满足采购人要求得2.1-5分；技术方法、流程不完善，不利于项目实施的得0.1-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结合本项目要求，阐述服务时效及进度的保障措施，时间进度安排合理、可行，完全满足采购要求得5.1-7分；措施基本合理，满足项目需求得2.1-5分；措施简单，不利于项目实施得0.1-2分；未提供不得分。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数据保密性、数据严谨性、质量保障体系及措施完善、可行，质量有保障、质保合理、严谨，4.1-7分；数据保密性、严谨性、质量保障体系及措施基本可行，质量、质保基本合理，2.1-4分；数据保密性、严谨性、质量保障体系及措施一般，质量、质保合理性较差，0.1-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调查工作人员配备合理、充足，调研工作成立专项小组，专业调查员和一般调查员搭配合理，各岗位职责明确，满足调整需求，根据响应程度计10.1-12分；有人员安排，能保证项目顺利实施的得6.1-10分；人员安排简单得3.1-6分；人员安排不明确，不利于项目实施得0.1-3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提供供应商2022年1月1日至今同类项目合同（以合同签订日期为准），每提供1个得2分，最高得10分。 备注：响应文件中上传合同扫描件并加盖公章。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针对本项目有明确的服务承诺和合理化建议。服务承诺及建议合理可行得6.1-10分；服务承诺及建议基本合理可行得3.1-6分；服务承诺宽泛不利于项目实施的得0.1-3分；未提供的不得分。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采用低价优先法计算，即满足磋商文件要求且最后报价最低的供应商的价格为磋商基准价，其报价得分为满分。其他供应商的价格分统一按照下列公式计算：磋商报价得分=（磋商基准价/最后磋商报价）×10 （保留小数点后两位,小数点后第三位四舍五入）项目评审过程中，不得去掉最后报价中的最高报价和最低报价。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