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版本号：DTZB-202502920250820001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县城建设年度发展水平分析报告</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DTZB-2025029</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县城建设年度发展水平分析报告</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县城建设年度发展水平分析报告</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县城建设年度发展水平分析报告按照《关于推进以县城为重要载体的城镇化建设的意见》和《关于推动县域经济高质量发展的若干政策措施》有关要求，按照目标导向、问题导向的原则，以项目建设为核心，以提升县城承载能力为着力点，对全省2024年度县城建设发展情况进行分析，形成县城建设年度发展水平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10、联合体：本项目接受联合体响应；供应商需在项目电子化交易系统中按要求填写《联合体协议书》并进行电子签章。</w:t>
      </w:r>
    </w:p>
    <w:p>
      <w:pPr>
        <w:pStyle w:val="null3"/>
      </w:pPr>
      <w:r>
        <w:rPr>
          <w:rFonts w:ascii="仿宋_GB2312" w:hAnsi="仿宋_GB2312" w:cs="仿宋_GB2312" w:eastAsia="仿宋_GB2312"/>
        </w:rPr>
        <w:t>11、资质要求：供应商应为高等院校或具备行政主管部门颁发的工程咨询单位乙级资信证书及以上资质设计研究单位。</w:t>
      </w:r>
    </w:p>
    <w:p>
      <w:pPr>
        <w:pStyle w:val="null3"/>
      </w:pPr>
      <w:r>
        <w:rPr>
          <w:rFonts w:ascii="仿宋_GB2312" w:hAnsi="仿宋_GB2312" w:cs="仿宋_GB2312" w:eastAsia="仿宋_GB2312"/>
        </w:rPr>
        <w:t>12、项目负责人：拟派项目负责人须具备相关专业高级职称或注册规划师资格。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陕西省住房和城乡建设厅机关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张秋秋、杨皎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 2.代理服务费缴纳账户信息： 户名：陕西大同项目管理有限公司 开户行名称：中国银行西安高新科技支行 账号：102451771385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按照现行的有关国家标准、规范执行，质量要求合格以上。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联系人：张秋秋、杨皎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县城建设年度发展水平分析报告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县城建设年度发展水平分析报告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标的名称：县城建设年度发展水平分析报告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一、项目概况：县城建设年度发展水平分析报告</w:t>
            </w:r>
          </w:p>
          <w:p>
            <w:pPr>
              <w:pStyle w:val="null3"/>
              <w:jc w:val="left"/>
            </w:pPr>
            <w:r>
              <w:rPr>
                <w:rFonts w:ascii="仿宋_GB2312" w:hAnsi="仿宋_GB2312" w:cs="仿宋_GB2312" w:eastAsia="仿宋_GB2312"/>
                <w:sz w:val="28"/>
              </w:rPr>
              <w:t>二、技术要求：</w:t>
            </w:r>
            <w:r>
              <w:rPr>
                <w:rFonts w:ascii="仿宋_GB2312" w:hAnsi="仿宋_GB2312" w:cs="仿宋_GB2312" w:eastAsia="仿宋_GB2312"/>
                <w:sz w:val="28"/>
              </w:rPr>
              <w:t>县城建设年度发展水平分析报告按照《关于推进以县城为重要载体的城镇化建设的意见》和《关于推动县域经济高质量发展的若干政策措施》有关要求，按照目标导向、问题导向的</w:t>
            </w:r>
            <w:r>
              <w:rPr>
                <w:rFonts w:ascii="仿宋_GB2312" w:hAnsi="仿宋_GB2312" w:cs="仿宋_GB2312" w:eastAsia="仿宋_GB2312"/>
                <w:sz w:val="28"/>
              </w:rPr>
              <w:t>原则，以项目建设为核心，以提升县城承载能力为着力点，</w:t>
            </w:r>
            <w:r>
              <w:rPr>
                <w:rFonts w:ascii="仿宋_GB2312" w:hAnsi="仿宋_GB2312" w:cs="仿宋_GB2312" w:eastAsia="仿宋_GB2312"/>
                <w:sz w:val="28"/>
              </w:rPr>
              <w:t>对全省</w:t>
            </w:r>
            <w:r>
              <w:rPr>
                <w:rFonts w:ascii="仿宋_GB2312" w:hAnsi="仿宋_GB2312" w:cs="仿宋_GB2312" w:eastAsia="仿宋_GB2312"/>
                <w:sz w:val="28"/>
              </w:rPr>
              <w:t>202</w:t>
            </w:r>
            <w:r>
              <w:rPr>
                <w:rFonts w:ascii="仿宋_GB2312" w:hAnsi="仿宋_GB2312" w:cs="仿宋_GB2312" w:eastAsia="仿宋_GB2312"/>
                <w:sz w:val="28"/>
              </w:rPr>
              <w:t>4</w:t>
            </w:r>
            <w:r>
              <w:rPr>
                <w:rFonts w:ascii="仿宋_GB2312" w:hAnsi="仿宋_GB2312" w:cs="仿宋_GB2312" w:eastAsia="仿宋_GB2312"/>
                <w:sz w:val="28"/>
              </w:rPr>
              <w:t>年度县城建设发展情况</w:t>
            </w:r>
            <w:r>
              <w:rPr>
                <w:rFonts w:ascii="仿宋_GB2312" w:hAnsi="仿宋_GB2312" w:cs="仿宋_GB2312" w:eastAsia="仿宋_GB2312"/>
                <w:sz w:val="28"/>
              </w:rPr>
              <w:t>进行</w:t>
            </w:r>
            <w:r>
              <w:rPr>
                <w:rFonts w:ascii="仿宋_GB2312" w:hAnsi="仿宋_GB2312" w:cs="仿宋_GB2312" w:eastAsia="仿宋_GB2312"/>
                <w:sz w:val="28"/>
              </w:rPr>
              <w:t>分析</w:t>
            </w:r>
            <w:r>
              <w:rPr>
                <w:rFonts w:ascii="仿宋_GB2312" w:hAnsi="仿宋_GB2312" w:cs="仿宋_GB2312" w:eastAsia="仿宋_GB2312"/>
                <w:sz w:val="28"/>
              </w:rPr>
              <w:t>，</w:t>
            </w:r>
            <w:r>
              <w:rPr>
                <w:rFonts w:ascii="仿宋_GB2312" w:hAnsi="仿宋_GB2312" w:cs="仿宋_GB2312" w:eastAsia="仿宋_GB2312"/>
                <w:sz w:val="28"/>
              </w:rPr>
              <w:t>形成县城建设年度发展水平</w:t>
            </w:r>
            <w:r>
              <w:rPr>
                <w:rFonts w:ascii="仿宋_GB2312" w:hAnsi="仿宋_GB2312" w:cs="仿宋_GB2312" w:eastAsia="仿宋_GB2312"/>
                <w:sz w:val="28"/>
              </w:rPr>
              <w:t>报告</w:t>
            </w:r>
            <w:r>
              <w:rPr>
                <w:rFonts w:ascii="仿宋_GB2312" w:hAnsi="仿宋_GB2312" w:cs="仿宋_GB2312" w:eastAsia="仿宋_GB2312"/>
                <w:sz w:val="28"/>
              </w:rPr>
              <w:t>。</w:t>
            </w:r>
          </w:p>
          <w:p>
            <w:pPr>
              <w:pStyle w:val="null3"/>
              <w:spacing w:after="120"/>
              <w:jc w:val="both"/>
            </w:pPr>
            <w:r>
              <w:rPr>
                <w:rFonts w:ascii="仿宋_GB2312" w:hAnsi="仿宋_GB2312" w:cs="仿宋_GB2312" w:eastAsia="仿宋_GB2312"/>
                <w:sz w:val="28"/>
              </w:rPr>
              <w:t>三、合同履行期限：自合同签订之日起</w:t>
            </w:r>
            <w:r>
              <w:rPr>
                <w:rFonts w:ascii="仿宋_GB2312" w:hAnsi="仿宋_GB2312" w:cs="仿宋_GB2312" w:eastAsia="仿宋_GB2312"/>
                <w:sz w:val="28"/>
              </w:rPr>
              <w:t>180日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满足文件要求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满足文件要求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以文件为主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本项目接受联合体响应；供应商需在项目电子化交易系统中按要求填写《联合体协议书》并进行电子签章。</w:t>
            </w:r>
          </w:p>
        </w:tc>
        <w:tc>
          <w:tcPr>
            <w:tcW w:type="dxa" w:w="1661"/>
          </w:tcPr>
          <w:p>
            <w:pPr>
              <w:pStyle w:val="null3"/>
            </w:pPr>
            <w:r>
              <w:rPr>
                <w:rFonts w:ascii="仿宋_GB2312" w:hAnsi="仿宋_GB2312" w:cs="仿宋_GB2312" w:eastAsia="仿宋_GB2312"/>
              </w:rPr>
              <w:t>承诺书.docx 联合体协议书.docx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供应商应为高等院校或具备行政主管部门颁发的工程咨询单位乙级资信证书及以上资质设计研究单位。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拟派项目负责人须具备相关专业高级职称或注册规划师资格。</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中小企业声明函 承诺书.docx 报价表 技术指标偏差表.docx 商务条款响应说明.docx 响应文件封面 法定代表人身份证明书.docx 供应商应提交的相关资格证明材料.docx 残疾人福利性单位声明函 标的清单 联合体协议书.docx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制(6)服务承诺等；以上(1)-(6)项内容齐全且无缺陷的得18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项目理解和熟悉程度</w:t>
            </w:r>
          </w:p>
        </w:tc>
        <w:tc>
          <w:tcPr>
            <w:tcW w:type="dxa" w:w="2492"/>
          </w:tcPr>
          <w:p>
            <w:pPr>
              <w:pStyle w:val="null3"/>
            </w:pPr>
            <w:r>
              <w:rPr>
                <w:rFonts w:ascii="仿宋_GB2312" w:hAnsi="仿宋_GB2312" w:cs="仿宋_GB2312" w:eastAsia="仿宋_GB2312"/>
              </w:rPr>
              <w:t>针对本项目提供的对项目理解和热悉程度内容，包括但不限于:(1)目标任务(2)工作内容(3)重点、难点理解及分析等； 以上(1)-(3)项内容齐全且无缺陷的得9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针对本项目提供的质量保障措施内容，包括但不限于:(1)质量管理方案(2)质量管理机构及职责(3)质量保证措施(4)质量保障承诺; 以上(1)-(4)项内容齐全且无缺陷的得12分，每有-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针对本项目提供的进度安排及保障措施内容，包括但不限于:(1)进度计划(2)工作部署(3)各阶段实施流程(4)进度保障措施；以上(1)-(4)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供应商结合自身技术优势，充分考虑用户的需求发展，提出创新、创优等合理化建议。每条有实质性的合理化建议的得1分，最多4分。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提供近三年（2022年1月至今）签署的同类项目业绩。每提供一项得2分（以加盖公章的中标通知书或合同复印件为准），满分12分。 注：以牵头人业绩为准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工期及服务承诺</w:t>
            </w:r>
          </w:p>
        </w:tc>
        <w:tc>
          <w:tcPr>
            <w:tcW w:type="dxa" w:w="2492"/>
          </w:tcPr>
          <w:p>
            <w:pPr>
              <w:pStyle w:val="null3"/>
            </w:pPr>
            <w:r>
              <w:rPr>
                <w:rFonts w:ascii="仿宋_GB2312" w:hAnsi="仿宋_GB2312" w:cs="仿宋_GB2312" w:eastAsia="仿宋_GB2312"/>
              </w:rPr>
              <w:t>工期保证、服务内容、承诺全面，对本项目有技术支持度及跟踪服务能力。①内容具体、完整、详细、全面、可行性强，计3-6分； ②内容欠缺、薄弱、仅能满足项目需求，计 1-3分； 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拟派项目团队中每具有1名与本项目相关的高级职称或国家注册类证书的得3分，最高得12分。 注：提供人员职称证书或注册证书。</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标的清单 报价表 联合体协议书.docx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详见附件：联合体协议书.docx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