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版本号：DTZB-202502620250820001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县城建设绩效评估报告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DTZB-2025026</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县城建设绩效评估报告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县城建设绩效评估报告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全省县城建设绩效开展系统评估工作，以县城制度机制与规划管控、人居环境与特色风貌、市政设施建设、公共服务设施、发展水平与民意测评为切入点，通过对陕西76个县城（县级市）系统评估，全面准确评估“十四五”期间陕西省县城建设工作整体情况，及时发现县城建设过程中存在的突出问题，充分运用评估结果，指导“十五五”期间全省县城建设政策的制定，切实提高全省县城建设整体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按照现行的有关国家标准、规范执行，质量要求合格以上。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县城建设绩效评估报告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县城建设绩效评估报告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标的名称：县城建设绩效评估报告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color w:val="222222"/>
                <w:shd w:fill="FFFFFF" w:val="clear"/>
              </w:rPr>
              <w:t>一、项目概况：</w:t>
            </w:r>
            <w:r>
              <w:rPr>
                <w:rFonts w:ascii="仿宋_GB2312" w:hAnsi="仿宋_GB2312" w:cs="仿宋_GB2312" w:eastAsia="仿宋_GB2312"/>
                <w:sz w:val="30"/>
              </w:rPr>
              <w:t>县城建设绩效评估报告</w:t>
            </w:r>
          </w:p>
          <w:p>
            <w:pPr>
              <w:pStyle w:val="null3"/>
              <w:jc w:val="left"/>
            </w:pPr>
            <w:r>
              <w:rPr>
                <w:rFonts w:ascii="仿宋_GB2312" w:hAnsi="仿宋_GB2312" w:cs="仿宋_GB2312" w:eastAsia="仿宋_GB2312"/>
                <w:sz w:val="28"/>
                <w:color w:val="222222"/>
                <w:shd w:fill="FFFFFF" w:val="clear"/>
              </w:rPr>
              <w:t>二、技术要求：</w:t>
            </w:r>
            <w:r>
              <w:rPr>
                <w:rFonts w:ascii="仿宋_GB2312" w:hAnsi="仿宋_GB2312" w:cs="仿宋_GB2312" w:eastAsia="仿宋_GB2312"/>
                <w:sz w:val="28"/>
              </w:rPr>
              <w:t>对全省县城建设绩效开展系统评估工作，以县城制度机制与规划管控、人居环境与特色风貌、市政设施建设、公共服务设施、发展水平与民意测评为切入点，通过对陕西</w:t>
            </w:r>
            <w:r>
              <w:rPr>
                <w:rFonts w:ascii="仿宋_GB2312" w:hAnsi="仿宋_GB2312" w:cs="仿宋_GB2312" w:eastAsia="仿宋_GB2312"/>
                <w:sz w:val="28"/>
              </w:rPr>
              <w:t>76个县城（县级市）系统评估，全面准确评估“十四五”期间陕西省县城建设工作整体情况，及时发现县城建设过程中存在的突出问题，充分运用评估结果，指导“十五五”期间全省县城建设政策的制定，切实提高全省县城建设整体水平。</w:t>
            </w:r>
          </w:p>
          <w:p>
            <w:pPr>
              <w:pStyle w:val="null3"/>
              <w:spacing w:after="120"/>
              <w:jc w:val="both"/>
            </w:pPr>
            <w:r>
              <w:rPr>
                <w:rFonts w:ascii="仿宋_GB2312" w:hAnsi="仿宋_GB2312" w:cs="仿宋_GB2312" w:eastAsia="仿宋_GB2312"/>
                <w:sz w:val="28"/>
              </w:rPr>
              <w:t>三、合同履行期限：自合同签订之日起</w:t>
            </w:r>
            <w:r>
              <w:rPr>
                <w:rFonts w:ascii="仿宋_GB2312" w:hAnsi="仿宋_GB2312" w:cs="仿宋_GB2312" w:eastAsia="仿宋_GB2312"/>
                <w:sz w:val="28"/>
              </w:rPr>
              <w:t>180日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提供近三年（2022年1月至今）签署的同类项目业绩。每提供一项得2分（以加盖公章的中标通知书或合同复印件为准），满分12分。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拟派项目团队中每具有1名与本项目相关的高级职称或国家注册类证书的得3分，最高得12分。 注：提供人员职称证书或注册证书。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