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版本号：SCZA2025-CS-1986-00120250820001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陕西省液化石油气瓶装供应站建设管理指南编制项目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SCZA2025-CS-1986-001</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陕西省液化石油气瓶装供应站建设管理指南编制项目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SCZA2025-CS-1986-001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陕西省液化石油气瓶装供应站建设管理指南编制项目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对省内城镇液化石油气瓶装供应站进行调研，分析存在问题形成现状分析报告，结合地方特点完成本省液化石油气瓶装供应站建设管理指南编制。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供应商在递交投标文件截止时间前被“信用中国”网站（www.creditchina.gov.cn）和中国政府采购网（www.ccgp.gov.cn）上被列入失信被执行人、重大税收违法失信主体、政府采购严重违法失信行为记录名单的，不得参加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西安市新城广场陕西省人民政府院内前大楼9楼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029-63918650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李盼盼、白国锋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银行账号：102462457638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代理服务费收费标准：参照原《国家计委关于印发&lt;招标代理服务收费管理暂行办法&gt;的通知》（计价格[2002]1980号）规定标准（按标段）收取，不足6000元按6000元收取。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地址：陕西省西安市雁塔区锦业路1号都市之门C座9层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对省内城镇液化石油气瓶装供应站进行调研，分析存在问题形成现状分析报告，结合地方特点完成本省液化石油气瓶装供应站建设管理指南编制。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编制液化石油气瓶装供应站建设管理指南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标的名称：编制液化石油气瓶装供应站建设管理指南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1.采购内容：对省内城镇液化石油气瓶装供应站进行调研，分析存在问题形成现状分析报告，结合地方特点完成本省液化石油气瓶装供应站建设管理指南编制。</w:t>
            </w:r>
          </w:p>
          <w:p>
            <w:pPr>
              <w:pStyle w:val="null3"/>
            </w:pPr>
            <w:r>
              <w:rPr>
                <w:rFonts w:ascii="仿宋_GB2312" w:hAnsi="仿宋_GB2312" w:cs="仿宋_GB2312" w:eastAsia="仿宋_GB2312"/>
              </w:rPr>
              <w:t>2.主要功能或目标： 按照国务院安委会《全国城镇燃气安全专项整治工作方案》（安委〔2023〕3号）、省安委会《全省城镇燃气安全专项整治工作方案》（陕安委〔2023〕16号）,要求切实强化瓶装液化石油气安全管理，提升城镇液化石油气瓶装供应站的建设管理水平。本项目通过对省内各地城镇液化石油气瓶装供应站现状进行调查研究，充分掌握现有问题、学习借鉴省外做法、结合各地实际情况编制本省液化石油气瓶装供应站建设管理指南，用以指导和规范全省城镇液化石油气瓶装供应站的建设管理工作，防控安全风险，增强安全保障，促进本省瓶装液化石油气行业高质量发展。</w:t>
            </w:r>
          </w:p>
          <w:p>
            <w:pPr>
              <w:pStyle w:val="null3"/>
            </w:pPr>
            <w:r>
              <w:rPr>
                <w:rFonts w:ascii="仿宋_GB2312" w:hAnsi="仿宋_GB2312" w:cs="仿宋_GB2312" w:eastAsia="仿宋_GB2312"/>
              </w:rPr>
              <w:t>3.需满足的要求：对省内各地城镇液化石油气瓶装供应站建设和运行管理等方面进行实地调研，分析存在问题并形成现状分析报告；在现状分析报告的基础上，借鉴省外经验做法并结合地方特点编制本省城镇液化石油气瓶装供应站建设管理指南，原则上要安全合规、技术可行、经济合理，符合国家和陕西省相关政策规范文件要求，适用于关中、陕北、陕南各地，包括设计、施工、验收等建设方面内容以及生产经营、设施设备、人员行为、应急处置等安全管理方面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自签订合同后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指南编制完成，获得陕西省住房和城乡建设厅审定后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按磋商文件格式要求加盖了供应商公章和有法定代表人/企业负责人或其授权代表签字或加盖人名章。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 弄虚作假、相互串通的情形见附注</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供应商提供的服务无实质性遗漏</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对本项目背景、政策解读与理解的深度、全面性、针对性及准确性；对现状情况收集与分析的全面性及准确性：（1）项目认知层次清晰、针对性强、与采购内容的吻合程度高的，得10分；（2）项目认知逻辑层次较清晰、针对性较强、与采购内容的吻合程度一般，内容较简单的，得6分；（3）项目认知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方案的完整性、严谨性、合理性、规范性：（1）方案逻辑层次清晰、针对性强、与采购内容的吻合程度高的，得10分；（2）方案逻辑层次较清晰、针对性较强、与采购内容的吻合程度一般，内容较简单的，得6分；（3）方案逻辑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对本项目提出的合理化意见与建议全面、具体、合理，可操作性强：（1）合理化建议层次清晰、针对性强、与采购内容的吻合程度高的，得10分；（2）合理化建议层次较清晰、针对性较强、与采购内容的吻合程度一般，内容较简单的，得6分；（3）合理化建议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根据供应商的团队人员配备情况进行评审： （1）团队组织架构、人员构成及分工合理，岗位设置明确得10分； （2）团队组织架构、人员构成及分工较为合理，岗位设置比较明确得6分； （3）团队组织架构、人员构成及分工基本合理，岗位设置基本明确得3分；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工作组织管理及重点、难点论述</w:t>
            </w:r>
          </w:p>
        </w:tc>
        <w:tc>
          <w:tcPr>
            <w:tcW w:type="dxa" w:w="2492"/>
          </w:tcPr>
          <w:p>
            <w:pPr>
              <w:pStyle w:val="null3"/>
            </w:pPr>
            <w:r>
              <w:rPr>
                <w:rFonts w:ascii="仿宋_GB2312" w:hAnsi="仿宋_GB2312" w:cs="仿宋_GB2312" w:eastAsia="仿宋_GB2312"/>
              </w:rPr>
              <w:t>1.根据方案的工作流程、进度计划、各阶段工作成果的完成时间计划的合理性、科学性综合比较：（1）对本次实施进度安排合理、详细具体，得10分；（2）对本次实施进度安排较合理、较详细计，得6分；（3）对本次实施进度安排不合理、不详细，得3分；（4）未提供的不得分。2. 针对本项目采购需求重点、难点进行论述：（1）项目需求重点、难点论述层次清晰、针对性强、与采购内容的吻合程度高的，得10分；（2）项目需求重点、难点论述层次较清晰、针对性较强、与采购内容的吻合程度一般，内容较简单的，得6分；（3）项目需求重点、难点论述层次不清晰、不全面，得3分；（4）未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供应商针对项目安全保密职责提供具体的保密措施，由磋商小组进行综合评审： （1）保密措施内容详细完整，且利于项目实施的得 10分；（2）保密措施内容满足本项目需求合理且不影响项目实施的得6分； (3)保密措施内容有欠缺，影响到项目实施的得 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提供2021年至今类似项目业绩，响应文件中附有合同作为证明文件，每提供一个业绩证明材料计2分，满分 10。（未提供或提供不全不得分）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针对本项目的质量要求、进度要求、时限要求等做出承诺：（1）承诺完整详细、描述清晰、内容科学合理、可实施性强的，得5分；（2）承诺较完整但简单、内容合理性及可实施性一般的，得3分；（3）承诺内容有缺失，影响到项目实施的，得1分；（4）未提供的不得分。 2.供应商针对项目后期服务等相关内容做出承诺，内容全面可行：（1）承诺完整详细、描述清晰、内容科学合理、可实施性强的，得5分；（2）承诺较完整但简单、内容合理性及可实施性一般的，得3分；（3）承诺内容有缺失，影响到项目实施的，得1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