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7661C">
      <w:pPr>
        <w:pStyle w:val="6"/>
        <w:spacing w:line="360" w:lineRule="auto"/>
        <w:ind w:firstLine="420"/>
        <w:jc w:val="center"/>
        <w:rPr>
          <w:rFonts w:hint="eastAsia" w:ascii="仿宋_GB2312" w:hAnsi="仿宋_GB2312" w:eastAsia="仿宋_GB2312" w:cs="仿宋_GB2312"/>
          <w:b/>
          <w:sz w:val="36"/>
        </w:rPr>
      </w:pPr>
      <w:r>
        <w:rPr>
          <w:rFonts w:hint="eastAsia" w:ascii="仿宋_GB2312" w:hAnsi="仿宋_GB2312" w:eastAsia="仿宋_GB2312" w:cs="仿宋_GB2312"/>
          <w:b/>
          <w:sz w:val="36"/>
        </w:rPr>
        <w:t>拟签订采购合同文本</w:t>
      </w:r>
    </w:p>
    <w:p w14:paraId="4330C0B2">
      <w:pPr>
        <w:pStyle w:val="6"/>
        <w:spacing w:line="360" w:lineRule="auto"/>
        <w:ind w:firstLine="42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 xml:space="preserve">合同编号： </w:t>
      </w:r>
    </w:p>
    <w:p w14:paraId="02DC2DA1">
      <w:pPr>
        <w:pStyle w:val="6"/>
        <w:spacing w:line="360" w:lineRule="auto"/>
        <w:ind w:firstLine="42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 xml:space="preserve">签订地点： </w:t>
      </w:r>
    </w:p>
    <w:p w14:paraId="7689BD79">
      <w:pPr>
        <w:pStyle w:val="6"/>
        <w:spacing w:line="360" w:lineRule="auto"/>
        <w:ind w:firstLine="420"/>
        <w:rPr>
          <w:rFonts w:hint="eastAsia" w:ascii="仿宋_GB2312" w:hAnsi="仿宋_GB2312" w:eastAsia="仿宋_GB2312" w:cs="仿宋_GB2312"/>
          <w:sz w:val="21"/>
          <w:szCs w:val="21"/>
          <w:highlight w:val="none"/>
          <w:lang w:eastAsia="zh-CN"/>
        </w:rPr>
      </w:pPr>
      <w:r>
        <w:rPr>
          <w:rFonts w:hint="eastAsia" w:ascii="仿宋_GB2312" w:hAnsi="仿宋_GB2312" w:eastAsia="仿宋_GB2312" w:cs="仿宋_GB2312"/>
          <w:sz w:val="21"/>
          <w:szCs w:val="21"/>
          <w:highlight w:val="none"/>
        </w:rPr>
        <w:t>签订时间</w:t>
      </w:r>
      <w:r>
        <w:rPr>
          <w:rFonts w:hint="eastAsia" w:ascii="仿宋_GB2312" w:hAnsi="仿宋_GB2312" w:eastAsia="仿宋_GB2312" w:cs="仿宋_GB2312"/>
          <w:sz w:val="21"/>
          <w:szCs w:val="21"/>
          <w:highlight w:val="none"/>
          <w:lang w:eastAsia="zh-CN"/>
        </w:rPr>
        <w:t>：</w:t>
      </w:r>
    </w:p>
    <w:p w14:paraId="0A8ED3C7">
      <w:pPr>
        <w:pStyle w:val="6"/>
        <w:spacing w:line="360" w:lineRule="auto"/>
        <w:ind w:firstLine="42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采购人（甲方）：</w:t>
      </w:r>
      <w:bookmarkStart w:id="52" w:name="_GoBack"/>
      <w:bookmarkEnd w:id="52"/>
    </w:p>
    <w:p w14:paraId="12E5D771">
      <w:pPr>
        <w:pStyle w:val="6"/>
        <w:spacing w:line="360" w:lineRule="auto"/>
        <w:ind w:firstLine="42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供应商（乙方）：</w:t>
      </w:r>
    </w:p>
    <w:p w14:paraId="1F57CAD1">
      <w:pPr>
        <w:pStyle w:val="6"/>
        <w:ind w:firstLine="562"/>
        <w:rPr>
          <w:rFonts w:hint="eastAsia" w:ascii="仿宋_GB2312" w:hAnsi="仿宋_GB2312" w:eastAsia="仿宋_GB2312" w:cs="仿宋_GB2312"/>
          <w:b/>
          <w:sz w:val="28"/>
          <w:szCs w:val="28"/>
          <w:highlight w:val="none"/>
        </w:rPr>
      </w:pPr>
    </w:p>
    <w:p w14:paraId="2DA4ADA2">
      <w:pPr>
        <w:pStyle w:val="6"/>
        <w:spacing w:before="156" w:beforeLines="50" w:line="360" w:lineRule="auto"/>
        <w:ind w:firstLine="42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根据《中华人民共和国政府采购法》及实施条例、《中华人民共和国民法典》和甲方</w:t>
      </w:r>
    </w:p>
    <w:p w14:paraId="446C13AC">
      <w:pPr>
        <w:pStyle w:val="6"/>
        <w:spacing w:before="156" w:beforeLines="50" w:line="360" w:lineRule="auto"/>
        <w:ind w:left="0" w:leftChars="0" w:firstLine="0" w:firstLineChars="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u w:val="single"/>
          <w:lang w:val="en-US" w:eastAsia="zh-CN"/>
        </w:rPr>
        <w:t xml:space="preserve">  </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采购项目（采购项目编号：</w:t>
      </w:r>
      <w:r>
        <w:rPr>
          <w:rFonts w:hint="eastAsia" w:ascii="仿宋_GB2312" w:hAnsi="仿宋_GB2312" w:eastAsia="仿宋_GB2312" w:cs="仿宋_GB2312"/>
          <w:sz w:val="21"/>
          <w:szCs w:val="21"/>
          <w:highlight w:val="none"/>
          <w:lang w:eastAsia="zh-CN"/>
        </w:rPr>
        <w:t>ZD1125-0</w:t>
      </w:r>
      <w:r>
        <w:rPr>
          <w:rFonts w:hint="eastAsia" w:ascii="仿宋_GB2312" w:hAnsi="仿宋_GB2312" w:eastAsia="仿宋_GB2312" w:cs="仿宋_GB2312"/>
          <w:sz w:val="21"/>
          <w:szCs w:val="21"/>
          <w:highlight w:val="none"/>
          <w:lang w:val="en-US" w:eastAsia="zh-CN"/>
        </w:rPr>
        <w:t>08</w:t>
      </w:r>
      <w:r>
        <w:rPr>
          <w:rFonts w:hint="eastAsia" w:ascii="仿宋_GB2312" w:hAnsi="仿宋_GB2312" w:eastAsia="仿宋_GB2312" w:cs="仿宋_GB2312"/>
          <w:sz w:val="21"/>
          <w:szCs w:val="21"/>
          <w:highlight w:val="none"/>
          <w:lang w:eastAsia="zh-CN"/>
        </w:rPr>
        <w:t>ZSA</w:t>
      </w:r>
      <w:r>
        <w:rPr>
          <w:rFonts w:hint="eastAsia" w:ascii="仿宋_GB2312" w:hAnsi="仿宋_GB2312" w:eastAsia="仿宋_GB2312" w:cs="仿宋_GB2312"/>
          <w:sz w:val="21"/>
          <w:szCs w:val="21"/>
          <w:highlight w:val="none"/>
        </w:rPr>
        <w:t>）的采购文件、响应文件等有关规定，为确保甲方采购项目的顺利实施，甲、乙双方在平等自愿原则下签订本合同，并共同遵守如下条款：</w:t>
      </w:r>
    </w:p>
    <w:p w14:paraId="6B261AD4">
      <w:pPr>
        <w:numPr>
          <w:ilvl w:val="0"/>
          <w:numId w:val="1"/>
        </w:numPr>
        <w:tabs>
          <w:tab w:val="left" w:pos="1379"/>
          <w:tab w:val="clear" w:pos="1521"/>
        </w:tabs>
        <w:spacing w:before="156" w:beforeLines="50" w:after="156" w:afterLines="50" w:line="360" w:lineRule="auto"/>
        <w:ind w:left="1519" w:hanging="1094"/>
        <w:rPr>
          <w:rFonts w:hint="eastAsia" w:ascii="仿宋_GB2312" w:hAnsi="仿宋_GB2312" w:eastAsia="仿宋_GB2312" w:cs="仿宋_GB2312"/>
          <w:b/>
          <w:sz w:val="30"/>
          <w:szCs w:val="30"/>
          <w:highlight w:val="none"/>
        </w:rPr>
      </w:pPr>
      <w:r>
        <w:rPr>
          <w:rFonts w:hint="eastAsia" w:ascii="仿宋_GB2312" w:hAnsi="仿宋_GB2312" w:eastAsia="仿宋_GB2312" w:cs="仿宋_GB2312"/>
          <w:b/>
          <w:sz w:val="30"/>
          <w:szCs w:val="30"/>
          <w:highlight w:val="none"/>
        </w:rPr>
        <w:t>项目基本情况</w:t>
      </w:r>
    </w:p>
    <w:p w14:paraId="7D0C952F">
      <w:pPr>
        <w:tabs>
          <w:tab w:val="left" w:pos="1440"/>
        </w:tabs>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为进一步提升陕西省网络安全保障体系和能力，强化网络安全事件应急指挥能力建设，依据《网络安全法》等法律法规要求，拟采购网络安全监测预警、数据出境安全管理和生成式人工智能评估等技术服务。</w:t>
      </w:r>
    </w:p>
    <w:p w14:paraId="6F7836C1">
      <w:pPr>
        <w:numPr>
          <w:ilvl w:val="0"/>
          <w:numId w:val="1"/>
        </w:numPr>
        <w:tabs>
          <w:tab w:val="left" w:pos="1379"/>
          <w:tab w:val="clear" w:pos="1521"/>
        </w:tabs>
        <w:spacing w:before="156" w:beforeLines="50" w:after="156" w:afterLines="50" w:line="360" w:lineRule="auto"/>
        <w:ind w:left="1519" w:hanging="1094"/>
        <w:rPr>
          <w:rFonts w:hint="eastAsia" w:ascii="仿宋_GB2312" w:hAnsi="仿宋_GB2312" w:eastAsia="仿宋_GB2312" w:cs="仿宋_GB2312"/>
          <w:b/>
          <w:sz w:val="30"/>
          <w:szCs w:val="30"/>
          <w:highlight w:val="none"/>
        </w:rPr>
      </w:pPr>
      <w:r>
        <w:rPr>
          <w:rFonts w:hint="eastAsia" w:ascii="仿宋_GB2312" w:hAnsi="仿宋_GB2312" w:eastAsia="仿宋_GB2312" w:cs="仿宋_GB2312"/>
          <w:b/>
          <w:sz w:val="30"/>
          <w:szCs w:val="30"/>
          <w:highlight w:val="none"/>
        </w:rPr>
        <w:t>合同期限</w:t>
      </w:r>
    </w:p>
    <w:p w14:paraId="016EC9B7">
      <w:pPr>
        <w:spacing w:line="360" w:lineRule="auto"/>
        <w:ind w:firstLine="63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u w:val="single"/>
          <w:lang w:val="en-US" w:eastAsia="zh-CN"/>
        </w:rPr>
        <w:t>一年</w:t>
      </w:r>
    </w:p>
    <w:p w14:paraId="22CA83E8">
      <w:pPr>
        <w:numPr>
          <w:ilvl w:val="0"/>
          <w:numId w:val="1"/>
        </w:numPr>
        <w:tabs>
          <w:tab w:val="left" w:pos="1379"/>
          <w:tab w:val="clear" w:pos="1521"/>
        </w:tabs>
        <w:spacing w:before="156" w:beforeLines="50" w:after="156" w:afterLines="50" w:line="360" w:lineRule="auto"/>
        <w:ind w:left="1519" w:hanging="1094"/>
        <w:rPr>
          <w:rFonts w:hint="eastAsia" w:ascii="仿宋_GB2312" w:hAnsi="仿宋_GB2312" w:eastAsia="仿宋_GB2312" w:cs="仿宋_GB2312"/>
          <w:b/>
          <w:sz w:val="30"/>
          <w:szCs w:val="30"/>
          <w:highlight w:val="none"/>
        </w:rPr>
      </w:pPr>
      <w:bookmarkStart w:id="0" w:name="_Toc247334841"/>
      <w:bookmarkStart w:id="1" w:name="_Toc239568418"/>
      <w:bookmarkStart w:id="2" w:name="_Toc211854449"/>
      <w:bookmarkStart w:id="3" w:name="_Toc185395249"/>
      <w:bookmarkStart w:id="4" w:name="_Toc239233914"/>
      <w:bookmarkStart w:id="5" w:name="_Toc283019214"/>
      <w:bookmarkStart w:id="6" w:name="_Toc232492928"/>
      <w:bookmarkStart w:id="7" w:name="_Toc225654644"/>
      <w:bookmarkStart w:id="8" w:name="_Toc286993786"/>
      <w:bookmarkStart w:id="9" w:name="_Toc211911348"/>
      <w:bookmarkStart w:id="10" w:name="_Toc238984975"/>
      <w:bookmarkStart w:id="11" w:name="_Toc225244852"/>
      <w:bookmarkStart w:id="12" w:name="_Toc237145406"/>
      <w:bookmarkStart w:id="13" w:name="_Toc251768862"/>
      <w:bookmarkStart w:id="14" w:name="_Toc225670751"/>
      <w:bookmarkStart w:id="15" w:name="_Toc212019594"/>
      <w:bookmarkStart w:id="16" w:name="_Toc282696226"/>
      <w:bookmarkStart w:id="17" w:name="_Toc241833903"/>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b/>
          <w:sz w:val="30"/>
          <w:szCs w:val="30"/>
          <w:highlight w:val="none"/>
        </w:rPr>
        <w:t>服务内容与质量标准</w:t>
      </w:r>
    </w:p>
    <w:p w14:paraId="6BAEE3FB">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40" w:firstLineChars="200"/>
        <w:textAlignment w:val="auto"/>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服务内容：网络安全与数据安全监管支撑技术服务。</w:t>
      </w:r>
    </w:p>
    <w:p w14:paraId="3361FF1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40" w:firstLineChars="200"/>
        <w:textAlignment w:val="auto"/>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质量标准：</w:t>
      </w:r>
      <w:r>
        <w:rPr>
          <w:rFonts w:hint="eastAsia" w:ascii="仿宋_GB2312" w:hAnsi="仿宋_GB2312" w:eastAsia="仿宋_GB2312" w:cs="仿宋_GB2312"/>
          <w:highlight w:val="none"/>
          <w:lang w:eastAsia="zh-CN"/>
        </w:rPr>
        <w:t>符合国家、地方、行业相关合格标准及采购人要求。</w:t>
      </w:r>
    </w:p>
    <w:p w14:paraId="3E97820C">
      <w:pPr>
        <w:numPr>
          <w:ilvl w:val="0"/>
          <w:numId w:val="1"/>
        </w:numPr>
        <w:tabs>
          <w:tab w:val="left" w:pos="1379"/>
          <w:tab w:val="clear" w:pos="1521"/>
        </w:tabs>
        <w:spacing w:before="156" w:beforeLines="50" w:after="156" w:afterLines="50" w:line="360" w:lineRule="auto"/>
        <w:ind w:left="1661" w:hanging="1094"/>
        <w:rPr>
          <w:rFonts w:hint="eastAsia" w:ascii="仿宋_GB2312" w:hAnsi="仿宋_GB2312" w:eastAsia="仿宋_GB2312" w:cs="仿宋_GB2312"/>
          <w:b/>
          <w:sz w:val="30"/>
          <w:szCs w:val="30"/>
          <w:highlight w:val="none"/>
        </w:rPr>
      </w:pPr>
      <w:r>
        <w:rPr>
          <w:rFonts w:hint="eastAsia" w:ascii="仿宋_GB2312" w:hAnsi="仿宋_GB2312" w:eastAsia="仿宋_GB2312" w:cs="仿宋_GB2312"/>
          <w:b/>
          <w:sz w:val="30"/>
          <w:szCs w:val="30"/>
          <w:highlight w:val="none"/>
        </w:rPr>
        <w:t>服务费用</w:t>
      </w:r>
    </w:p>
    <w:p w14:paraId="07EF190E">
      <w:pPr>
        <w:pStyle w:val="2"/>
        <w:spacing w:line="360" w:lineRule="auto"/>
        <w:ind w:firstLine="411" w:firstLineChars="196"/>
        <w:rPr>
          <w:rFonts w:hint="eastAsia" w:ascii="仿宋_GB2312" w:hAnsi="仿宋_GB2312" w:eastAsia="仿宋_GB2312" w:cs="仿宋_GB2312"/>
          <w:b w:val="0"/>
          <w:sz w:val="21"/>
          <w:szCs w:val="21"/>
          <w:highlight w:val="none"/>
        </w:rPr>
      </w:pPr>
      <w:r>
        <w:rPr>
          <w:rFonts w:hint="eastAsia" w:ascii="仿宋_GB2312" w:hAnsi="仿宋_GB2312" w:eastAsia="仿宋_GB2312" w:cs="仿宋_GB2312"/>
          <w:b w:val="0"/>
          <w:sz w:val="21"/>
          <w:szCs w:val="21"/>
          <w:highlight w:val="none"/>
        </w:rPr>
        <w:t xml:space="preserve">  1.服务总费用为人民币（大写）：</w:t>
      </w:r>
      <w:r>
        <w:rPr>
          <w:rFonts w:hint="eastAsia" w:ascii="仿宋_GB2312" w:hAnsi="仿宋_GB2312" w:eastAsia="仿宋_GB2312" w:cs="仿宋_GB2312"/>
          <w:b w:val="0"/>
          <w:sz w:val="21"/>
          <w:szCs w:val="21"/>
          <w:highlight w:val="none"/>
          <w:u w:val="single"/>
        </w:rPr>
        <w:t xml:space="preserve">             </w:t>
      </w:r>
      <w:r>
        <w:rPr>
          <w:rFonts w:hint="eastAsia" w:ascii="仿宋_GB2312" w:hAnsi="仿宋_GB2312" w:eastAsia="仿宋_GB2312" w:cs="仿宋_GB2312"/>
          <w:b w:val="0"/>
          <w:sz w:val="21"/>
          <w:szCs w:val="21"/>
          <w:highlight w:val="none"/>
        </w:rPr>
        <w:t>元， ￥</w:t>
      </w:r>
      <w:r>
        <w:rPr>
          <w:rFonts w:hint="eastAsia" w:ascii="仿宋_GB2312" w:hAnsi="仿宋_GB2312" w:eastAsia="仿宋_GB2312" w:cs="仿宋_GB2312"/>
          <w:b w:val="0"/>
          <w:sz w:val="21"/>
          <w:szCs w:val="21"/>
          <w:highlight w:val="none"/>
          <w:u w:val="single"/>
        </w:rPr>
        <w:t xml:space="preserve">           </w:t>
      </w:r>
      <w:r>
        <w:rPr>
          <w:rFonts w:hint="eastAsia" w:ascii="仿宋_GB2312" w:hAnsi="仿宋_GB2312" w:eastAsia="仿宋_GB2312" w:cs="仿宋_GB2312"/>
          <w:b w:val="0"/>
          <w:sz w:val="21"/>
          <w:szCs w:val="21"/>
          <w:highlight w:val="none"/>
        </w:rPr>
        <w:t>。</w:t>
      </w:r>
    </w:p>
    <w:p w14:paraId="33BD10CD">
      <w:pPr>
        <w:spacing w:line="360" w:lineRule="auto"/>
        <w:ind w:firstLine="431" w:firstLineChars="196"/>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  2.本项目服务费用由以下组成：</w:t>
      </w:r>
    </w:p>
    <w:p w14:paraId="472F4D1E">
      <w:pPr>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  （1）</w:t>
      </w:r>
      <w:r>
        <w:rPr>
          <w:rFonts w:hint="eastAsia" w:ascii="仿宋_GB2312" w:hAnsi="仿宋_GB2312" w:eastAsia="仿宋_GB2312" w:cs="仿宋_GB2312"/>
          <w:color w:val="000000"/>
          <w:szCs w:val="21"/>
          <w:highlight w:val="none"/>
        </w:rPr>
        <w:t>XX</w:t>
      </w:r>
      <w:r>
        <w:rPr>
          <w:rFonts w:hint="eastAsia" w:ascii="仿宋_GB2312" w:hAnsi="仿宋_GB2312" w:eastAsia="仿宋_GB2312" w:cs="仿宋_GB2312"/>
          <w:szCs w:val="21"/>
          <w:highlight w:val="none"/>
        </w:rPr>
        <w:t>万元；</w:t>
      </w:r>
    </w:p>
    <w:p w14:paraId="78427E24">
      <w:pPr>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  （2）</w:t>
      </w:r>
      <w:r>
        <w:rPr>
          <w:rFonts w:hint="eastAsia" w:ascii="仿宋_GB2312" w:hAnsi="仿宋_GB2312" w:eastAsia="仿宋_GB2312" w:cs="仿宋_GB2312"/>
          <w:color w:val="000000"/>
          <w:szCs w:val="21"/>
          <w:highlight w:val="none"/>
        </w:rPr>
        <w:t>XX</w:t>
      </w:r>
      <w:r>
        <w:rPr>
          <w:rFonts w:hint="eastAsia" w:ascii="仿宋_GB2312" w:hAnsi="仿宋_GB2312" w:eastAsia="仿宋_GB2312" w:cs="仿宋_GB2312"/>
          <w:szCs w:val="21"/>
          <w:highlight w:val="none"/>
        </w:rPr>
        <w:t>万元；</w:t>
      </w:r>
    </w:p>
    <w:p w14:paraId="38D86459">
      <w:pPr>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  （3）</w:t>
      </w:r>
      <w:r>
        <w:rPr>
          <w:rFonts w:hint="eastAsia" w:ascii="仿宋_GB2312" w:hAnsi="仿宋_GB2312" w:eastAsia="仿宋_GB2312" w:cs="仿宋_GB2312"/>
          <w:color w:val="000000"/>
          <w:szCs w:val="21"/>
          <w:highlight w:val="none"/>
        </w:rPr>
        <w:t>XX</w:t>
      </w:r>
      <w:r>
        <w:rPr>
          <w:rFonts w:hint="eastAsia" w:ascii="仿宋_GB2312" w:hAnsi="仿宋_GB2312" w:eastAsia="仿宋_GB2312" w:cs="仿宋_GB2312"/>
          <w:szCs w:val="21"/>
          <w:highlight w:val="none"/>
        </w:rPr>
        <w:t>万元。</w:t>
      </w:r>
    </w:p>
    <w:p w14:paraId="486C80A7">
      <w:pPr>
        <w:spacing w:line="360" w:lineRule="auto"/>
        <w:ind w:firstLine="550" w:firstLineChars="25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w:t>
      </w:r>
    </w:p>
    <w:p w14:paraId="38CCA0DA">
      <w:pPr>
        <w:spacing w:line="360" w:lineRule="auto"/>
        <w:ind w:firstLine="550" w:firstLineChars="25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4.本合同执行期间服务总费用不变，甲方无须另向乙方支付本合同规定之外的其他任何费用。</w:t>
      </w:r>
    </w:p>
    <w:p w14:paraId="0C734C5C">
      <w:pPr>
        <w:spacing w:before="156" w:beforeLines="50" w:after="156" w:afterLines="50" w:line="360" w:lineRule="auto"/>
        <w:ind w:firstLine="301" w:firstLineChars="100"/>
        <w:rPr>
          <w:rFonts w:hint="eastAsia" w:ascii="仿宋_GB2312" w:hAnsi="仿宋_GB2312" w:eastAsia="仿宋_GB2312" w:cs="仿宋_GB2312"/>
          <w:b/>
          <w:sz w:val="30"/>
          <w:szCs w:val="30"/>
          <w:highlight w:val="none"/>
        </w:rPr>
      </w:pPr>
      <w:r>
        <w:rPr>
          <w:rFonts w:hint="eastAsia" w:ascii="仿宋_GB2312" w:hAnsi="仿宋_GB2312" w:eastAsia="仿宋_GB2312" w:cs="仿宋_GB2312"/>
          <w:b/>
          <w:sz w:val="30"/>
          <w:szCs w:val="30"/>
          <w:highlight w:val="none"/>
        </w:rPr>
        <w:t xml:space="preserve">第五条 </w:t>
      </w:r>
      <w:r>
        <w:rPr>
          <w:rFonts w:hint="eastAsia" w:ascii="仿宋_GB2312" w:hAnsi="仿宋_GB2312" w:eastAsia="仿宋_GB2312" w:cs="仿宋_GB2312"/>
          <w:b/>
          <w:szCs w:val="21"/>
          <w:highlight w:val="none"/>
        </w:rPr>
        <w:t xml:space="preserve"> </w:t>
      </w:r>
      <w:r>
        <w:rPr>
          <w:rFonts w:hint="eastAsia" w:ascii="仿宋_GB2312" w:hAnsi="仿宋_GB2312" w:eastAsia="仿宋_GB2312" w:cs="仿宋_GB2312"/>
          <w:b/>
          <w:sz w:val="30"/>
          <w:szCs w:val="30"/>
          <w:highlight w:val="none"/>
        </w:rPr>
        <w:t>服务费支付方式</w:t>
      </w:r>
    </w:p>
    <w:p w14:paraId="73ADC1FF">
      <w:pPr>
        <w:tabs>
          <w:tab w:val="left" w:pos="1440"/>
        </w:tabs>
        <w:spacing w:line="360" w:lineRule="auto"/>
        <w:ind w:firstLine="440" w:firstLineChars="200"/>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合同签订后 ，成交供应商持付款申请书向采购人申请支付，达到付款条件起30日内，支付合同总金额的100.00%。</w:t>
      </w:r>
    </w:p>
    <w:p w14:paraId="0C5B5AE9">
      <w:pPr>
        <w:spacing w:before="156" w:beforeLines="50" w:after="156" w:afterLines="50" w:line="360" w:lineRule="auto"/>
        <w:ind w:left="425"/>
        <w:rPr>
          <w:rFonts w:hint="eastAsia" w:ascii="仿宋_GB2312" w:hAnsi="仿宋_GB2312" w:eastAsia="仿宋_GB2312" w:cs="仿宋_GB2312"/>
          <w:b/>
          <w:sz w:val="30"/>
          <w:szCs w:val="30"/>
          <w:highlight w:val="none"/>
        </w:rPr>
      </w:pPr>
      <w:r>
        <w:rPr>
          <w:rFonts w:hint="eastAsia" w:ascii="仿宋_GB2312" w:hAnsi="仿宋_GB2312" w:eastAsia="仿宋_GB2312" w:cs="仿宋_GB2312"/>
          <w:b/>
          <w:sz w:val="30"/>
          <w:szCs w:val="30"/>
          <w:highlight w:val="none"/>
        </w:rPr>
        <w:t>第六条   知识产权</w:t>
      </w:r>
    </w:p>
    <w:p w14:paraId="4AE07B32">
      <w:pPr>
        <w:tabs>
          <w:tab w:val="left" w:pos="1440"/>
        </w:tabs>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乙方应保证所提供的服务或其任何一部分均不会侵犯任何第三方的专利权、商标权或著作权。</w:t>
      </w:r>
    </w:p>
    <w:p w14:paraId="0FEB35C0">
      <w:pPr>
        <w:spacing w:before="156" w:beforeLines="50" w:after="156" w:afterLines="50" w:line="360" w:lineRule="auto"/>
        <w:ind w:left="425"/>
        <w:rPr>
          <w:rFonts w:hint="eastAsia" w:ascii="仿宋_GB2312" w:hAnsi="仿宋_GB2312" w:eastAsia="仿宋_GB2312" w:cs="仿宋_GB2312"/>
          <w:b/>
          <w:sz w:val="30"/>
          <w:szCs w:val="30"/>
          <w:highlight w:val="none"/>
        </w:rPr>
      </w:pPr>
      <w:r>
        <w:rPr>
          <w:rFonts w:hint="eastAsia" w:ascii="仿宋_GB2312" w:hAnsi="仿宋_GB2312" w:eastAsia="仿宋_GB2312" w:cs="仿宋_GB2312"/>
          <w:b/>
          <w:sz w:val="30"/>
          <w:szCs w:val="30"/>
          <w:highlight w:val="none"/>
        </w:rPr>
        <w:t>第七条  无产权瑕疵条款</w:t>
      </w:r>
    </w:p>
    <w:p w14:paraId="6B3FA77E">
      <w:pPr>
        <w:tabs>
          <w:tab w:val="left" w:pos="1440"/>
        </w:tabs>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乙方保证所提供的服务（成果）权属清晰、完整（不存在抵押、查封、扣押等），且不存在侵犯任何第三方的合法权益。如有违反视为乙方违约。乙方应负担由此而产生的一切损失。</w:t>
      </w:r>
    </w:p>
    <w:p w14:paraId="50FBF74A">
      <w:pPr>
        <w:widowControl/>
        <w:spacing w:before="156" w:beforeLines="50" w:after="156" w:afterLines="50" w:line="360" w:lineRule="auto"/>
        <w:jc w:val="left"/>
        <w:rPr>
          <w:rFonts w:hint="eastAsia" w:ascii="仿宋_GB2312" w:hAnsi="仿宋_GB2312" w:eastAsia="仿宋_GB2312" w:cs="仿宋_GB2312"/>
          <w:b/>
          <w:sz w:val="30"/>
          <w:szCs w:val="30"/>
          <w:highlight w:val="none"/>
        </w:rPr>
      </w:pPr>
      <w:r>
        <w:rPr>
          <w:rFonts w:hint="eastAsia" w:ascii="仿宋_GB2312" w:hAnsi="仿宋_GB2312" w:eastAsia="仿宋_GB2312" w:cs="仿宋_GB2312"/>
          <w:b/>
          <w:sz w:val="30"/>
          <w:szCs w:val="30"/>
          <w:highlight w:val="none"/>
        </w:rPr>
        <w:t xml:space="preserve">   第八条   履约保证金</w:t>
      </w:r>
    </w:p>
    <w:p w14:paraId="65151582">
      <w:pPr>
        <w:widowControl/>
        <w:spacing w:line="360" w:lineRule="auto"/>
        <w:ind w:firstLine="440" w:firstLineChars="200"/>
        <w:jc w:val="left"/>
        <w:rPr>
          <w:rFonts w:hint="eastAsia" w:ascii="仿宋_GB2312" w:hAnsi="仿宋_GB2312" w:eastAsia="仿宋_GB2312" w:cs="仿宋_GB2312"/>
          <w:b/>
          <w:szCs w:val="21"/>
          <w:highlight w:val="none"/>
        </w:rPr>
      </w:pPr>
      <w:r>
        <w:rPr>
          <w:rFonts w:hint="eastAsia" w:ascii="仿宋_GB2312" w:hAnsi="仿宋_GB2312" w:eastAsia="仿宋_GB2312" w:cs="仿宋_GB2312"/>
          <w:color w:val="000000"/>
          <w:kern w:val="0"/>
          <w:szCs w:val="21"/>
          <w:highlight w:val="none"/>
        </w:rPr>
        <w:t>1.乙方在签订本合同之前，向甲方构提交履约保证金人民币（大写）</w:t>
      </w:r>
      <w:r>
        <w:rPr>
          <w:rFonts w:hint="eastAsia" w:ascii="仿宋_GB2312" w:hAnsi="仿宋_GB2312" w:eastAsia="仿宋_GB2312" w:cs="仿宋_GB2312"/>
          <w:color w:val="000000"/>
          <w:kern w:val="0"/>
          <w:szCs w:val="21"/>
          <w:highlight w:val="none"/>
          <w:u w:val="single"/>
        </w:rPr>
        <w:t xml:space="preserve">      /      </w:t>
      </w:r>
      <w:r>
        <w:rPr>
          <w:rFonts w:hint="eastAsia" w:ascii="仿宋_GB2312" w:hAnsi="仿宋_GB2312" w:eastAsia="仿宋_GB2312" w:cs="仿宋_GB2312"/>
          <w:color w:val="000000"/>
          <w:kern w:val="0"/>
          <w:szCs w:val="21"/>
          <w:highlight w:val="none"/>
        </w:rPr>
        <w:t xml:space="preserve"> 元，￥</w:t>
      </w:r>
      <w:r>
        <w:rPr>
          <w:rFonts w:hint="eastAsia" w:ascii="仿宋_GB2312" w:hAnsi="仿宋_GB2312" w:eastAsia="仿宋_GB2312" w:cs="仿宋_GB2312"/>
          <w:color w:val="000000"/>
          <w:kern w:val="0"/>
          <w:szCs w:val="21"/>
          <w:highlight w:val="none"/>
          <w:u w:val="single"/>
        </w:rPr>
        <w:t xml:space="preserve">    /   </w:t>
      </w:r>
      <w:r>
        <w:rPr>
          <w:rFonts w:hint="eastAsia" w:ascii="仿宋_GB2312" w:hAnsi="仿宋_GB2312" w:eastAsia="仿宋_GB2312" w:cs="仿宋_GB2312"/>
          <w:color w:val="000000"/>
          <w:kern w:val="0"/>
          <w:szCs w:val="21"/>
          <w:highlight w:val="none"/>
        </w:rPr>
        <w:t xml:space="preserve"> 。</w:t>
      </w:r>
    </w:p>
    <w:p w14:paraId="5898FC59">
      <w:pPr>
        <w:widowControl/>
        <w:spacing w:line="360" w:lineRule="auto"/>
        <w:ind w:firstLine="440" w:firstLineChars="200"/>
        <w:jc w:val="left"/>
        <w:rPr>
          <w:rFonts w:hint="eastAsia" w:ascii="仿宋_GB2312" w:hAnsi="仿宋_GB2312" w:eastAsia="仿宋_GB2312" w:cs="仿宋_GB2312"/>
          <w:color w:val="000000"/>
          <w:kern w:val="0"/>
          <w:szCs w:val="21"/>
          <w:highlight w:val="none"/>
        </w:rPr>
      </w:pPr>
      <w:r>
        <w:rPr>
          <w:rFonts w:hint="eastAsia" w:ascii="仿宋_GB2312" w:hAnsi="仿宋_GB2312" w:eastAsia="仿宋_GB2312" w:cs="仿宋_GB2312"/>
          <w:bCs/>
          <w:szCs w:val="21"/>
          <w:highlight w:val="none"/>
        </w:rPr>
        <w:t>2.</w:t>
      </w:r>
      <w:r>
        <w:rPr>
          <w:rFonts w:hint="eastAsia" w:ascii="仿宋_GB2312" w:hAnsi="仿宋_GB2312" w:eastAsia="仿宋_GB2312" w:cs="仿宋_GB2312"/>
          <w:color w:val="000000"/>
          <w:kern w:val="0"/>
          <w:szCs w:val="21"/>
          <w:highlight w:val="none"/>
        </w:rPr>
        <w:t>履约保证金的有效期为乙方承诺的服务期限。</w:t>
      </w:r>
    </w:p>
    <w:p w14:paraId="00BED98D">
      <w:pPr>
        <w:adjustRightInd w:val="0"/>
        <w:spacing w:line="360" w:lineRule="auto"/>
        <w:ind w:firstLine="440" w:firstLineChars="200"/>
        <w:jc w:val="left"/>
        <w:textAlignment w:val="baseline"/>
        <w:rPr>
          <w:rFonts w:hint="eastAsia" w:ascii="仿宋_GB2312" w:hAnsi="仿宋_GB2312" w:eastAsia="仿宋_GB2312" w:cs="仿宋_GB2312"/>
          <w:bCs/>
          <w:szCs w:val="21"/>
          <w:highlight w:val="none"/>
        </w:rPr>
      </w:pPr>
      <w:r>
        <w:rPr>
          <w:rFonts w:hint="eastAsia" w:ascii="仿宋_GB2312" w:hAnsi="仿宋_GB2312" w:eastAsia="仿宋_GB2312" w:cs="仿宋_GB2312"/>
          <w:bCs/>
          <w:szCs w:val="21"/>
          <w:highlight w:val="none"/>
        </w:rPr>
        <w:t>3.履约保证金作为违约金的一部分及用于补偿甲方因乙方不能履行合同义务而蒙受的损失。</w:t>
      </w:r>
    </w:p>
    <w:p w14:paraId="4A5A3F0E">
      <w:pPr>
        <w:widowControl/>
        <w:spacing w:line="360" w:lineRule="auto"/>
        <w:ind w:firstLine="440" w:firstLineChars="200"/>
        <w:jc w:val="left"/>
        <w:rPr>
          <w:rFonts w:hint="eastAsia" w:ascii="仿宋_GB2312" w:hAnsi="仿宋_GB2312" w:eastAsia="仿宋_GB2312" w:cs="仿宋_GB2312"/>
          <w:szCs w:val="21"/>
          <w:highlight w:val="none"/>
        </w:rPr>
      </w:pPr>
      <w:r>
        <w:rPr>
          <w:rFonts w:hint="eastAsia" w:ascii="仿宋_GB2312" w:hAnsi="仿宋_GB2312" w:eastAsia="仿宋_GB2312" w:cs="仿宋_GB2312"/>
          <w:color w:val="000000"/>
          <w:kern w:val="0"/>
          <w:szCs w:val="21"/>
          <w:highlight w:val="none"/>
        </w:rPr>
        <w:t>4.</w:t>
      </w:r>
      <w:r>
        <w:rPr>
          <w:rFonts w:hint="eastAsia" w:ascii="仿宋_GB2312" w:hAnsi="仿宋_GB2312" w:eastAsia="仿宋_GB2312" w:cs="仿宋_GB2312"/>
          <w:szCs w:val="21"/>
          <w:highlight w:val="none"/>
        </w:rPr>
        <w:t>服务期限结束后，甲方财务部门接到甲方确认本合同服务等约定事项已经履行完毕的正式书面文件后的</w:t>
      </w:r>
      <w:r>
        <w:rPr>
          <w:rFonts w:hint="eastAsia" w:ascii="仿宋_GB2312" w:hAnsi="仿宋_GB2312" w:eastAsia="仿宋_GB2312" w:cs="仿宋_GB2312"/>
          <w:szCs w:val="21"/>
          <w:highlight w:val="none"/>
          <w:u w:val="single"/>
        </w:rPr>
        <w:t xml:space="preserve">  / </w:t>
      </w:r>
      <w:r>
        <w:rPr>
          <w:rFonts w:hint="eastAsia" w:ascii="仿宋_GB2312" w:hAnsi="仿宋_GB2312" w:eastAsia="仿宋_GB2312" w:cs="仿宋_GB2312"/>
          <w:szCs w:val="21"/>
          <w:highlight w:val="none"/>
        </w:rPr>
        <w:t>日内，向乙方退还履约保证金。</w:t>
      </w:r>
    </w:p>
    <w:p w14:paraId="7AAF27C5">
      <w:pPr>
        <w:widowControl/>
        <w:spacing w:line="360" w:lineRule="auto"/>
        <w:ind w:firstLine="440" w:firstLineChars="200"/>
        <w:jc w:val="left"/>
        <w:rPr>
          <w:rFonts w:hint="eastAsia" w:ascii="仿宋_GB2312" w:hAnsi="仿宋_GB2312" w:eastAsia="仿宋_GB2312" w:cs="仿宋_GB2312"/>
          <w:bCs/>
          <w:szCs w:val="21"/>
          <w:highlight w:val="none"/>
        </w:rPr>
      </w:pPr>
      <w:r>
        <w:rPr>
          <w:rFonts w:hint="eastAsia" w:ascii="仿宋_GB2312" w:hAnsi="仿宋_GB2312" w:eastAsia="仿宋_GB2312" w:cs="仿宋_GB2312"/>
          <w:szCs w:val="21"/>
          <w:highlight w:val="none"/>
        </w:rPr>
        <w:t>5.乙方可以履约担保函的形式交纳履约保证金（格式见附件1）。</w:t>
      </w:r>
    </w:p>
    <w:p w14:paraId="0FB08CD6">
      <w:pPr>
        <w:spacing w:before="156" w:beforeLines="50" w:after="156" w:afterLines="50" w:line="360" w:lineRule="auto"/>
        <w:ind w:left="425"/>
        <w:rPr>
          <w:rFonts w:hint="eastAsia" w:ascii="仿宋_GB2312" w:hAnsi="仿宋_GB2312" w:eastAsia="仿宋_GB2312" w:cs="仿宋_GB2312"/>
          <w:b/>
          <w:sz w:val="30"/>
          <w:szCs w:val="30"/>
          <w:highlight w:val="none"/>
        </w:rPr>
      </w:pPr>
      <w:r>
        <w:rPr>
          <w:rFonts w:hint="eastAsia" w:ascii="仿宋_GB2312" w:hAnsi="仿宋_GB2312" w:eastAsia="仿宋_GB2312" w:cs="仿宋_GB2312"/>
          <w:b/>
          <w:sz w:val="30"/>
          <w:szCs w:val="30"/>
          <w:highlight w:val="none"/>
        </w:rPr>
        <w:t>第九条  甲方的权利和义务</w:t>
      </w:r>
    </w:p>
    <w:p w14:paraId="0082D50F">
      <w:pPr>
        <w:adjustRightInd w:val="0"/>
        <w:spacing w:line="360" w:lineRule="auto"/>
        <w:ind w:firstLine="440" w:firstLineChars="200"/>
        <w:jc w:val="left"/>
        <w:textAlignment w:val="baseline"/>
        <w:rPr>
          <w:rFonts w:hint="eastAsia" w:ascii="仿宋_GB2312" w:hAnsi="仿宋_GB2312" w:eastAsia="仿宋_GB2312" w:cs="仿宋_GB2312"/>
          <w:bCs/>
          <w:szCs w:val="21"/>
          <w:highlight w:val="none"/>
        </w:rPr>
      </w:pPr>
      <w:r>
        <w:rPr>
          <w:rFonts w:hint="eastAsia" w:ascii="仿宋_GB2312" w:hAnsi="仿宋_GB2312" w:eastAsia="仿宋_GB2312" w:cs="仿宋_GB2312"/>
          <w:bCs/>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1B7D8034">
      <w:pPr>
        <w:adjustRightInd w:val="0"/>
        <w:spacing w:line="360" w:lineRule="auto"/>
        <w:ind w:firstLine="440" w:firstLineChars="200"/>
        <w:jc w:val="left"/>
        <w:textAlignment w:val="baseline"/>
        <w:rPr>
          <w:rFonts w:hint="eastAsia" w:ascii="仿宋_GB2312" w:hAnsi="仿宋_GB2312" w:eastAsia="仿宋_GB2312" w:cs="仿宋_GB2312"/>
          <w:bCs/>
          <w:szCs w:val="21"/>
          <w:highlight w:val="none"/>
        </w:rPr>
      </w:pPr>
      <w:r>
        <w:rPr>
          <w:rFonts w:hint="eastAsia" w:ascii="仿宋_GB2312" w:hAnsi="仿宋_GB2312" w:eastAsia="仿宋_GB2312" w:cs="仿宋_GB2312"/>
          <w:bCs/>
          <w:szCs w:val="21"/>
          <w:highlight w:val="none"/>
        </w:rPr>
        <w:t>2.甲方有权依据双方签订的考评办法对乙方提供的服务进行定期考评。当考评结果未达到标准时，有权依据考评办法约定的数额扣除履约保证金。</w:t>
      </w:r>
    </w:p>
    <w:p w14:paraId="5AB74E13">
      <w:pPr>
        <w:adjustRightInd w:val="0"/>
        <w:spacing w:line="360" w:lineRule="auto"/>
        <w:ind w:firstLine="440" w:firstLineChars="200"/>
        <w:jc w:val="left"/>
        <w:textAlignment w:val="baseline"/>
        <w:rPr>
          <w:rFonts w:hint="eastAsia" w:ascii="仿宋_GB2312" w:hAnsi="仿宋_GB2312" w:eastAsia="仿宋_GB2312" w:cs="仿宋_GB2312"/>
          <w:bCs/>
          <w:szCs w:val="21"/>
          <w:highlight w:val="none"/>
        </w:rPr>
      </w:pPr>
      <w:r>
        <w:rPr>
          <w:rFonts w:hint="eastAsia" w:ascii="仿宋_GB2312" w:hAnsi="仿宋_GB2312" w:eastAsia="仿宋_GB2312" w:cs="仿宋_GB2312"/>
          <w:bCs/>
          <w:szCs w:val="21"/>
          <w:highlight w:val="none"/>
        </w:rPr>
        <w:t>3.负责检查监督乙方管理工作的实施及制度的执行情况。</w:t>
      </w:r>
    </w:p>
    <w:p w14:paraId="5EEEDB55">
      <w:pPr>
        <w:adjustRightInd w:val="0"/>
        <w:spacing w:line="360" w:lineRule="auto"/>
        <w:ind w:firstLine="440" w:firstLineChars="200"/>
        <w:jc w:val="left"/>
        <w:textAlignment w:val="baseline"/>
        <w:rPr>
          <w:rFonts w:hint="eastAsia" w:ascii="仿宋_GB2312" w:hAnsi="仿宋_GB2312" w:eastAsia="仿宋_GB2312" w:cs="仿宋_GB2312"/>
          <w:bCs/>
          <w:szCs w:val="21"/>
          <w:highlight w:val="none"/>
        </w:rPr>
      </w:pPr>
      <w:r>
        <w:rPr>
          <w:rFonts w:hint="eastAsia" w:ascii="仿宋_GB2312" w:hAnsi="仿宋_GB2312" w:eastAsia="仿宋_GB2312" w:cs="仿宋_GB2312"/>
          <w:bCs/>
          <w:szCs w:val="21"/>
          <w:highlight w:val="none"/>
        </w:rPr>
        <w:t>4.根据本合同规定，按时向乙方支付应付服务费用。</w:t>
      </w:r>
    </w:p>
    <w:p w14:paraId="2B50ED46">
      <w:pPr>
        <w:adjustRightInd w:val="0"/>
        <w:spacing w:line="360" w:lineRule="auto"/>
        <w:ind w:firstLine="440" w:firstLineChars="200"/>
        <w:jc w:val="left"/>
        <w:textAlignment w:val="baseline"/>
        <w:rPr>
          <w:rFonts w:hint="eastAsia" w:ascii="仿宋_GB2312" w:hAnsi="仿宋_GB2312" w:eastAsia="仿宋_GB2312" w:cs="仿宋_GB2312"/>
          <w:bCs/>
          <w:szCs w:val="21"/>
          <w:highlight w:val="none"/>
        </w:rPr>
      </w:pPr>
      <w:r>
        <w:rPr>
          <w:rFonts w:hint="eastAsia" w:ascii="仿宋_GB2312" w:hAnsi="仿宋_GB2312" w:eastAsia="仿宋_GB2312" w:cs="仿宋_GB2312"/>
          <w:bCs/>
          <w:szCs w:val="21"/>
          <w:highlight w:val="none"/>
        </w:rPr>
        <w:t>5.国家法律、法规所规定由甲方承担的其它责任。</w:t>
      </w:r>
    </w:p>
    <w:p w14:paraId="7F4A76A2">
      <w:pPr>
        <w:spacing w:before="156" w:beforeLines="50" w:after="156" w:afterLines="50" w:line="360" w:lineRule="auto"/>
        <w:ind w:left="425"/>
        <w:rPr>
          <w:rFonts w:hint="eastAsia" w:ascii="仿宋_GB2312" w:hAnsi="仿宋_GB2312" w:eastAsia="仿宋_GB2312" w:cs="仿宋_GB2312"/>
          <w:b/>
          <w:sz w:val="30"/>
          <w:szCs w:val="30"/>
          <w:highlight w:val="none"/>
        </w:rPr>
      </w:pPr>
      <w:r>
        <w:rPr>
          <w:rFonts w:hint="eastAsia" w:ascii="仿宋_GB2312" w:hAnsi="仿宋_GB2312" w:eastAsia="仿宋_GB2312" w:cs="仿宋_GB2312"/>
          <w:b/>
          <w:sz w:val="30"/>
          <w:szCs w:val="30"/>
          <w:highlight w:val="none"/>
        </w:rPr>
        <w:t>第十条  乙方的权利和义务</w:t>
      </w:r>
    </w:p>
    <w:p w14:paraId="50EAE7A6">
      <w:pPr>
        <w:adjustRightInd w:val="0"/>
        <w:spacing w:line="360" w:lineRule="auto"/>
        <w:ind w:firstLine="440" w:firstLineChars="200"/>
        <w:jc w:val="left"/>
        <w:textAlignment w:val="baseline"/>
        <w:rPr>
          <w:rFonts w:hint="eastAsia" w:ascii="仿宋_GB2312" w:hAnsi="仿宋_GB2312" w:eastAsia="仿宋_GB2312" w:cs="仿宋_GB2312"/>
          <w:bCs/>
          <w:szCs w:val="21"/>
          <w:highlight w:val="none"/>
        </w:rPr>
      </w:pPr>
      <w:r>
        <w:rPr>
          <w:rFonts w:hint="eastAsia" w:ascii="仿宋_GB2312" w:hAnsi="仿宋_GB2312" w:eastAsia="仿宋_GB2312" w:cs="仿宋_GB2312"/>
          <w:bCs/>
          <w:szCs w:val="21"/>
          <w:highlight w:val="none"/>
        </w:rPr>
        <w:t>1.对本合同规定的委托服务范围内的项目享有管理权及服务义务。</w:t>
      </w:r>
    </w:p>
    <w:p w14:paraId="22B997D2">
      <w:pPr>
        <w:adjustRightInd w:val="0"/>
        <w:spacing w:line="360" w:lineRule="auto"/>
        <w:ind w:firstLine="440" w:firstLineChars="200"/>
        <w:jc w:val="left"/>
        <w:textAlignment w:val="baseline"/>
        <w:rPr>
          <w:rFonts w:hint="eastAsia" w:ascii="仿宋_GB2312" w:hAnsi="仿宋_GB2312" w:eastAsia="仿宋_GB2312" w:cs="仿宋_GB2312"/>
          <w:bCs/>
          <w:szCs w:val="21"/>
          <w:highlight w:val="none"/>
        </w:rPr>
      </w:pPr>
      <w:r>
        <w:rPr>
          <w:rFonts w:hint="eastAsia" w:ascii="仿宋_GB2312" w:hAnsi="仿宋_GB2312" w:eastAsia="仿宋_GB2312" w:cs="仿宋_GB2312"/>
          <w:bCs/>
          <w:szCs w:val="21"/>
          <w:highlight w:val="none"/>
        </w:rPr>
        <w:t>2.根据本合同的规定向甲方收取相关服务费用，并有权在本项目管理范围内管理及合理使用。</w:t>
      </w:r>
    </w:p>
    <w:p w14:paraId="3BDB6099">
      <w:pPr>
        <w:adjustRightInd w:val="0"/>
        <w:spacing w:line="360" w:lineRule="auto"/>
        <w:ind w:firstLine="440" w:firstLineChars="200"/>
        <w:jc w:val="left"/>
        <w:textAlignment w:val="baseline"/>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3.及时向甲方通告本项目服务范围内有关服务的重大事项，及时配合处理投诉。</w:t>
      </w:r>
    </w:p>
    <w:p w14:paraId="04E781C1">
      <w:pPr>
        <w:adjustRightInd w:val="0"/>
        <w:spacing w:line="360" w:lineRule="auto"/>
        <w:ind w:firstLine="440" w:firstLineChars="200"/>
        <w:jc w:val="left"/>
        <w:textAlignment w:val="baseline"/>
        <w:rPr>
          <w:rFonts w:hint="eastAsia" w:ascii="仿宋_GB2312" w:hAnsi="仿宋_GB2312" w:eastAsia="仿宋_GB2312" w:cs="仿宋_GB2312"/>
          <w:bCs/>
          <w:szCs w:val="21"/>
          <w:highlight w:val="none"/>
        </w:rPr>
      </w:pPr>
      <w:r>
        <w:rPr>
          <w:rFonts w:hint="eastAsia" w:ascii="仿宋_GB2312" w:hAnsi="仿宋_GB2312" w:eastAsia="仿宋_GB2312" w:cs="仿宋_GB2312"/>
          <w:szCs w:val="21"/>
          <w:highlight w:val="none"/>
        </w:rPr>
        <w:t>4.</w:t>
      </w:r>
      <w:r>
        <w:rPr>
          <w:rFonts w:hint="eastAsia" w:ascii="仿宋_GB2312" w:hAnsi="仿宋_GB2312" w:eastAsia="仿宋_GB2312" w:cs="仿宋_GB2312"/>
          <w:bCs/>
          <w:szCs w:val="21"/>
          <w:highlight w:val="none"/>
        </w:rPr>
        <w:t>接受项目行业管理部门及政府有关部门的指导，接受甲方的监督。</w:t>
      </w:r>
    </w:p>
    <w:p w14:paraId="4F5ED29F">
      <w:pPr>
        <w:adjustRightInd w:val="0"/>
        <w:spacing w:line="360" w:lineRule="auto"/>
        <w:ind w:firstLine="440" w:firstLineChars="200"/>
        <w:jc w:val="left"/>
        <w:textAlignment w:val="baseline"/>
        <w:rPr>
          <w:rFonts w:hint="eastAsia" w:ascii="仿宋_GB2312" w:hAnsi="仿宋_GB2312" w:eastAsia="仿宋_GB2312" w:cs="仿宋_GB2312"/>
          <w:bCs/>
          <w:szCs w:val="21"/>
          <w:highlight w:val="none"/>
        </w:rPr>
      </w:pPr>
      <w:r>
        <w:rPr>
          <w:rFonts w:hint="eastAsia" w:ascii="仿宋_GB2312" w:hAnsi="仿宋_GB2312" w:eastAsia="仿宋_GB2312" w:cs="仿宋_GB2312"/>
          <w:bCs/>
          <w:szCs w:val="21"/>
          <w:highlight w:val="none"/>
        </w:rPr>
        <w:t>5.国家法律、法规所规定由乙方承担的其它责任。</w:t>
      </w:r>
    </w:p>
    <w:p w14:paraId="18981B94">
      <w:pPr>
        <w:adjustRightInd w:val="0"/>
        <w:spacing w:line="360" w:lineRule="auto"/>
        <w:ind w:firstLine="440" w:firstLineChars="200"/>
        <w:jc w:val="left"/>
        <w:textAlignment w:val="baseline"/>
        <w:rPr>
          <w:rFonts w:hint="eastAsia" w:ascii="仿宋_GB2312" w:hAnsi="仿宋_GB2312" w:eastAsia="仿宋_GB2312" w:cs="仿宋_GB2312"/>
          <w:bCs/>
          <w:szCs w:val="21"/>
          <w:highlight w:val="none"/>
        </w:rPr>
      </w:pPr>
      <w:r>
        <w:rPr>
          <w:rFonts w:hint="eastAsia" w:ascii="仿宋_GB2312" w:hAnsi="仿宋_GB2312" w:eastAsia="仿宋_GB2312" w:cs="仿宋_GB2312"/>
          <w:bCs/>
          <w:szCs w:val="21"/>
          <w:highlight w:val="none"/>
        </w:rPr>
        <w:t>6.乙方对执行业务过程中知悉的甲方商业秘密严加保密，不得泄露咨询委托人不愿公开的其他信息。除非国家执业准则另有规定，或经甲方同意，乙方不得将其知悉的商业秘密和甲方提供的资料对外泄露。</w:t>
      </w:r>
    </w:p>
    <w:p w14:paraId="2520FC3B">
      <w:pPr>
        <w:spacing w:before="156" w:beforeLines="50" w:after="156" w:afterLines="50" w:line="360" w:lineRule="auto"/>
        <w:ind w:left="425"/>
        <w:rPr>
          <w:rFonts w:hint="eastAsia" w:ascii="仿宋_GB2312" w:hAnsi="仿宋_GB2312" w:eastAsia="仿宋_GB2312" w:cs="仿宋_GB2312"/>
          <w:b/>
          <w:sz w:val="30"/>
          <w:szCs w:val="30"/>
          <w:highlight w:val="none"/>
        </w:rPr>
      </w:pPr>
      <w:r>
        <w:rPr>
          <w:rFonts w:hint="eastAsia" w:ascii="仿宋_GB2312" w:hAnsi="仿宋_GB2312" w:eastAsia="仿宋_GB2312" w:cs="仿宋_GB2312"/>
          <w:b/>
          <w:sz w:val="30"/>
          <w:szCs w:val="30"/>
          <w:highlight w:val="none"/>
        </w:rPr>
        <w:t>第十一条  违约责任</w:t>
      </w:r>
    </w:p>
    <w:p w14:paraId="6A4F2084">
      <w:pPr>
        <w:adjustRightInd w:val="0"/>
        <w:spacing w:line="360" w:lineRule="auto"/>
        <w:ind w:firstLine="440" w:firstLineChars="200"/>
        <w:jc w:val="left"/>
        <w:textAlignment w:val="baseline"/>
        <w:rPr>
          <w:rFonts w:hint="eastAsia" w:ascii="仿宋_GB2312" w:hAnsi="仿宋_GB2312" w:eastAsia="仿宋_GB2312" w:cs="仿宋_GB2312"/>
          <w:bCs/>
          <w:szCs w:val="21"/>
          <w:highlight w:val="none"/>
        </w:rPr>
      </w:pPr>
      <w:r>
        <w:rPr>
          <w:rFonts w:hint="eastAsia" w:ascii="仿宋_GB2312" w:hAnsi="仿宋_GB2312" w:eastAsia="仿宋_GB2312" w:cs="仿宋_GB2312"/>
          <w:bCs/>
          <w:szCs w:val="21"/>
          <w:highlight w:val="none"/>
        </w:rPr>
        <w:t>1.甲乙双方必须遵守本合同并执行合同中的各项规定，保证本合同的正常履行。</w:t>
      </w:r>
    </w:p>
    <w:p w14:paraId="2B1F906B">
      <w:pPr>
        <w:spacing w:line="360" w:lineRule="auto"/>
        <w:ind w:firstLine="440" w:firstLineChars="200"/>
        <w:rPr>
          <w:rFonts w:hint="eastAsia" w:ascii="仿宋_GB2312" w:hAnsi="仿宋_GB2312" w:eastAsia="仿宋_GB2312" w:cs="仿宋_GB2312"/>
          <w:spacing w:val="2"/>
          <w:szCs w:val="21"/>
          <w:highlight w:val="none"/>
        </w:rPr>
      </w:pPr>
      <w:r>
        <w:rPr>
          <w:rFonts w:hint="eastAsia" w:ascii="仿宋_GB2312" w:hAnsi="仿宋_GB2312" w:eastAsia="仿宋_GB2312" w:cs="仿宋_GB2312"/>
          <w:bCs/>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E529640">
      <w:pPr>
        <w:spacing w:before="156" w:beforeLines="50" w:after="156" w:afterLines="50" w:line="360" w:lineRule="auto"/>
        <w:ind w:left="425"/>
        <w:rPr>
          <w:rFonts w:hint="eastAsia" w:ascii="仿宋_GB2312" w:hAnsi="仿宋_GB2312" w:eastAsia="仿宋_GB2312" w:cs="仿宋_GB2312"/>
          <w:b/>
          <w:sz w:val="30"/>
          <w:szCs w:val="30"/>
          <w:highlight w:val="none"/>
        </w:rPr>
      </w:pPr>
      <w:r>
        <w:rPr>
          <w:rFonts w:hint="eastAsia" w:ascii="仿宋_GB2312" w:hAnsi="仿宋_GB2312" w:eastAsia="仿宋_GB2312" w:cs="仿宋_GB2312"/>
          <w:b/>
          <w:sz w:val="30"/>
          <w:szCs w:val="30"/>
          <w:highlight w:val="none"/>
        </w:rPr>
        <w:t>第十二条  不可抗力事件处理</w:t>
      </w:r>
    </w:p>
    <w:p w14:paraId="4C420D6C">
      <w:pPr>
        <w:tabs>
          <w:tab w:val="left" w:pos="0"/>
        </w:tabs>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1.在合同有效期内，任何一方因不可抗力事件导致不能履行合同，则合同履行期可延长，其延长期与不可抗力影响期相同。</w:t>
      </w:r>
    </w:p>
    <w:p w14:paraId="741433EA">
      <w:pPr>
        <w:tabs>
          <w:tab w:val="left" w:pos="0"/>
        </w:tabs>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2.不可抗力事件发生后，应立即通知对方，并寄送有关权威机构出具的证明。</w:t>
      </w:r>
    </w:p>
    <w:p w14:paraId="20D23425">
      <w:pPr>
        <w:tabs>
          <w:tab w:val="left" w:pos="0"/>
        </w:tabs>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3.不可抗力事件延续</w:t>
      </w:r>
      <w:r>
        <w:rPr>
          <w:rFonts w:hint="eastAsia" w:ascii="仿宋_GB2312" w:hAnsi="仿宋_GB2312" w:eastAsia="仿宋_GB2312" w:cs="仿宋_GB2312"/>
          <w:color w:val="000000"/>
          <w:szCs w:val="21"/>
          <w:highlight w:val="none"/>
          <w:lang w:val="en-US" w:eastAsia="zh-CN"/>
        </w:rPr>
        <w:t>30</w:t>
      </w:r>
      <w:r>
        <w:rPr>
          <w:rFonts w:hint="eastAsia" w:ascii="仿宋_GB2312" w:hAnsi="仿宋_GB2312" w:eastAsia="仿宋_GB2312" w:cs="仿宋_GB2312"/>
          <w:szCs w:val="21"/>
          <w:highlight w:val="none"/>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4EA0649">
      <w:pPr>
        <w:widowControl/>
        <w:spacing w:before="156" w:beforeLines="50" w:after="156" w:afterLines="50" w:line="360" w:lineRule="auto"/>
        <w:jc w:val="left"/>
        <w:rPr>
          <w:rFonts w:hint="eastAsia" w:ascii="仿宋_GB2312" w:hAnsi="仿宋_GB2312" w:eastAsia="仿宋_GB2312" w:cs="仿宋_GB2312"/>
          <w:color w:val="000000"/>
          <w:kern w:val="0"/>
          <w:sz w:val="30"/>
          <w:szCs w:val="30"/>
          <w:highlight w:val="none"/>
        </w:rPr>
      </w:pPr>
      <w:bookmarkStart w:id="18" w:name="_Toc211854454"/>
      <w:bookmarkStart w:id="19" w:name="_Toc251768867"/>
      <w:bookmarkStart w:id="20" w:name="_Toc237145411"/>
      <w:bookmarkStart w:id="21" w:name="_Toc232492933"/>
      <w:bookmarkStart w:id="22" w:name="_Toc239233919"/>
      <w:bookmarkStart w:id="23" w:name="_Toc212019599"/>
      <w:bookmarkStart w:id="24" w:name="_Toc241833908"/>
      <w:bookmarkStart w:id="25" w:name="_Toc185395254"/>
      <w:bookmarkStart w:id="26" w:name="_Toc286993792"/>
      <w:bookmarkStart w:id="27" w:name="_Toc239568423"/>
      <w:bookmarkStart w:id="28" w:name="_Toc225244857"/>
      <w:bookmarkStart w:id="29" w:name="_Toc211911353"/>
      <w:bookmarkStart w:id="30" w:name="_Toc247334846"/>
      <w:bookmarkStart w:id="31" w:name="_Toc225654649"/>
      <w:bookmarkStart w:id="32" w:name="_Toc225670756"/>
      <w:bookmarkStart w:id="33" w:name="_Toc238984980"/>
      <w:r>
        <w:rPr>
          <w:rFonts w:hint="eastAsia" w:ascii="仿宋_GB2312" w:hAnsi="仿宋_GB2312" w:eastAsia="仿宋_GB2312" w:cs="仿宋_GB2312"/>
          <w:b/>
          <w:sz w:val="30"/>
          <w:szCs w:val="30"/>
          <w:highlight w:val="none"/>
        </w:rPr>
        <w:t xml:space="preserve">   第十三条  </w:t>
      </w:r>
      <w:r>
        <w:rPr>
          <w:rFonts w:hint="eastAsia" w:ascii="仿宋_GB2312" w:hAnsi="仿宋_GB2312" w:eastAsia="仿宋_GB2312" w:cs="仿宋_GB2312"/>
          <w:b/>
          <w:color w:val="000000"/>
          <w:kern w:val="0"/>
          <w:sz w:val="30"/>
          <w:szCs w:val="30"/>
          <w:highlight w:val="none"/>
        </w:rPr>
        <w:t>合同的变更和终止</w:t>
      </w:r>
    </w:p>
    <w:p w14:paraId="39FF69DA">
      <w:pPr>
        <w:widowControl/>
        <w:spacing w:line="360" w:lineRule="auto"/>
        <w:ind w:firstLine="440" w:firstLineChars="200"/>
        <w:jc w:val="left"/>
        <w:rPr>
          <w:rFonts w:hint="eastAsia" w:ascii="仿宋_GB2312" w:hAnsi="仿宋_GB2312" w:eastAsia="仿宋_GB2312" w:cs="仿宋_GB2312"/>
          <w:color w:val="000000"/>
          <w:kern w:val="0"/>
          <w:szCs w:val="21"/>
          <w:highlight w:val="none"/>
        </w:rPr>
      </w:pPr>
      <w:r>
        <w:rPr>
          <w:rFonts w:hint="eastAsia" w:ascii="仿宋_GB2312" w:hAnsi="仿宋_GB2312" w:eastAsia="仿宋_GB2312" w:cs="仿宋_GB2312"/>
          <w:color w:val="000000"/>
          <w:kern w:val="0"/>
          <w:szCs w:val="21"/>
          <w:highlight w:val="none"/>
        </w:rPr>
        <w:t>除《中华人民共和国政府采购法》第49条、第50条第二款规定的情形外，本合同一经签订，甲乙双方不得擅自变更、中止或终止合同。</w:t>
      </w:r>
    </w:p>
    <w:p w14:paraId="25DAF114">
      <w:pPr>
        <w:spacing w:before="156" w:beforeLines="50" w:after="156" w:afterLines="50" w:line="360" w:lineRule="auto"/>
        <w:ind w:left="425"/>
        <w:rPr>
          <w:rFonts w:hint="eastAsia" w:ascii="仿宋_GB2312" w:hAnsi="仿宋_GB2312" w:eastAsia="仿宋_GB2312" w:cs="仿宋_GB2312"/>
          <w:b/>
          <w:szCs w:val="21"/>
          <w:highlight w:val="none"/>
        </w:rPr>
      </w:pPr>
      <w:r>
        <w:rPr>
          <w:rFonts w:hint="eastAsia" w:ascii="仿宋_GB2312" w:hAnsi="仿宋_GB2312" w:eastAsia="仿宋_GB2312" w:cs="仿宋_GB2312"/>
          <w:b/>
          <w:sz w:val="30"/>
          <w:szCs w:val="30"/>
          <w:highlight w:val="none"/>
        </w:rPr>
        <w:t>第十四条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312B912B">
      <w:pPr>
        <w:pStyle w:val="6"/>
        <w:spacing w:line="360" w:lineRule="auto"/>
        <w:ind w:firstLine="42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sz w:val="21"/>
          <w:szCs w:val="21"/>
          <w:highlight w:val="none"/>
        </w:rPr>
        <w:t>1.在执行本合同中发生的或与本合同有关的争端，双方应通过友好协商解决，经协商在</w:t>
      </w:r>
      <w:r>
        <w:rPr>
          <w:rFonts w:hint="eastAsia" w:ascii="仿宋_GB2312" w:hAnsi="仿宋_GB2312" w:eastAsia="仿宋_GB2312" w:cs="仿宋_GB2312"/>
          <w:color w:val="000000"/>
          <w:sz w:val="21"/>
          <w:szCs w:val="21"/>
          <w:highlight w:val="none"/>
          <w:lang w:val="en-US" w:eastAsia="zh-CN"/>
        </w:rPr>
        <w:t>30</w:t>
      </w:r>
      <w:r>
        <w:rPr>
          <w:rFonts w:hint="eastAsia" w:ascii="仿宋_GB2312" w:hAnsi="仿宋_GB2312" w:eastAsia="仿宋_GB2312" w:cs="仿宋_GB2312"/>
          <w:sz w:val="21"/>
          <w:szCs w:val="21"/>
          <w:highlight w:val="none"/>
        </w:rPr>
        <w:t>天内不能达成协议时，</w:t>
      </w:r>
      <w:r>
        <w:rPr>
          <w:rFonts w:hint="eastAsia" w:ascii="仿宋_GB2312" w:hAnsi="仿宋_GB2312" w:eastAsia="仿宋_GB2312" w:cs="仿宋_GB2312"/>
          <w:kern w:val="0"/>
          <w:sz w:val="21"/>
          <w:szCs w:val="21"/>
          <w:highlight w:val="none"/>
        </w:rPr>
        <w:t>则采取以下第1种方式解决争议：</w:t>
      </w:r>
    </w:p>
    <w:p w14:paraId="07E6FC55">
      <w:pPr>
        <w:pStyle w:val="6"/>
        <w:spacing w:line="360" w:lineRule="auto"/>
        <w:ind w:firstLine="42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（1）向甲方所在地有管辖权的人民法院提起诉讼；</w:t>
      </w:r>
    </w:p>
    <w:p w14:paraId="122F62CF">
      <w:pPr>
        <w:pStyle w:val="6"/>
        <w:spacing w:line="360" w:lineRule="auto"/>
        <w:ind w:firstLine="42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（2）向____________仲裁委员会按其仲裁规则申请仲裁。</w:t>
      </w:r>
    </w:p>
    <w:p w14:paraId="7C8AA694">
      <w:pPr>
        <w:tabs>
          <w:tab w:val="left" w:pos="0"/>
        </w:tabs>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kern w:val="0"/>
          <w:szCs w:val="21"/>
          <w:highlight w:val="none"/>
        </w:rPr>
        <w:t>2.在仲裁期间，本合同应继续履行。</w:t>
      </w:r>
    </w:p>
    <w:p w14:paraId="1970F0B2">
      <w:pPr>
        <w:spacing w:before="156" w:beforeLines="50" w:after="156" w:afterLines="50" w:line="360" w:lineRule="auto"/>
        <w:ind w:left="425"/>
        <w:rPr>
          <w:rFonts w:hint="eastAsia" w:ascii="仿宋_GB2312" w:hAnsi="仿宋_GB2312" w:eastAsia="仿宋_GB2312" w:cs="仿宋_GB2312"/>
          <w:b/>
          <w:sz w:val="30"/>
          <w:szCs w:val="30"/>
          <w:highlight w:val="none"/>
        </w:rPr>
      </w:pPr>
      <w:bookmarkStart w:id="34" w:name="_Toc237145412"/>
      <w:bookmarkStart w:id="35" w:name="_Toc241833909"/>
      <w:bookmarkStart w:id="36" w:name="_Toc225654650"/>
      <w:bookmarkStart w:id="37" w:name="_Toc286993793"/>
      <w:bookmarkStart w:id="38" w:name="_Toc212019600"/>
      <w:bookmarkStart w:id="39" w:name="_Toc251768868"/>
      <w:bookmarkStart w:id="40" w:name="_Toc283019219"/>
      <w:bookmarkStart w:id="41" w:name="_Toc232492934"/>
      <w:bookmarkStart w:id="42" w:name="_Toc239568424"/>
      <w:bookmarkStart w:id="43" w:name="_Toc238984981"/>
      <w:bookmarkStart w:id="44" w:name="_Toc247334847"/>
      <w:bookmarkStart w:id="45" w:name="_Toc239233920"/>
      <w:bookmarkStart w:id="46" w:name="_Toc211854455"/>
      <w:bookmarkStart w:id="47" w:name="_Toc282696231"/>
      <w:bookmarkStart w:id="48" w:name="_Toc211911354"/>
      <w:bookmarkStart w:id="49" w:name="_Toc225670757"/>
      <w:bookmarkStart w:id="50" w:name="_Toc185395255"/>
      <w:bookmarkStart w:id="51" w:name="_Toc225244858"/>
      <w:r>
        <w:rPr>
          <w:rFonts w:hint="eastAsia" w:ascii="仿宋_GB2312" w:hAnsi="仿宋_GB2312" w:eastAsia="仿宋_GB2312" w:cs="仿宋_GB2312"/>
          <w:b/>
          <w:sz w:val="30"/>
          <w:szCs w:val="30"/>
          <w:highlight w:val="none"/>
        </w:rPr>
        <w:t>第十五条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_GB2312" w:hAnsi="仿宋_GB2312" w:eastAsia="仿宋_GB2312" w:cs="仿宋_GB2312"/>
          <w:b/>
          <w:sz w:val="30"/>
          <w:szCs w:val="30"/>
          <w:highlight w:val="none"/>
        </w:rPr>
        <w:t>生效及其他</w:t>
      </w:r>
    </w:p>
    <w:p w14:paraId="16188A81">
      <w:pPr>
        <w:pStyle w:val="7"/>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1.合同经双方法定代表人或授权委托代理人签字并加盖单位公章后生效。</w:t>
      </w:r>
    </w:p>
    <w:p w14:paraId="7FFDF758">
      <w:pPr>
        <w:pStyle w:val="7"/>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128AC990">
      <w:pPr>
        <w:pStyle w:val="7"/>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3.本合同一式</w:t>
      </w:r>
      <w:r>
        <w:rPr>
          <w:rFonts w:hint="eastAsia" w:ascii="仿宋_GB2312" w:hAnsi="仿宋_GB2312" w:eastAsia="仿宋_GB2312" w:cs="仿宋_GB2312"/>
          <w:color w:val="000000"/>
          <w:sz w:val="21"/>
          <w:szCs w:val="21"/>
          <w:highlight w:val="none"/>
        </w:rPr>
        <w:t>XX</w:t>
      </w:r>
      <w:r>
        <w:rPr>
          <w:rFonts w:hint="eastAsia" w:ascii="仿宋_GB2312" w:hAnsi="仿宋_GB2312" w:eastAsia="仿宋_GB2312" w:cs="仿宋_GB2312"/>
          <w:sz w:val="21"/>
          <w:szCs w:val="21"/>
          <w:highlight w:val="none"/>
        </w:rPr>
        <w:t>份，自双方签章之日起起效。甲方</w:t>
      </w:r>
      <w:r>
        <w:rPr>
          <w:rFonts w:hint="eastAsia" w:ascii="仿宋_GB2312" w:hAnsi="仿宋_GB2312" w:eastAsia="仿宋_GB2312" w:cs="仿宋_GB2312"/>
          <w:color w:val="000000"/>
          <w:sz w:val="21"/>
          <w:szCs w:val="21"/>
          <w:highlight w:val="none"/>
        </w:rPr>
        <w:t>XX</w:t>
      </w:r>
      <w:r>
        <w:rPr>
          <w:rFonts w:hint="eastAsia" w:ascii="仿宋_GB2312" w:hAnsi="仿宋_GB2312" w:eastAsia="仿宋_GB2312" w:cs="仿宋_GB2312"/>
          <w:sz w:val="21"/>
          <w:szCs w:val="21"/>
          <w:highlight w:val="none"/>
        </w:rPr>
        <w:t>份，乙方</w:t>
      </w:r>
      <w:r>
        <w:rPr>
          <w:rFonts w:hint="eastAsia" w:ascii="仿宋_GB2312" w:hAnsi="仿宋_GB2312" w:eastAsia="仿宋_GB2312" w:cs="仿宋_GB2312"/>
          <w:color w:val="000000"/>
          <w:sz w:val="21"/>
          <w:szCs w:val="21"/>
          <w:highlight w:val="none"/>
        </w:rPr>
        <w:t>XX</w:t>
      </w:r>
      <w:r>
        <w:rPr>
          <w:rFonts w:hint="eastAsia" w:ascii="仿宋_GB2312" w:hAnsi="仿宋_GB2312" w:eastAsia="仿宋_GB2312" w:cs="仿宋_GB2312"/>
          <w:sz w:val="21"/>
          <w:szCs w:val="21"/>
          <w:highlight w:val="none"/>
        </w:rPr>
        <w:t>份，具有同等法律效力。</w:t>
      </w:r>
    </w:p>
    <w:p w14:paraId="6921DAFA">
      <w:pPr>
        <w:spacing w:after="156" w:afterLines="50" w:line="360" w:lineRule="auto"/>
        <w:ind w:left="425"/>
        <w:rPr>
          <w:rFonts w:hint="eastAsia" w:ascii="仿宋_GB2312" w:hAnsi="仿宋_GB2312" w:eastAsia="仿宋_GB2312" w:cs="仿宋_GB2312"/>
          <w:b/>
          <w:sz w:val="30"/>
          <w:szCs w:val="30"/>
          <w:highlight w:val="none"/>
        </w:rPr>
      </w:pPr>
      <w:r>
        <w:rPr>
          <w:rFonts w:hint="eastAsia" w:ascii="仿宋_GB2312" w:hAnsi="仿宋_GB2312" w:eastAsia="仿宋_GB2312" w:cs="仿宋_GB2312"/>
          <w:b/>
          <w:sz w:val="30"/>
          <w:szCs w:val="30"/>
          <w:highlight w:val="none"/>
        </w:rPr>
        <w:t>第十六条  附件</w:t>
      </w:r>
    </w:p>
    <w:p w14:paraId="13C8796F">
      <w:pPr>
        <w:pStyle w:val="7"/>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1.项目</w:t>
      </w:r>
      <w:r>
        <w:rPr>
          <w:rFonts w:hint="eastAsia" w:ascii="仿宋_GB2312" w:hAnsi="仿宋_GB2312" w:eastAsia="仿宋_GB2312" w:cs="仿宋_GB2312"/>
          <w:sz w:val="21"/>
          <w:szCs w:val="21"/>
          <w:highlight w:val="none"/>
          <w:lang w:val="en-US" w:eastAsia="zh-CN"/>
        </w:rPr>
        <w:t>采购</w:t>
      </w:r>
      <w:r>
        <w:rPr>
          <w:rFonts w:hint="eastAsia" w:ascii="仿宋_GB2312" w:hAnsi="仿宋_GB2312" w:eastAsia="仿宋_GB2312" w:cs="仿宋_GB2312"/>
          <w:sz w:val="21"/>
          <w:szCs w:val="21"/>
          <w:highlight w:val="none"/>
        </w:rPr>
        <w:t>文件</w:t>
      </w:r>
    </w:p>
    <w:p w14:paraId="18EB4981">
      <w:pPr>
        <w:pStyle w:val="7"/>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2.项目修改澄清文件</w:t>
      </w:r>
    </w:p>
    <w:p w14:paraId="51AE6F3C">
      <w:pPr>
        <w:pStyle w:val="7"/>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3.项目</w:t>
      </w:r>
      <w:r>
        <w:rPr>
          <w:rFonts w:hint="eastAsia" w:ascii="仿宋_GB2312" w:hAnsi="仿宋_GB2312" w:eastAsia="仿宋_GB2312" w:cs="仿宋_GB2312"/>
          <w:sz w:val="21"/>
          <w:szCs w:val="21"/>
          <w:highlight w:val="none"/>
          <w:lang w:val="en-US" w:eastAsia="zh-CN"/>
        </w:rPr>
        <w:t>响应</w:t>
      </w:r>
      <w:r>
        <w:rPr>
          <w:rFonts w:hint="eastAsia" w:ascii="仿宋_GB2312" w:hAnsi="仿宋_GB2312" w:eastAsia="仿宋_GB2312" w:cs="仿宋_GB2312"/>
          <w:sz w:val="21"/>
          <w:szCs w:val="21"/>
          <w:highlight w:val="none"/>
        </w:rPr>
        <w:t>文件</w:t>
      </w:r>
    </w:p>
    <w:p w14:paraId="450B10C8">
      <w:pPr>
        <w:pStyle w:val="7"/>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4.</w:t>
      </w:r>
      <w:r>
        <w:rPr>
          <w:rFonts w:hint="eastAsia" w:ascii="仿宋_GB2312" w:hAnsi="仿宋_GB2312" w:eastAsia="仿宋_GB2312" w:cs="仿宋_GB2312"/>
          <w:sz w:val="21"/>
          <w:szCs w:val="21"/>
          <w:highlight w:val="none"/>
          <w:lang w:val="en-US" w:eastAsia="zh-CN"/>
        </w:rPr>
        <w:t>成交</w:t>
      </w:r>
      <w:r>
        <w:rPr>
          <w:rFonts w:hint="eastAsia" w:ascii="仿宋_GB2312" w:hAnsi="仿宋_GB2312" w:eastAsia="仿宋_GB2312" w:cs="仿宋_GB2312"/>
          <w:sz w:val="21"/>
          <w:szCs w:val="21"/>
          <w:highlight w:val="none"/>
        </w:rPr>
        <w:t>通知书</w:t>
      </w:r>
    </w:p>
    <w:p w14:paraId="022FC30E">
      <w:pPr>
        <w:pStyle w:val="7"/>
        <w:spacing w:line="360" w:lineRule="auto"/>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5.其他</w:t>
      </w:r>
    </w:p>
    <w:p w14:paraId="7CCD6DDE">
      <w:pPr>
        <w:spacing w:line="360" w:lineRule="auto"/>
        <w:rPr>
          <w:rFonts w:hint="eastAsia" w:ascii="仿宋_GB2312" w:hAnsi="仿宋_GB2312" w:eastAsia="仿宋_GB2312" w:cs="仿宋_GB2312"/>
          <w:szCs w:val="21"/>
          <w:highlight w:val="none"/>
        </w:rPr>
      </w:pPr>
    </w:p>
    <w:p w14:paraId="3CE68446">
      <w:pPr>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甲方：   （盖章）   </w:t>
      </w:r>
      <w:r>
        <w:rPr>
          <w:rFonts w:hint="eastAsia" w:ascii="仿宋_GB2312" w:hAnsi="仿宋_GB2312" w:eastAsia="仿宋_GB2312" w:cs="仿宋_GB2312"/>
          <w:szCs w:val="21"/>
          <w:highlight w:val="none"/>
        </w:rPr>
        <w:tab/>
      </w:r>
      <w:r>
        <w:rPr>
          <w:rFonts w:hint="eastAsia" w:ascii="仿宋_GB2312" w:hAnsi="仿宋_GB2312" w:eastAsia="仿宋_GB2312" w:cs="仿宋_GB2312"/>
          <w:szCs w:val="21"/>
          <w:highlight w:val="none"/>
        </w:rPr>
        <w:tab/>
      </w:r>
      <w:r>
        <w:rPr>
          <w:rFonts w:hint="eastAsia" w:ascii="仿宋_GB2312" w:hAnsi="仿宋_GB2312" w:eastAsia="仿宋_GB2312" w:cs="仿宋_GB2312"/>
          <w:szCs w:val="21"/>
          <w:highlight w:val="none"/>
        </w:rPr>
        <w:tab/>
      </w:r>
      <w:r>
        <w:rPr>
          <w:rFonts w:hint="eastAsia" w:ascii="仿宋_GB2312" w:hAnsi="仿宋_GB2312" w:eastAsia="仿宋_GB2312" w:cs="仿宋_GB2312"/>
          <w:szCs w:val="21"/>
          <w:highlight w:val="none"/>
        </w:rPr>
        <w:t xml:space="preserve">       乙方：   （盖章）</w:t>
      </w:r>
    </w:p>
    <w:p w14:paraId="0E637362">
      <w:pPr>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法定代表人（委托代理人）：              法定代表人（委托代理人）：</w:t>
      </w:r>
    </w:p>
    <w:p w14:paraId="69053C25">
      <w:pPr>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地    址：                             地    址：</w:t>
      </w:r>
    </w:p>
    <w:p w14:paraId="145D2D3E">
      <w:pPr>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开户银行：                             开户银行：</w:t>
      </w:r>
    </w:p>
    <w:p w14:paraId="0CA4FBEB">
      <w:pPr>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账号：                                 账号：</w:t>
      </w:r>
    </w:p>
    <w:p w14:paraId="13A2B0FC">
      <w:pPr>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电    话：                             电    话：</w:t>
      </w:r>
    </w:p>
    <w:p w14:paraId="03968195">
      <w:pPr>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传    真：                             传    真：</w:t>
      </w:r>
    </w:p>
    <w:p w14:paraId="6B03E6A4">
      <w:pPr>
        <w:spacing w:line="360" w:lineRule="auto"/>
        <w:ind w:firstLine="440" w:firstLineChars="20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签约日期：  年  月  日 </w:t>
      </w:r>
      <w:r>
        <w:rPr>
          <w:rFonts w:hint="eastAsia" w:ascii="仿宋_GB2312" w:hAnsi="仿宋_GB2312" w:eastAsia="仿宋_GB2312" w:cs="仿宋_GB2312"/>
          <w:szCs w:val="21"/>
          <w:highlight w:val="none"/>
        </w:rPr>
        <w:tab/>
      </w:r>
      <w:r>
        <w:rPr>
          <w:rFonts w:hint="eastAsia" w:ascii="仿宋_GB2312" w:hAnsi="仿宋_GB2312" w:eastAsia="仿宋_GB2312" w:cs="仿宋_GB2312"/>
          <w:szCs w:val="21"/>
          <w:highlight w:val="none"/>
        </w:rPr>
        <w:tab/>
      </w:r>
      <w:r>
        <w:rPr>
          <w:rFonts w:hint="eastAsia" w:ascii="仿宋_GB2312" w:hAnsi="仿宋_GB2312" w:eastAsia="仿宋_GB2312" w:cs="仿宋_GB2312"/>
          <w:szCs w:val="21"/>
          <w:highlight w:val="none"/>
        </w:rPr>
        <w:tab/>
      </w:r>
      <w:r>
        <w:rPr>
          <w:rFonts w:hint="eastAsia" w:ascii="仿宋_GB2312" w:hAnsi="仿宋_GB2312" w:eastAsia="仿宋_GB2312" w:cs="仿宋_GB2312"/>
          <w:szCs w:val="21"/>
          <w:highlight w:val="none"/>
        </w:rPr>
        <w:t xml:space="preserve">   签约日期：    年  月  </w:t>
      </w:r>
      <w:r>
        <w:rPr>
          <w:rFonts w:hint="eastAsia" w:ascii="仿宋_GB2312" w:hAnsi="仿宋_GB2312" w:eastAsia="仿宋_GB2312" w:cs="仿宋_GB2312"/>
          <w:color w:val="000000"/>
          <w:szCs w:val="21"/>
          <w:highlight w:val="none"/>
        </w:rPr>
        <w:t>日</w:t>
      </w:r>
    </w:p>
    <w:p w14:paraId="346AD22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09F14"/>
    <w:multiLevelType w:val="singleLevel"/>
    <w:tmpl w:val="A9909F14"/>
    <w:lvl w:ilvl="0" w:tentative="0">
      <w:start w:val="1"/>
      <w:numFmt w:val="decimal"/>
      <w:suff w:val="nothing"/>
      <w:lvlText w:val="%1."/>
      <w:lvlJc w:val="left"/>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E7265F"/>
    <w:rsid w:val="428D483B"/>
    <w:rsid w:val="4BE72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customStyle="1" w:styleId="6">
    <w:name w:val="样式 首行缩进:  2 字符"/>
    <w:basedOn w:val="1"/>
    <w:qFormat/>
    <w:uiPriority w:val="0"/>
    <w:pPr>
      <w:spacing w:line="400" w:lineRule="exact"/>
      <w:ind w:firstLine="200" w:firstLineChars="200"/>
    </w:pPr>
    <w:rPr>
      <w:rFonts w:cs="宋体"/>
      <w:sz w:val="24"/>
    </w:rPr>
  </w:style>
  <w:style w:type="paragraph" w:styleId="7">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5</Pages>
  <Words>0</Words>
  <Characters>0</Characters>
  <Lines>0</Lines>
  <Paragraphs>0</Paragraphs>
  <TotalTime>4</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2025-08-20T02:14:00Z</dcterms:created>
  <dc:creator>나무</dc:creator>
  <cp:lastModifiedBy>나무</cp:lastModifiedBy>
  <dcterms:modified xsi:type="dcterms:W3CDTF">2025-08-20T02:18:10Z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E300DEE632DD4609A95B52A7F1626624_11</vt:lpwstr>
  </property>
  <property fmtid="{D5CDD505-2E9C-101B-9397-08002B2CF9AE}" pid="4" name="KSOTemplateDocerSaveRecord">
    <vt:lpwstr>eyJoZGlkIjoiZDM2MjBhMjExNDFiMmIwZDk1YmZmZjg2MjNlNzJlNmYiLCJ1c2VySWQiOiIyMTEwOTY5ODUifQ==</vt:lpwstr>
  </property>
</Properties>
</file>