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版本号：SCZA2025-CS-1983-00120250820001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全省城市建筑垃圾遥感检测项目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SCZA2025-CS-1983-001</w:t>
      </w:r>
      <w:r>
        <w:br/>
      </w:r>
      <w:r>
        <w:br/>
      </w:r>
      <w:r>
        <w:br/>
      </w:r>
    </w:p>
    <w:p>
      <w:pPr>
        <w:pStyle w:val="null3"/>
        <w:jc w:val="center"/>
        <w:outlineLvl w:val="2"/>
      </w:pPr>
      <w:r>
        <w:rPr>
          <w:rFonts w:ascii="仿宋_GB2312" w:hAnsi="仿宋_GB2312" w:cs="仿宋_GB2312" w:eastAsia="仿宋_GB2312"/>
          <w:sz w:val="28"/>
          <w:b/>
        </w:rPr>
        <w:t>陕西省住房和城乡建设厅机关</w:t>
      </w:r>
    </w:p>
    <w:p>
      <w:pPr>
        <w:pStyle w:val="null3"/>
        <w:jc w:val="center"/>
        <w:outlineLvl w:val="2"/>
      </w:pPr>
      <w:r>
        <w:rPr>
          <w:rFonts w:ascii="仿宋_GB2312" w:hAnsi="仿宋_GB2312" w:cs="仿宋_GB2312" w:eastAsia="仿宋_GB2312"/>
          <w:sz w:val="28"/>
          <w:b/>
        </w:rPr>
        <w:t>陕西省采购招标有限责任公司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2025年08月20日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陕西省采购招标有限责任公司</w:t>
      </w:r>
      <w:r>
        <w:rPr>
          <w:rFonts w:ascii="仿宋_GB2312" w:hAnsi="仿宋_GB2312" w:cs="仿宋_GB2312" w:eastAsia="仿宋_GB2312"/>
        </w:rPr>
        <w:t>（以下简称“代理机构”）受</w:t>
      </w:r>
      <w:r>
        <w:rPr>
          <w:rFonts w:ascii="仿宋_GB2312" w:hAnsi="仿宋_GB2312" w:cs="仿宋_GB2312" w:eastAsia="仿宋_GB2312"/>
        </w:rPr>
        <w:t>陕西省住房和城乡建设厅机关</w:t>
      </w:r>
      <w:r>
        <w:rPr>
          <w:rFonts w:ascii="仿宋_GB2312" w:hAnsi="仿宋_GB2312" w:cs="仿宋_GB2312" w:eastAsia="仿宋_GB2312"/>
        </w:rPr>
        <w:t>委托，拟对</w:t>
      </w:r>
      <w:r>
        <w:rPr>
          <w:rFonts w:ascii="仿宋_GB2312" w:hAnsi="仿宋_GB2312" w:cs="仿宋_GB2312" w:eastAsia="仿宋_GB2312"/>
        </w:rPr>
        <w:t>全省城市建筑垃圾遥感检测项目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SCZA2025-CS-1983-001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全省城市建筑垃圾遥感检测项目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运用卫星图像遥感定位等监测手段，充分发挥建筑垃圾信息化监管作用，对全省11个市区（含杨凌示范区）全域进行卫星遥感，形成疑似建筑垃圾堆体清单，共计遥感4次。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特定资格条件：供应商在递交投标文件截止时间前被“信用中国”网站（www.creditchina.gov.cn）和中国政府采购网（www.ccgp.gov.cn）上被列入失信被执行人、重大税收违法失信主体、政府采购严重违法失信行为记录名单的，不得参加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陕西省住房和城乡建设厅机关</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西安市新城广场陕西省人民政府院内前大楼9楼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于老师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029-63918650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陕西省采购招标有限责任公司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陕西省西安市雁塔区锦业路1号都市之门C座9层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李盼盼、白国锋</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029-85266644</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采购包1保证金金额：7,000.00元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开户名称：陕西省采购招标有限责任公司</w:t>
            </w:r>
          </w:p>
          <w:p>
            <w:pPr>
              <w:pStyle w:val="null3"/>
            </w:pPr>
            <w:r>
              <w:rPr>
                <w:rFonts w:ascii="仿宋_GB2312" w:hAnsi="仿宋_GB2312" w:cs="仿宋_GB2312" w:eastAsia="仿宋_GB2312"/>
              </w:rPr>
              <w:t>开户银行：中国银行西安南郊支行营业部</w:t>
            </w:r>
          </w:p>
          <w:p>
            <w:pPr>
              <w:pStyle w:val="null3"/>
            </w:pPr>
            <w:r>
              <w:rPr>
                <w:rFonts w:ascii="仿宋_GB2312" w:hAnsi="仿宋_GB2312" w:cs="仿宋_GB2312" w:eastAsia="仿宋_GB2312"/>
              </w:rPr>
              <w:t>银行账号：102462457537</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60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代理服务费收费标准：参照原《国家计委关于印发&lt;招标代理服务收费管理暂行办法&gt;的通知》（计价格[2002]1980号）规定标准（按标段）收取，不足6000元按6000元收取。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陕西省住房和城乡建设厅机关</w:t>
      </w:r>
      <w:r>
        <w:rPr>
          <w:rFonts w:ascii="仿宋_GB2312" w:hAnsi="仿宋_GB2312" w:cs="仿宋_GB2312" w:eastAsia="仿宋_GB2312"/>
        </w:rPr>
        <w:t>和</w:t>
      </w:r>
      <w:r>
        <w:rPr>
          <w:rFonts w:ascii="仿宋_GB2312" w:hAnsi="仿宋_GB2312" w:cs="仿宋_GB2312" w:eastAsia="仿宋_GB2312"/>
        </w:rPr>
        <w:t>陕西省采购招标有限责任公司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陕西省住房和城乡建设厅机关</w:t>
      </w:r>
      <w:r>
        <w:rPr>
          <w:rFonts w:ascii="仿宋_GB2312" w:hAnsi="仿宋_GB2312" w:cs="仿宋_GB2312" w:eastAsia="仿宋_GB2312"/>
        </w:rPr>
        <w:t>负责解释。除上述磋商文件内容，其他内容由</w:t>
      </w:r>
      <w:r>
        <w:rPr>
          <w:rFonts w:ascii="仿宋_GB2312" w:hAnsi="仿宋_GB2312" w:cs="仿宋_GB2312" w:eastAsia="仿宋_GB2312"/>
        </w:rPr>
        <w:t>陕西省采购招标有限责任公司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陕西省住房和城乡建设厅机关</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陕西省采购招标有限责任公司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联系人：综合办公室</w:t>
      </w:r>
    </w:p>
    <w:p>
      <w:pPr>
        <w:pStyle w:val="null3"/>
      </w:pPr>
      <w:r>
        <w:rPr>
          <w:rFonts w:ascii="仿宋_GB2312" w:hAnsi="仿宋_GB2312" w:cs="仿宋_GB2312" w:eastAsia="仿宋_GB2312"/>
        </w:rPr>
        <w:t>联系电话：029-85235014</w:t>
      </w:r>
    </w:p>
    <w:p>
      <w:pPr>
        <w:pStyle w:val="null3"/>
      </w:pPr>
      <w:r>
        <w:rPr>
          <w:rFonts w:ascii="仿宋_GB2312" w:hAnsi="仿宋_GB2312" w:cs="仿宋_GB2312" w:eastAsia="仿宋_GB2312"/>
        </w:rPr>
        <w:t>地址：陕西省西安市雁塔区锦业路1号都市之门C座9层</w:t>
      </w:r>
    </w:p>
    <w:p>
      <w:pPr>
        <w:pStyle w:val="null3"/>
      </w:pPr>
      <w:r>
        <w:rPr>
          <w:rFonts w:ascii="仿宋_GB2312" w:hAnsi="仿宋_GB2312" w:cs="仿宋_GB2312" w:eastAsia="仿宋_GB2312"/>
        </w:rPr>
        <w:t>邮编：/</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运用卫星图像遥感定位等监测手段，充分发挥建筑垃圾信息化监管作用，对全省11个市区（含杨凌示范区）全域进行卫星遥感，形成疑似建筑垃圾堆体清单，共计遥感4次。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400,000.00</w:t>
      </w:r>
    </w:p>
    <w:p>
      <w:pPr>
        <w:pStyle w:val="null3"/>
      </w:pPr>
      <w:r>
        <w:rPr>
          <w:rFonts w:ascii="仿宋_GB2312" w:hAnsi="仿宋_GB2312" w:cs="仿宋_GB2312" w:eastAsia="仿宋_GB2312"/>
        </w:rPr>
        <w:t>采购包最高限价（元）: 400,000.00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开展全省城市建筑垃圾遥感检测</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标的名称：开展全省城市建筑垃圾遥感检测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rPr>
              <w:t>1.采购内容：运用卫星图像遥感定位等监测手段，充分发挥建筑垃圾信息化监管作用，对全省11个市区（含杨凌示范区）全域进行卫星遥感，形成疑似建筑垃圾堆体清单，共计遥感4次。</w:t>
            </w:r>
          </w:p>
          <w:p>
            <w:pPr>
              <w:pStyle w:val="null3"/>
            </w:pPr>
            <w:r>
              <w:rPr>
                <w:rFonts w:ascii="仿宋_GB2312" w:hAnsi="仿宋_GB2312" w:cs="仿宋_GB2312" w:eastAsia="仿宋_GB2312"/>
              </w:rPr>
              <w:t>2.主要功能或目标：按照住建部、国家发改委、生态环境部印发的的《全国城市建筑垃圾专项整治工作方案》，要求健全完善预警机制，充分运用卫星图像定位等技术手段，积极发挥建筑垃圾信息化监管作用。本项目通过开展全省11个市区（含杨凌示范区）的卫星遥感监测排查，将疑似建筑垃圾堆体信息反馈各地，开展核查整治工作，督导责任单位按照建筑垃圾管理有关要求全面整改，确保全省城市建筑垃圾专项整治工作取得积极成效。</w:t>
            </w:r>
          </w:p>
          <w:p>
            <w:pPr>
              <w:pStyle w:val="null3"/>
            </w:pPr>
            <w:r>
              <w:rPr>
                <w:rFonts w:ascii="仿宋_GB2312" w:hAnsi="仿宋_GB2312" w:cs="仿宋_GB2312" w:eastAsia="仿宋_GB2312"/>
              </w:rPr>
              <w:t>3.需满足的要求：组织对全省11个市区（含杨凌示范区）进行卫星遥感监测，原则上每两个月遥感1次，并分别形成各地市疑似建筑垃圾堆体清单，共计遥感4次，开展44组遥感监测数据的信息处理与综合应用；建立完善建筑垃圾乱堆乱倒排查清单和整治台账，并形成书面成果。</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自合同签订之日起120个日历日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自签订合同后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90.00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编制完成后，获得陕西省住房和城乡建设厅审定后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1、主体证明文件：（1）供应商是企业（包括合伙企业）的，应提供其在市场监督管理部门注册的有效“营业执照 ”的复印件；（2）供应商是事业单位的，应提供其有效的“事业单位法人证书”复印件；（3）供应商是非企业专业服务机构的，应提供其有效的“执业许可证”复印件；（4）供应商是民办非企业单位的，应提供其有效的登记证书复印件；（5）供应商是个体工商户的，应提供其有效的“营业执照”复印件；（6）供应商是自然人的，应提供其有效的自然人身份证明复印件。2、提供可满足履行合同所需设备和专业技术能力的证明材料或承诺 3、提供磋商截止时间前近六个月中至少一个月的纳税证明或完税证明，依法免税的单位应提供相关证明材料；时间以税款所属时期为准 4、提供磋商截止时间前近六个月中至少一个月的社会保障资金缴存单据或社保机构开具的社会保险参保缴费情况证明，依法不需要缴纳社会保障资金的单位应提供相关证明材料。 5、提供有效的参加政府采购活动前3年内在经营活动中没有重大违法记录的书面声明。</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1）或提供（2）：（1）提供递交响应文件截止之日前两年内任意一个年度经审计的财务报告，应满足以下要求：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2022年10月1日后出具的审计报告应当经过注册会计师行业统一监管平台备案赋码。②供应商适用《事业单位会计准则》的，财务报告是指上述指定年度整个会计年度财务报表（不要求必须是经审计的），复印件至少须包括资产负债表、收入支出表（或收入费用表）、财政补助收入支出表。③供应商适用《政府会计准则》的，财务报告是指上述指定年度整个会计年度财务报表（不要求必须是经审计的），复印件至少须包括资产负债表、收入费用表。④供应商适用《民间非营利组织会计制度》的，财务报告是指上述指定年度整个会计年度财务报表（不要求必须是经审计的），复印件至少须包括资产负债表、业务活动表、现金流量表。 ⑤供应商是上述四种情况以外情况的，按照其依法适用的会计制度、财务规则或会计准则提供财务报表复印件（不要求必须是经审计的）。 （2）提供资信证明原件扫描件或复印件，应满足以下要求：①资信证明须为递交响应文件截止时间前三个月内由供应商开户银行出具。②无论开具银行是否标明“复印无效”，供应商提供的复印件在本次磋商中予以认可（即不因“复印无效”字样而认定资信证明复印件无效）。③银行出具的存款证明不能替代银行资信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供应商特定资格条件</w:t>
            </w:r>
          </w:p>
        </w:tc>
        <w:tc>
          <w:tcPr>
            <w:tcW w:type="dxa" w:w="3322"/>
          </w:tcPr>
          <w:p>
            <w:pPr>
              <w:pStyle w:val="null3"/>
            </w:pPr>
            <w:r>
              <w:rPr>
                <w:rFonts w:ascii="仿宋_GB2312" w:hAnsi="仿宋_GB2312" w:cs="仿宋_GB2312" w:eastAsia="仿宋_GB2312"/>
              </w:rPr>
              <w:t>供应商在递交投标文件截止时间前被“信用中国”网站（www.creditchina.gov.cn）和中国政府采购网（www.ccgp.gov.cn）上被列入失信被执行人、重大税收违法失信主体、政府采购严重违法失信行为记录名单的，不得参加投标；</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按磋商文件格式要求加盖了供应商公章和有法定代表人/企业负责人或其授权代表签字或加盖人名章。</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供应商报价是固定价且未超过预算金额（磋商文件有最高限价的，报价未超过最高限价）；</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响应文件不含有采购人不能接受的附加条件；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遵循公平竞争的原则，没有弄虚作假、恶意串通或妨碍其他供应商的竞争行为，损害采购人或者其他供应商的合法权益； 弄虚作假、相互串通的情形见附注</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无法律、法规和磋商文件规定的其他无效情形；</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有效期满足磋商文件要求的；</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响应文件按规定的格式填写，内容完整且关键字迹清晰；</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备选方案</w:t>
            </w:r>
          </w:p>
        </w:tc>
        <w:tc>
          <w:tcPr>
            <w:tcW w:type="dxa" w:w="3322"/>
          </w:tcPr>
          <w:p>
            <w:pPr>
              <w:pStyle w:val="null3"/>
            </w:pPr>
            <w:r>
              <w:rPr>
                <w:rFonts w:ascii="仿宋_GB2312" w:hAnsi="仿宋_GB2312" w:cs="仿宋_GB2312" w:eastAsia="仿宋_GB2312"/>
              </w:rPr>
              <w:t>供应商不得提交两份或者多份内容不同的响应文件，或者在同一份响应文件中对同一磋商项目有两个或者多个报价；</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响应文件内容</w:t>
            </w:r>
          </w:p>
        </w:tc>
        <w:tc>
          <w:tcPr>
            <w:tcW w:type="dxa" w:w="3322"/>
          </w:tcPr>
          <w:p>
            <w:pPr>
              <w:pStyle w:val="null3"/>
            </w:pPr>
            <w:r>
              <w:rPr>
                <w:rFonts w:ascii="仿宋_GB2312" w:hAnsi="仿宋_GB2312" w:cs="仿宋_GB2312" w:eastAsia="仿宋_GB2312"/>
              </w:rPr>
              <w:t>供应商提供的服务无实质性遗漏</w:t>
            </w:r>
          </w:p>
        </w:tc>
        <w:tc>
          <w:tcPr>
            <w:tcW w:type="dxa" w:w="1661"/>
          </w:tcPr>
          <w:p>
            <w:pPr>
              <w:pStyle w:val="null3"/>
            </w:pPr>
            <w:r>
              <w:rPr>
                <w:rFonts w:ascii="仿宋_GB2312" w:hAnsi="仿宋_GB2312" w:cs="仿宋_GB2312" w:eastAsia="仿宋_GB2312"/>
              </w:rPr>
              <w:t>服务内容及服务邀请应答表</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技术响应</w:t>
            </w:r>
          </w:p>
        </w:tc>
        <w:tc>
          <w:tcPr>
            <w:tcW w:type="dxa" w:w="3322"/>
          </w:tcPr>
          <w:p>
            <w:pPr>
              <w:pStyle w:val="null3"/>
            </w:pPr>
            <w:r>
              <w:rPr>
                <w:rFonts w:ascii="仿宋_GB2312" w:hAnsi="仿宋_GB2312" w:cs="仿宋_GB2312" w:eastAsia="仿宋_GB2312"/>
              </w:rPr>
              <w:t>符合“采购需求”要求，无重大偏差</w:t>
            </w:r>
          </w:p>
        </w:tc>
        <w:tc>
          <w:tcPr>
            <w:tcW w:type="dxa" w:w="1661"/>
          </w:tcPr>
          <w:p>
            <w:pPr>
              <w:pStyle w:val="null3"/>
            </w:pPr>
            <w:r>
              <w:rPr>
                <w:rFonts w:ascii="仿宋_GB2312" w:hAnsi="仿宋_GB2312" w:cs="仿宋_GB2312" w:eastAsia="仿宋_GB2312"/>
              </w:rPr>
              <w:t>服务内容及服务邀请应答表</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服务期和服务地点</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服务内容及服务邀请应答表 商务应答表</w:t>
            </w:r>
          </w:p>
        </w:tc>
      </w:tr>
      <w:tr>
        <w:tc>
          <w:tcPr>
            <w:tcW w:type="dxa" w:w="831"/>
          </w:tcPr>
          <w:p>
            <w:pPr>
              <w:pStyle w:val="null3"/>
            </w:pPr>
            <w:r>
              <w:rPr>
                <w:rFonts w:ascii="仿宋_GB2312" w:hAnsi="仿宋_GB2312" w:cs="仿宋_GB2312" w:eastAsia="仿宋_GB2312"/>
              </w:rPr>
              <w:t>13</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磋商文件不允许偏差时，响应文件无负偏差；</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14</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按照磋商文件的规定提交磋商保证金（包括形式及金额）；</w:t>
            </w:r>
          </w:p>
        </w:tc>
        <w:tc>
          <w:tcPr>
            <w:tcW w:type="dxa" w:w="1661"/>
          </w:tcPr>
          <w:p>
            <w:pPr>
              <w:pStyle w:val="null3"/>
            </w:pPr>
            <w:r>
              <w:rPr>
                <w:rFonts w:ascii="仿宋_GB2312" w:hAnsi="仿宋_GB2312" w:cs="仿宋_GB2312" w:eastAsia="仿宋_GB2312"/>
              </w:rPr>
              <w:t>商务应答表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对本项目背景、政策解读与理解的深度、全面性、针对性及准确性；对现状情况收集与分析的全面性及准确性：（1）项目认知层次清晰、针对性强、与采购内容的吻合程度高的，得10分；（2）项目认知逻辑层次较清晰、针对性较强、与采购内容的吻合程度一般，内容较简单的，得6分；（3）项目认知层次不清晰、不全面，得3分；（4）未提供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技术方案</w:t>
            </w:r>
          </w:p>
        </w:tc>
        <w:tc>
          <w:tcPr>
            <w:tcW w:type="dxa" w:w="2492"/>
          </w:tcPr>
          <w:p>
            <w:pPr>
              <w:pStyle w:val="null3"/>
            </w:pPr>
            <w:r>
              <w:rPr>
                <w:rFonts w:ascii="仿宋_GB2312" w:hAnsi="仿宋_GB2312" w:cs="仿宋_GB2312" w:eastAsia="仿宋_GB2312"/>
              </w:rPr>
              <w:t>方案的完整性、严谨性、合理性、规范性：（1）方案逻辑层次清晰、针对性强、与采购内容的吻合程度高的，得10分；（2）方案逻辑层次较清晰、针对性较强、与采购内容的吻合程度一般，内容较简单的，得6分；（3）方案逻辑层次不清晰、不全面，得3分；（4）未提供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供应商对本项目提出的合理化意见与建议全面、具体、合理，可操作性强：（1）合理化建议层次清晰、针对性强、与采购内容的吻合程度高的，得10分；（2）合理化建议层次较清晰、针对性较强、与采购内容的吻合程度一般，内容较简单的，得6分；（3）合理化建议层次不清晰、不全面、得3分；（4）未提供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根据供应商的团队人员配备情况进行评审： （1）团队组织架构、人员构成及分工合理，岗位设置明确得10分； （2）团队组织架构、人员构成及分工较为合理，岗位设置比较明确得6分； （3）团队组织架构、人员构成及分工基本合理，岗位设置基本明确得3分； （4）未提供的不得分。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工作组织管理及重点、难点论述</w:t>
            </w:r>
          </w:p>
        </w:tc>
        <w:tc>
          <w:tcPr>
            <w:tcW w:type="dxa" w:w="2492"/>
          </w:tcPr>
          <w:p>
            <w:pPr>
              <w:pStyle w:val="null3"/>
            </w:pPr>
            <w:r>
              <w:rPr>
                <w:rFonts w:ascii="仿宋_GB2312" w:hAnsi="仿宋_GB2312" w:cs="仿宋_GB2312" w:eastAsia="仿宋_GB2312"/>
              </w:rPr>
              <w:t>1.根据方案的工作流程、进度计划、各阶段工作成果的完成时间计划的合理性、科学性综合比较：（1）对本次实施进度安排合理、详细具体，得10分；（2）对本次实施进度安排较合理、较详细计，得6分；（3）对本次实施进度安排不合理、不详细，得3分；（4）未提供的不得分。2. 针对本项目采购需求重点、难点进行论述：（1）项目需求重点、难点论述层次清晰、针对性强、与采购内容的吻合程度高的，得10分；（2）项目需求重点、难点论述层次较清晰、针对性较强、与采购内容的吻合程度一般，内容较简单的，得6分；（3）项目需求重点、难点论述层次不清晰、不全面，得3分；（4）未提供的不得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保密方案</w:t>
            </w:r>
          </w:p>
        </w:tc>
        <w:tc>
          <w:tcPr>
            <w:tcW w:type="dxa" w:w="2492"/>
          </w:tcPr>
          <w:p>
            <w:pPr>
              <w:pStyle w:val="null3"/>
            </w:pPr>
            <w:r>
              <w:rPr>
                <w:rFonts w:ascii="仿宋_GB2312" w:hAnsi="仿宋_GB2312" w:cs="仿宋_GB2312" w:eastAsia="仿宋_GB2312"/>
              </w:rPr>
              <w:t>供应商针对项目安全保密职责提供具体的保密措施，由磋商小组进行综合评审： （1）保密措施内容详细完整，且利于项目实施的得 10分；（2）保密措施内容满足本项目需求合理且不影响项目实施的得6分； (3)保密措施内容有欠缺，影响到项目实施的得 3分；（4）未提供的不得分。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提供2021年至今类似项目业绩，响应文件中附有合同作为证明文件，每提供一个业绩证明材料计2分，满分 10。（未提供或提供不全不得分）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供应商针对本项目的质量要求、进度要求、时限要求等做出承诺：（1）承诺完整详细、描述清晰、内容科学合理、可实施性强的，得5分；（2）承诺较完整但简单、内容合理性及可实施性一般的，得3分；（3）承诺内容有缺失，影响到项目实施的，得1分；（4）未提供的不得分。 2.供应商针对项目后期服务等相关内容做出承诺，内容全面可行：（1）承诺完整详细、描述清晰、内容科学合理、可实施性强的，得5分；（2）承诺较完整但简单、内容合理性及可实施性一般的，得3分；（3）承诺内容有缺失，影响到项目实施的，得1分；（4）未提供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满足磋商文件要求且最后报价最低的供应商的价格为磋商基准价，其价格分为满分。其他供应商的价格分统一按照下列公式计算：磋商报价得分=（磋商基准价/最后磋商报价）×价格权值；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 残疾人福利性单位声明函 标的清单 报价表 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