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版本号：DRZB2025-ZC-17220250825001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经济与管理学院数字经济实验室建设项目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DRZB2025-ZC-172</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经济与管理学院数字经济实验室建设项目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经济与管理学院数字经济实验室建设项目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经济与管理学院数字经济实验室建设项目，具体内容详见技术要求。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采购包1保证金金额：11,172.00元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国家发展改革委关于进一步放开建设项目专业服务价格的通知》发改价格〔2015〕299号的要求，参照原计价格〔2002〕1980号文、发改价格〔2011〕534号文件的计费标准，以中标(成交)价为基数计算，按照标准收取。中标人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经济与管理学院数字经济实验室建设项目，具体内容详见技术要求。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经济与管理学院数字经济实验室建设项目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标的名称：经济与管理学院数字经济实验室建设项目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经济与管理学院数字经济实验室建设项目设备清单</w:t>
                  </w:r>
                </w:p>
              </w:tc>
            </w:tr>
            <w:tr>
              <w:tc>
                <w:tcPr>
                  <w:tcW w:type="dxa" w:w="638"/>
                </w:tcPr>
                <w:p>
                  <w:pPr>
                    <w:pStyle w:val="null3"/>
                  </w:pPr>
                  <w:r>
                    <w:rPr>
                      <w:rFonts w:ascii="仿宋_GB2312" w:hAnsi="仿宋_GB2312" w:cs="仿宋_GB2312" w:eastAsia="仿宋_GB2312"/>
                      <w:sz w:val="19"/>
                    </w:rPr>
                    <w:t>序号</w:t>
                  </w:r>
                </w:p>
              </w:tc>
              <w:tc>
                <w:tcPr>
                  <w:tcW w:type="dxa" w:w="638"/>
                </w:tcPr>
                <w:p>
                  <w:pPr>
                    <w:pStyle w:val="null3"/>
                  </w:pPr>
                  <w:r>
                    <w:rPr>
                      <w:rFonts w:ascii="仿宋_GB2312" w:hAnsi="仿宋_GB2312" w:cs="仿宋_GB2312" w:eastAsia="仿宋_GB2312"/>
                      <w:sz w:val="19"/>
                    </w:rPr>
                    <w:t>设备名称</w:t>
                  </w:r>
                </w:p>
              </w:tc>
              <w:tc>
                <w:tcPr>
                  <w:tcW w:type="dxa" w:w="638"/>
                </w:tcPr>
                <w:p>
                  <w:pPr>
                    <w:pStyle w:val="null3"/>
                  </w:pPr>
                  <w:r>
                    <w:rPr>
                      <w:rFonts w:ascii="仿宋_GB2312" w:hAnsi="仿宋_GB2312" w:cs="仿宋_GB2312" w:eastAsia="仿宋_GB2312"/>
                      <w:sz w:val="19"/>
                    </w:rPr>
                    <w:t>技术参数</w:t>
                  </w:r>
                </w:p>
              </w:tc>
              <w:tc>
                <w:tcPr>
                  <w:tcW w:type="dxa" w:w="638"/>
                </w:tcPr>
                <w:p>
                  <w:pPr>
                    <w:pStyle w:val="null3"/>
                  </w:pPr>
                  <w:r>
                    <w:rPr>
                      <w:rFonts w:ascii="仿宋_GB2312" w:hAnsi="仿宋_GB2312" w:cs="仿宋_GB2312" w:eastAsia="仿宋_GB2312"/>
                      <w:sz w:val="19"/>
                    </w:rPr>
                    <w:t>购置</w:t>
                  </w:r>
                </w:p>
                <w:p>
                  <w:pPr>
                    <w:pStyle w:val="null3"/>
                  </w:pPr>
                  <w:r>
                    <w:rPr>
                      <w:rFonts w:ascii="仿宋_GB2312" w:hAnsi="仿宋_GB2312" w:cs="仿宋_GB2312" w:eastAsia="仿宋_GB2312"/>
                      <w:sz w:val="19"/>
                    </w:rPr>
                    <w:t>数量</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经济学虚拟仿真实验软件</w:t>
                  </w:r>
                </w:p>
              </w:tc>
              <w:tc>
                <w:tcPr>
                  <w:tcW w:type="dxa" w:w="638"/>
                </w:tcPr>
                <w:p>
                  <w:pPr>
                    <w:pStyle w:val="null3"/>
                  </w:pPr>
                  <w:r>
                    <w:rPr>
                      <w:rFonts w:ascii="仿宋_GB2312" w:hAnsi="仿宋_GB2312" w:cs="仿宋_GB2312" w:eastAsia="仿宋_GB2312"/>
                      <w:sz w:val="19"/>
                    </w:rPr>
                    <w:t>一、软件整体要求</w:t>
                  </w:r>
                  <w:r>
                    <w:br/>
                  </w:r>
                  <w:r>
                    <w:rPr>
                      <w:rFonts w:ascii="仿宋_GB2312" w:hAnsi="仿宋_GB2312" w:cs="仿宋_GB2312" w:eastAsia="仿宋_GB2312"/>
                      <w:sz w:val="19"/>
                    </w:rPr>
                    <w:t xml:space="preserve"> ▲1、B/S结构，无用户数限制，客户端不需要安装终端软件，支持基于校园网、互联网的应用。</w:t>
                  </w:r>
                  <w:r>
                    <w:br/>
                  </w:r>
                  <w:r>
                    <w:rPr>
                      <w:rFonts w:ascii="仿宋_GB2312" w:hAnsi="仿宋_GB2312" w:cs="仿宋_GB2312" w:eastAsia="仿宋_GB2312"/>
                      <w:sz w:val="19"/>
                    </w:rPr>
                    <w:t xml:space="preserve"> ▲2、本系统模拟的宏观经济和微观经济由商品市场、要素市场、货币市场、企业、政府、消费者组成。</w:t>
                  </w:r>
                  <w:r>
                    <w:br/>
                  </w:r>
                  <w:r>
                    <w:rPr>
                      <w:rFonts w:ascii="仿宋_GB2312" w:hAnsi="仿宋_GB2312" w:cs="仿宋_GB2312" w:eastAsia="仿宋_GB2312"/>
                      <w:sz w:val="19"/>
                    </w:rPr>
                    <w:t xml:space="preserve"> ▲3、包含竞赛模式和教学模式，分别适应教学和竞赛场景。</w:t>
                  </w:r>
                  <w:r>
                    <w:br/>
                  </w:r>
                  <w:r>
                    <w:rPr>
                      <w:rFonts w:ascii="仿宋_GB2312" w:hAnsi="仿宋_GB2312" w:cs="仿宋_GB2312" w:eastAsia="仿宋_GB2312"/>
                      <w:sz w:val="19"/>
                    </w:rPr>
                    <w:t xml:space="preserve"> 二、功能模块及具体要求</w:t>
                  </w:r>
                  <w:r>
                    <w:br/>
                  </w:r>
                  <w:r>
                    <w:rPr>
                      <w:rFonts w:ascii="仿宋_GB2312" w:hAnsi="仿宋_GB2312" w:cs="仿宋_GB2312" w:eastAsia="仿宋_GB2312"/>
                      <w:sz w:val="19"/>
                    </w:rPr>
                    <w:t xml:space="preserve"> 软件包括管理员、教师、学生三个角色的操作入口。</w:t>
                  </w:r>
                  <w:r>
                    <w:br/>
                  </w:r>
                  <w:r>
                    <w:rPr>
                      <w:rFonts w:ascii="仿宋_GB2312" w:hAnsi="仿宋_GB2312" w:cs="仿宋_GB2312" w:eastAsia="仿宋_GB2312"/>
                      <w:sz w:val="19"/>
                    </w:rPr>
                    <w:t xml:space="preserve"> （一）管理员端程序功能</w:t>
                  </w:r>
                  <w:r>
                    <w:br/>
                  </w:r>
                  <w:r>
                    <w:rPr>
                      <w:rFonts w:ascii="仿宋_GB2312" w:hAnsi="仿宋_GB2312" w:cs="仿宋_GB2312" w:eastAsia="仿宋_GB2312"/>
                      <w:sz w:val="19"/>
                    </w:rPr>
                    <w:t xml:space="preserve"> ▲1、背景资料：提供默认3份不同的背景资料，供所有教师使用，主要包括政府参数和背景参数。管理员也可新增新的背景资料。在背景参数中，管理员可以自定义设计原材料类型、企业类型、产品名称、土地供应量等。在政府参数中，管理员可以自定义设计宏观经济发展目标、财政政策、货币政策、土地起拍价等数据。</w:t>
                  </w:r>
                  <w:r>
                    <w:br/>
                  </w:r>
                  <w:r>
                    <w:rPr>
                      <w:rFonts w:ascii="仿宋_GB2312" w:hAnsi="仿宋_GB2312" w:cs="仿宋_GB2312" w:eastAsia="仿宋_GB2312"/>
                      <w:sz w:val="19"/>
                    </w:rPr>
                    <w:t xml:space="preserve"> （二）教师端程序功能</w:t>
                  </w:r>
                  <w:r>
                    <w:br/>
                  </w:r>
                  <w:r>
                    <w:rPr>
                      <w:rFonts w:ascii="仿宋_GB2312" w:hAnsi="仿宋_GB2312" w:cs="仿宋_GB2312" w:eastAsia="仿宋_GB2312"/>
                      <w:sz w:val="19"/>
                    </w:rPr>
                    <w:t xml:space="preserve"> 1教师端程序由实践课授课教师使用，主要帮助教师新增教学课程、导入学生账号、查看学生操作详情、下载实验报告等。</w:t>
                  </w:r>
                  <w:r>
                    <w:br/>
                  </w:r>
                  <w:r>
                    <w:rPr>
                      <w:rFonts w:ascii="仿宋_GB2312" w:hAnsi="仿宋_GB2312" w:cs="仿宋_GB2312" w:eastAsia="仿宋_GB2312"/>
                      <w:sz w:val="19"/>
                    </w:rPr>
                    <w:t xml:space="preserve"> ▲1、教学课程：提供教学课程新增、暂停/开始、删除、完成、删除功能。支持学生账号用文件导入的形式批量上传，也支持用账号前缀的形式批量创建学生账号。</w:t>
                  </w:r>
                  <w:r>
                    <w:br/>
                  </w:r>
                  <w:r>
                    <w:rPr>
                      <w:rFonts w:ascii="仿宋_GB2312" w:hAnsi="仿宋_GB2312" w:cs="仿宋_GB2312" w:eastAsia="仿宋_GB2312"/>
                      <w:sz w:val="19"/>
                    </w:rPr>
                    <w:t xml:space="preserve"> ▲2、角色分配：角色包含政府、完全垄断企业、寡头垄断企业、完全竞争企业四类，支持教师灵活设置学生角色。</w:t>
                  </w:r>
                  <w:r>
                    <w:br/>
                  </w:r>
                  <w:r>
                    <w:rPr>
                      <w:rFonts w:ascii="仿宋_GB2312" w:hAnsi="仿宋_GB2312" w:cs="仿宋_GB2312" w:eastAsia="仿宋_GB2312"/>
                      <w:sz w:val="19"/>
                    </w:rPr>
                    <w:t xml:space="preserve"> ▲3、数据分析：查看学生操作的宏观经济数据和微观经济数据。</w:t>
                  </w:r>
                  <w:r>
                    <w:br/>
                  </w:r>
                  <w:r>
                    <w:rPr>
                      <w:rFonts w:ascii="仿宋_GB2312" w:hAnsi="仿宋_GB2312" w:cs="仿宋_GB2312" w:eastAsia="仿宋_GB2312"/>
                      <w:sz w:val="19"/>
                    </w:rPr>
                    <w:t xml:space="preserve"> 宏观经济数据包括CPI、社会平均工资、个人总收入涨幅、实际GDP、通货膨胀率、失业率等；</w:t>
                  </w:r>
                  <w:r>
                    <w:br/>
                  </w:r>
                  <w:r>
                    <w:rPr>
                      <w:rFonts w:ascii="仿宋_GB2312" w:hAnsi="仿宋_GB2312" w:cs="仿宋_GB2312" w:eastAsia="仿宋_GB2312"/>
                      <w:sz w:val="19"/>
                    </w:rPr>
                    <w:t xml:space="preserve"> 微观经济数据包括工业总产值、固定资产、营业利润、工资总额、工业中间投入、增值税等。</w:t>
                  </w:r>
                  <w:r>
                    <w:br/>
                  </w:r>
                  <w:r>
                    <w:rPr>
                      <w:rFonts w:ascii="仿宋_GB2312" w:hAnsi="仿宋_GB2312" w:cs="仿宋_GB2312" w:eastAsia="仿宋_GB2312"/>
                      <w:sz w:val="19"/>
                    </w:rPr>
                    <w:t xml:space="preserve"> ▲4、实验分数：主要包括评分方案和实验得分。</w:t>
                  </w:r>
                  <w:r>
                    <w:br/>
                  </w:r>
                  <w:r>
                    <w:rPr>
                      <w:rFonts w:ascii="仿宋_GB2312" w:hAnsi="仿宋_GB2312" w:cs="仿宋_GB2312" w:eastAsia="仿宋_GB2312"/>
                      <w:sz w:val="19"/>
                    </w:rPr>
                    <w:t xml:space="preserve"> ▲（1）评分方案：提供默认评分方案，主要包括类型和比重，类目涉及实验分数、学生平时成绩两项。教师可以新增评分方案，自定义增加类目和比重。</w:t>
                  </w:r>
                  <w:r>
                    <w:br/>
                  </w:r>
                  <w:r>
                    <w:rPr>
                      <w:rFonts w:ascii="仿宋_GB2312" w:hAnsi="仿宋_GB2312" w:cs="仿宋_GB2312" w:eastAsia="仿宋_GB2312"/>
                      <w:sz w:val="19"/>
                    </w:rPr>
                    <w:t xml:space="preserve"> ▲（2）实验得分：教学课程完成后，平台根据学生的操作自动生成实验分数，教师可对平时成绩进行打分。打分结束后，系统自动核算总成绩并支持以EXCEL格式下载实验得分。</w:t>
                  </w:r>
                  <w:r>
                    <w:br/>
                  </w:r>
                  <w:r>
                    <w:rPr>
                      <w:rFonts w:ascii="仿宋_GB2312" w:hAnsi="仿宋_GB2312" w:cs="仿宋_GB2312" w:eastAsia="仿宋_GB2312"/>
                      <w:sz w:val="19"/>
                    </w:rPr>
                    <w:t xml:space="preserve"> ▲5、实验报告：教学课程完成后，本平台根据学生的操作记录自动整理汇总数据，形成实验报告。实验报告支持单个查看、下载与批量下载。</w:t>
                  </w:r>
                  <w:r>
                    <w:br/>
                  </w:r>
                  <w:r>
                    <w:rPr>
                      <w:rFonts w:ascii="仿宋_GB2312" w:hAnsi="仿宋_GB2312" w:cs="仿宋_GB2312" w:eastAsia="仿宋_GB2312"/>
                      <w:sz w:val="19"/>
                    </w:rPr>
                    <w:t xml:space="preserve"> （三）学生端程序功能</w:t>
                  </w:r>
                  <w:r>
                    <w:br/>
                  </w:r>
                  <w:r>
                    <w:rPr>
                      <w:rFonts w:ascii="仿宋_GB2312" w:hAnsi="仿宋_GB2312" w:cs="仿宋_GB2312" w:eastAsia="仿宋_GB2312"/>
                      <w:sz w:val="19"/>
                    </w:rPr>
                    <w:t xml:space="preserve"> 在实验实训平台中，主要分为要素市场、商品市场、货币市场、企业、政府、消费者5大模块。</w:t>
                  </w:r>
                  <w:r>
                    <w:br/>
                  </w:r>
                  <w:r>
                    <w:rPr>
                      <w:rFonts w:ascii="仿宋_GB2312" w:hAnsi="仿宋_GB2312" w:cs="仿宋_GB2312" w:eastAsia="仿宋_GB2312"/>
                      <w:sz w:val="19"/>
                    </w:rPr>
                    <w:t xml:space="preserve"> ▲1、要素市场：获取生产经营所需的各类要素，主要包括土地、厂房、生产线、劳动力、原材料。</w:t>
                  </w:r>
                  <w:r>
                    <w:br/>
                  </w:r>
                  <w:r>
                    <w:rPr>
                      <w:rFonts w:ascii="仿宋_GB2312" w:hAnsi="仿宋_GB2312" w:cs="仿宋_GB2312" w:eastAsia="仿宋_GB2312"/>
                      <w:sz w:val="19"/>
                    </w:rPr>
                    <w:t xml:space="preserve"> ▲2、商品市场; 获取交易订单，并面向消费者进行商品出售，主要包括订货会、销售、政府采购。</w:t>
                  </w:r>
                  <w:r>
                    <w:br/>
                  </w:r>
                  <w:r>
                    <w:rPr>
                      <w:rFonts w:ascii="仿宋_GB2312" w:hAnsi="仿宋_GB2312" w:cs="仿宋_GB2312" w:eastAsia="仿宋_GB2312"/>
                      <w:sz w:val="19"/>
                    </w:rPr>
                    <w:t xml:space="preserve"> ▲3、货币市场：进行金融交易，满足企业资金需求。</w:t>
                  </w:r>
                  <w:r>
                    <w:br/>
                  </w:r>
                  <w:r>
                    <w:rPr>
                      <w:rFonts w:ascii="仿宋_GB2312" w:hAnsi="仿宋_GB2312" w:cs="仿宋_GB2312" w:eastAsia="仿宋_GB2312"/>
                      <w:sz w:val="19"/>
                    </w:rPr>
                    <w:t xml:space="preserve"> ▲4、企业：为企业日常管理和生产经营的各项操作，主要包括年度报表、市场分析与年度规划、技术投入、产品生产、订单管理、市场调查。</w:t>
                  </w:r>
                  <w:r>
                    <w:br/>
                  </w:r>
                  <w:r>
                    <w:rPr>
                      <w:rFonts w:ascii="仿宋_GB2312" w:hAnsi="仿宋_GB2312" w:cs="仿宋_GB2312" w:eastAsia="仿宋_GB2312"/>
                      <w:sz w:val="19"/>
                    </w:rPr>
                    <w:t xml:space="preserve"> ▲5、政府：政府运用看得见的手调节、稳定市场。主要包括制定宏观经济发展目标、制定财政政策、制定货币政策等。</w:t>
                  </w:r>
                </w:p>
                <w:p>
                  <w:pPr>
                    <w:pStyle w:val="null3"/>
                  </w:pPr>
                  <w:r>
                    <w:rPr>
                      <w:rFonts w:ascii="仿宋_GB2312" w:hAnsi="仿宋_GB2312" w:cs="仿宋_GB2312" w:eastAsia="仿宋_GB2312"/>
                      <w:sz w:val="19"/>
                    </w:rPr>
                    <w:t>（四）人工终端40套</w:t>
                  </w:r>
                </w:p>
                <w:p>
                  <w:pPr>
                    <w:pStyle w:val="null3"/>
                  </w:pPr>
                  <w:r>
                    <w:rPr>
                      <w:rFonts w:ascii="仿宋_GB2312" w:hAnsi="仿宋_GB2312" w:cs="仿宋_GB2312" w:eastAsia="仿宋_GB2312"/>
                      <w:sz w:val="19"/>
                    </w:rPr>
                    <w:t>1. 机型：国产处理器商用台式机，含鼠标、键盘</w:t>
                  </w:r>
                  <w:r>
                    <w:br/>
                  </w:r>
                  <w:r>
                    <w:rPr>
                      <w:rFonts w:ascii="仿宋_GB2312" w:hAnsi="仿宋_GB2312" w:cs="仿宋_GB2312" w:eastAsia="仿宋_GB2312"/>
                      <w:sz w:val="19"/>
                    </w:rPr>
                    <w:t xml:space="preserve"> 2. 处理器：采用国产处理器，主频≥2.7GHz ，核心数≥8个 ，缓存≥8MB</w:t>
                  </w:r>
                  <w:r>
                    <w:br/>
                  </w:r>
                  <w:r>
                    <w:rPr>
                      <w:rFonts w:ascii="仿宋_GB2312" w:hAnsi="仿宋_GB2312" w:cs="仿宋_GB2312" w:eastAsia="仿宋_GB2312"/>
                      <w:sz w:val="19"/>
                    </w:rPr>
                    <w:t xml:space="preserve"> 3. 内存：≥32GB DDR4 2666MHz内存 ，内存插槽数量≥2个，支持内存扩展</w:t>
                  </w:r>
                  <w:r>
                    <w:br/>
                  </w:r>
                  <w:r>
                    <w:rPr>
                      <w:rFonts w:ascii="仿宋_GB2312" w:hAnsi="仿宋_GB2312" w:cs="仿宋_GB2312" w:eastAsia="仿宋_GB2312"/>
                      <w:sz w:val="19"/>
                    </w:rPr>
                    <w:t xml:space="preserve"> 4. 硬盘：≥512GB SSD固态硬盘</w:t>
                  </w:r>
                  <w:r>
                    <w:br/>
                  </w:r>
                  <w:r>
                    <w:rPr>
                      <w:rFonts w:ascii="仿宋_GB2312" w:hAnsi="仿宋_GB2312" w:cs="仿宋_GB2312" w:eastAsia="仿宋_GB2312"/>
                      <w:sz w:val="19"/>
                    </w:rPr>
                    <w:t xml:space="preserve"> 5. 显卡：高性能集成显卡或独立显卡</w:t>
                  </w:r>
                  <w:r>
                    <w:br/>
                  </w:r>
                  <w:r>
                    <w:rPr>
                      <w:rFonts w:ascii="仿宋_GB2312" w:hAnsi="仿宋_GB2312" w:cs="仿宋_GB2312" w:eastAsia="仿宋_GB2312"/>
                      <w:sz w:val="19"/>
                    </w:rPr>
                    <w:t xml:space="preserve"> 6. 操作系统：预装正版操作系统，满足经济学虚拟仿真实验软件的运行</w:t>
                  </w:r>
                  <w:r>
                    <w:br/>
                  </w:r>
                  <w:r>
                    <w:rPr>
                      <w:rFonts w:ascii="仿宋_GB2312" w:hAnsi="仿宋_GB2312" w:cs="仿宋_GB2312" w:eastAsia="仿宋_GB2312"/>
                      <w:sz w:val="19"/>
                    </w:rPr>
                    <w:t xml:space="preserve"> 7. 服务：提供3年整机保修服务，含上门维修、硬件更换等售后支持</w:t>
                  </w:r>
                  <w:r>
                    <w:br/>
                  </w:r>
                  <w:r>
                    <w:rPr>
                      <w:rFonts w:ascii="仿宋_GB2312" w:hAnsi="仿宋_GB2312" w:cs="仿宋_GB2312" w:eastAsia="仿宋_GB2312"/>
                      <w:sz w:val="19"/>
                    </w:rPr>
                    <w:t xml:space="preserve"> 8. 显示器：≥27英寸液晶显示器，支持高清显示，具备低蓝光等护眼功能。</w:t>
                  </w:r>
                </w:p>
              </w:tc>
              <w:tc>
                <w:tcPr>
                  <w:tcW w:type="dxa" w:w="638"/>
                </w:tcPr>
                <w:p>
                  <w:pPr>
                    <w:pStyle w:val="null3"/>
                  </w:pPr>
                  <w:r>
                    <w:rPr>
                      <w:rFonts w:ascii="仿宋_GB2312" w:hAnsi="仿宋_GB2312" w:cs="仿宋_GB2312" w:eastAsia="仿宋_GB2312"/>
                      <w:sz w:val="19"/>
                    </w:rPr>
                    <w:t>1套</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桌子和椅子</w:t>
                  </w:r>
                </w:p>
              </w:tc>
              <w:tc>
                <w:tcPr>
                  <w:tcW w:type="dxa" w:w="638"/>
                </w:tcPr>
                <w:p>
                  <w:pPr>
                    <w:pStyle w:val="null3"/>
                  </w:pPr>
                  <w:r>
                    <w:rPr>
                      <w:rFonts w:ascii="仿宋_GB2312" w:hAnsi="仿宋_GB2312" w:cs="仿宋_GB2312" w:eastAsia="仿宋_GB2312"/>
                      <w:sz w:val="19"/>
                    </w:rPr>
                    <w:t xml:space="preserve">1.桌子：60cm（长）*60cm（宽）*75cm（高）  </w:t>
                  </w:r>
                  <w:r>
                    <w:br/>
                  </w:r>
                  <w:r>
                    <w:rPr>
                      <w:rFonts w:ascii="仿宋_GB2312" w:hAnsi="仿宋_GB2312" w:cs="仿宋_GB2312" w:eastAsia="仿宋_GB2312"/>
                      <w:sz w:val="19"/>
                    </w:rPr>
                    <w:t xml:space="preserve"> - 台面厚度：不低于50mm；</w:t>
                  </w:r>
                  <w:r>
                    <w:br/>
                  </w:r>
                  <w:r>
                    <w:rPr>
                      <w:rFonts w:ascii="仿宋_GB2312" w:hAnsi="仿宋_GB2312" w:cs="仿宋_GB2312" w:eastAsia="仿宋_GB2312"/>
                      <w:sz w:val="19"/>
                    </w:rPr>
                    <w:t xml:space="preserve"> - 边缘处理：圆弧倒角（半径≥5mm），避免磕碰且便于清洁；</w:t>
                  </w:r>
                  <w:r>
                    <w:br/>
                  </w:r>
                  <w:r>
                    <w:rPr>
                      <w:rFonts w:ascii="仿宋_GB2312" w:hAnsi="仿宋_GB2312" w:cs="仿宋_GB2312" w:eastAsia="仿宋_GB2312"/>
                      <w:sz w:val="19"/>
                    </w:rPr>
                    <w:t xml:space="preserve"> - 台下空间：高度≥600mm、宽度与桌面一致（方便放置储物柜或脚凳）</w:t>
                  </w:r>
                  <w:r>
                    <w:br/>
                  </w:r>
                  <w:r>
                    <w:rPr>
                      <w:rFonts w:ascii="仿宋_GB2312" w:hAnsi="仿宋_GB2312" w:cs="仿宋_GB2312" w:eastAsia="仿宋_GB2312"/>
                      <w:sz w:val="19"/>
                    </w:rPr>
                    <w:t xml:space="preserve"> - 材质：钢板，或三聚氰胺板防火板。   </w:t>
                  </w:r>
                  <w:r>
                    <w:br/>
                  </w:r>
                  <w:r>
                    <w:rPr>
                      <w:rFonts w:ascii="仿宋_GB2312" w:hAnsi="仿宋_GB2312" w:cs="仿宋_GB2312" w:eastAsia="仿宋_GB2312"/>
                      <w:sz w:val="19"/>
                    </w:rPr>
                    <w:t xml:space="preserve"> 2.椅子：</w:t>
                  </w:r>
                  <w:r>
                    <w:br/>
                  </w:r>
                  <w:r>
                    <w:rPr>
                      <w:rFonts w:ascii="仿宋_GB2312" w:hAnsi="仿宋_GB2312" w:cs="仿宋_GB2312" w:eastAsia="仿宋_GB2312"/>
                      <w:sz w:val="19"/>
                    </w:rPr>
                    <w:t xml:space="preserve"> - 坐高：450mm（双脚自然着地，膝盖弯曲约90°，适配实验室地面到桌面的高度）。</w:t>
                  </w:r>
                  <w:r>
                    <w:br/>
                  </w:r>
                  <w:r>
                    <w:rPr>
                      <w:rFonts w:ascii="仿宋_GB2312" w:hAnsi="仿宋_GB2312" w:cs="仿宋_GB2312" w:eastAsia="仿宋_GB2312"/>
                      <w:sz w:val="19"/>
                    </w:rPr>
                    <w:t xml:space="preserve"> - 坐宽：480mm（满足多数人坐姿时臀部宽度，两侧预留50-100mm活动空间）。</w:t>
                  </w:r>
                  <w:r>
                    <w:br/>
                  </w:r>
                  <w:r>
                    <w:rPr>
                      <w:rFonts w:ascii="仿宋_GB2312" w:hAnsi="仿宋_GB2312" w:cs="仿宋_GB2312" w:eastAsia="仿宋_GB2312"/>
                      <w:sz w:val="19"/>
                    </w:rPr>
                    <w:t xml:space="preserve"> - 坐深：450mm（臀部贴紧椅背时，膝盖后方与坐沿有50-100mm空隙，避免压迫腿部血管）。</w:t>
                  </w:r>
                  <w:r>
                    <w:br/>
                  </w:r>
                  <w:r>
                    <w:rPr>
                      <w:rFonts w:ascii="仿宋_GB2312" w:hAnsi="仿宋_GB2312" w:cs="仿宋_GB2312" w:eastAsia="仿宋_GB2312"/>
                      <w:sz w:val="19"/>
                    </w:rPr>
                    <w:t xml:space="preserve"> - 椅背高：700mm（从坐面到椅背顶端，提供背部支撑）。</w:t>
                  </w:r>
                  <w:r>
                    <w:br/>
                  </w:r>
                  <w:r>
                    <w:rPr>
                      <w:rFonts w:ascii="仿宋_GB2312" w:hAnsi="仿宋_GB2312" w:cs="仿宋_GB2312" w:eastAsia="仿宋_GB2312"/>
                      <w:sz w:val="19"/>
                    </w:rPr>
                    <w:t xml:space="preserve"> - 整体宽度：600mm（含椅座两侧扶手宽度，确保周围有足够活动空间，尤其实验室过道）。</w:t>
                  </w:r>
                  <w:r>
                    <w:br/>
                  </w:r>
                  <w:r>
                    <w:rPr>
                      <w:rFonts w:ascii="仿宋_GB2312" w:hAnsi="仿宋_GB2312" w:cs="仿宋_GB2312" w:eastAsia="仿宋_GB2312"/>
                      <w:sz w:val="19"/>
                    </w:rPr>
                    <w:t xml:space="preserve"> - 整体深度：750mm（从椅背到椅前沿的距离，保证坐姿后仰时稳定，不影响后方通行）</w:t>
                  </w:r>
                  <w:r>
                    <w:br/>
                  </w:r>
                  <w:r>
                    <w:rPr>
                      <w:rFonts w:ascii="仿宋_GB2312" w:hAnsi="仿宋_GB2312" w:cs="仿宋_GB2312" w:eastAsia="仿宋_GB2312"/>
                      <w:sz w:val="19"/>
                    </w:rPr>
                    <w:t xml:space="preserve"> - 环保性：</w:t>
                  </w:r>
                  <w:r>
                    <w:br/>
                  </w:r>
                  <w:r>
                    <w:rPr>
                      <w:rFonts w:ascii="仿宋_GB2312" w:hAnsi="仿宋_GB2312" w:cs="仿宋_GB2312" w:eastAsia="仿宋_GB2312"/>
                      <w:sz w:val="19"/>
                    </w:rPr>
                    <w:t xml:space="preserve"> - 甲醛释放量：≤0.124mg/m³，E0级。</w:t>
                  </w:r>
                  <w:r>
                    <w:br/>
                  </w:r>
                  <w:r>
                    <w:rPr>
                      <w:rFonts w:ascii="仿宋_GB2312" w:hAnsi="仿宋_GB2312" w:cs="仿宋_GB2312" w:eastAsia="仿宋_GB2312"/>
                      <w:sz w:val="19"/>
                    </w:rPr>
                    <w:t xml:space="preserve"> - 耐用性与功能性：</w:t>
                  </w:r>
                  <w:r>
                    <w:br/>
                  </w:r>
                  <w:r>
                    <w:rPr>
                      <w:rFonts w:ascii="仿宋_GB2312" w:hAnsi="仿宋_GB2312" w:cs="仿宋_GB2312" w:eastAsia="仿宋_GB2312"/>
                      <w:sz w:val="19"/>
                    </w:rPr>
                    <w:t xml:space="preserve"> - 耐磨性：表面耐磨转数≥400转，避免长期使用磨损。</w:t>
                  </w:r>
                  <w:r>
                    <w:br/>
                  </w:r>
                  <w:r>
                    <w:rPr>
                      <w:rFonts w:ascii="仿宋_GB2312" w:hAnsi="仿宋_GB2312" w:cs="仿宋_GB2312" w:eastAsia="仿宋_GB2312"/>
                      <w:sz w:val="19"/>
                    </w:rPr>
                    <w:t xml:space="preserve"> - 耐高温性：可承受60-120℃短暂接触（如放置热水杯、加热设备），无变形、焦糊。</w:t>
                  </w:r>
                </w:p>
              </w:tc>
              <w:tc>
                <w:tcPr>
                  <w:tcW w:type="dxa" w:w="638"/>
                </w:tcPr>
                <w:p>
                  <w:pPr>
                    <w:pStyle w:val="null3"/>
                  </w:pPr>
                  <w:r>
                    <w:rPr>
                      <w:rFonts w:ascii="仿宋_GB2312" w:hAnsi="仿宋_GB2312" w:cs="仿宋_GB2312" w:eastAsia="仿宋_GB2312"/>
                      <w:sz w:val="19"/>
                    </w:rPr>
                    <w:t>40套</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粉刷墙面</w:t>
                  </w:r>
                </w:p>
              </w:tc>
              <w:tc>
                <w:tcPr>
                  <w:tcW w:type="dxa" w:w="638"/>
                </w:tcPr>
                <w:p>
                  <w:pPr>
                    <w:pStyle w:val="null3"/>
                  </w:pPr>
                  <w:r>
                    <w:rPr>
                      <w:rFonts w:ascii="仿宋_GB2312" w:hAnsi="仿宋_GB2312" w:cs="仿宋_GB2312" w:eastAsia="仿宋_GB2312"/>
                      <w:sz w:val="19"/>
                    </w:rPr>
                    <w:t>1.粉刷约80平方米实验室墙面；</w:t>
                  </w:r>
                  <w:r>
                    <w:br/>
                  </w:r>
                  <w:r>
                    <w:rPr>
                      <w:rFonts w:ascii="仿宋_GB2312" w:hAnsi="仿宋_GB2312" w:cs="仿宋_GB2312" w:eastAsia="仿宋_GB2312"/>
                      <w:sz w:val="19"/>
                    </w:rPr>
                    <w:t xml:space="preserve"> 2.涂料符合环保要求。</w:t>
                  </w:r>
                  <w:r>
                    <w:br/>
                  </w:r>
                  <w:r>
                    <w:rPr>
                      <w:rFonts w:ascii="仿宋_GB2312" w:hAnsi="仿宋_GB2312" w:cs="仿宋_GB2312" w:eastAsia="仿宋_GB2312"/>
                      <w:sz w:val="19"/>
                    </w:rPr>
                    <w:t xml:space="preserve"> 挥发性有机化合物（VOC）含量：依据GB18582-2020《室内装饰装修材料内墙涂料中有害物质限量》，水性内墙涂料VOC含量应≤40g/L。</w:t>
                  </w:r>
                  <w:r>
                    <w:br/>
                  </w:r>
                  <w:r>
                    <w:rPr>
                      <w:rFonts w:ascii="仿宋_GB2312" w:hAnsi="仿宋_GB2312" w:cs="仿宋_GB2312" w:eastAsia="仿宋_GB2312"/>
                      <w:sz w:val="19"/>
                    </w:rPr>
                    <w:t xml:space="preserve"> - 游离甲醛含量：游离甲醛含量应≤50mg/kg</w:t>
                  </w:r>
                  <w:r>
                    <w:br/>
                  </w:r>
                  <w:r>
                    <w:rPr>
                      <w:rFonts w:ascii="仿宋_GB2312" w:hAnsi="仿宋_GB2312" w:cs="仿宋_GB2312" w:eastAsia="仿宋_GB2312"/>
                      <w:sz w:val="19"/>
                    </w:rPr>
                    <w:t xml:space="preserve"> - 重金属含量：铅≤10mg/kg，镉为0mg/kg，铬≤5mg/kg，汞为0mg/kg。</w:t>
                  </w:r>
                  <w:r>
                    <w:br/>
                  </w:r>
                  <w:r>
                    <w:rPr>
                      <w:rFonts w:ascii="仿宋_GB2312" w:hAnsi="仿宋_GB2312" w:cs="仿宋_GB2312" w:eastAsia="仿宋_GB2312"/>
                      <w:sz w:val="19"/>
                    </w:rPr>
                    <w:t xml:space="preserve"> - 耐擦洗</w:t>
                  </w:r>
                </w:p>
              </w:tc>
              <w:tc>
                <w:tcPr>
                  <w:tcW w:type="dxa" w:w="638"/>
                </w:tcPr>
                <w:p>
                  <w:pPr>
                    <w:pStyle w:val="null3"/>
                  </w:pPr>
                  <w:r>
                    <w:rPr>
                      <w:rFonts w:ascii="仿宋_GB2312" w:hAnsi="仿宋_GB2312" w:cs="仿宋_GB2312" w:eastAsia="仿宋_GB2312"/>
                      <w:sz w:val="19"/>
                    </w:rPr>
                    <w:t>1间</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实验室空调</w:t>
                  </w:r>
                </w:p>
              </w:tc>
              <w:tc>
                <w:tcPr>
                  <w:tcW w:type="dxa" w:w="638"/>
                </w:tcPr>
                <w:p>
                  <w:pPr>
                    <w:pStyle w:val="null3"/>
                  </w:pPr>
                  <w:r>
                    <w:rPr>
                      <w:rFonts w:ascii="仿宋_GB2312" w:hAnsi="仿宋_GB2312" w:cs="仿宋_GB2312" w:eastAsia="仿宋_GB2312"/>
                      <w:sz w:val="19"/>
                    </w:rPr>
                    <w:t>1.5匹，一级效能，双制，变频。</w:t>
                  </w:r>
                </w:p>
              </w:tc>
              <w:tc>
                <w:tcPr>
                  <w:tcW w:type="dxa" w:w="638"/>
                </w:tcPr>
                <w:p>
                  <w:pPr>
                    <w:pStyle w:val="null3"/>
                  </w:pPr>
                  <w:r>
                    <w:rPr>
                      <w:rFonts w:ascii="仿宋_GB2312" w:hAnsi="仿宋_GB2312" w:cs="仿宋_GB2312" w:eastAsia="仿宋_GB2312"/>
                      <w:sz w:val="19"/>
                    </w:rPr>
                    <w:t>2台</w:t>
                  </w:r>
                </w:p>
              </w:tc>
            </w:tr>
            <w:tr>
              <w:tc>
                <w:tcPr>
                  <w:tcW w:type="dxa" w:w="638"/>
                </w:tcPr>
                <w:p>
                  <w:pPr>
                    <w:pStyle w:val="null3"/>
                  </w:pPr>
                  <w:r>
                    <w:rPr>
                      <w:rFonts w:ascii="仿宋_GB2312" w:hAnsi="仿宋_GB2312" w:cs="仿宋_GB2312" w:eastAsia="仿宋_GB2312"/>
                      <w:sz w:val="19"/>
                    </w:rPr>
                    <w:t>5</w:t>
                  </w:r>
                </w:p>
              </w:tc>
              <w:tc>
                <w:tcPr>
                  <w:tcW w:type="dxa" w:w="638"/>
                </w:tcPr>
                <w:p>
                  <w:pPr>
                    <w:pStyle w:val="null3"/>
                  </w:pPr>
                  <w:r>
                    <w:rPr>
                      <w:rFonts w:ascii="仿宋_GB2312" w:hAnsi="仿宋_GB2312" w:cs="仿宋_GB2312" w:eastAsia="仿宋_GB2312"/>
                      <w:sz w:val="19"/>
                    </w:rPr>
                    <w:t>网络布线</w:t>
                  </w:r>
                </w:p>
              </w:tc>
              <w:tc>
                <w:tcPr>
                  <w:tcW w:type="dxa" w:w="638"/>
                </w:tcPr>
                <w:p>
                  <w:pPr>
                    <w:pStyle w:val="null3"/>
                  </w:pPr>
                  <w:r>
                    <w:rPr>
                      <w:rFonts w:ascii="仿宋_GB2312" w:hAnsi="仿宋_GB2312" w:cs="仿宋_GB2312" w:eastAsia="仿宋_GB2312"/>
                      <w:sz w:val="19"/>
                    </w:rPr>
                    <w:t>满足40台人工终端和空调、灯光等电器设备的运行要求</w:t>
                  </w:r>
                </w:p>
              </w:tc>
              <w:tc>
                <w:tcPr>
                  <w:tcW w:type="dxa" w:w="638"/>
                </w:tcPr>
                <w:p>
                  <w:pPr>
                    <w:pStyle w:val="null3"/>
                  </w:pPr>
                  <w:r>
                    <w:rPr>
                      <w:rFonts w:ascii="仿宋_GB2312" w:hAnsi="仿宋_GB2312" w:cs="仿宋_GB2312" w:eastAsia="仿宋_GB2312"/>
                      <w:sz w:val="19"/>
                    </w:rPr>
                    <w:t>满足1间实验室</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注：1、本项目核心产品：经济学虚拟仿真实验软件（不包含人工终端）。</w:t>
            </w:r>
          </w:p>
          <w:p>
            <w:pPr>
              <w:pStyle w:val="null3"/>
            </w:pPr>
            <w:r>
              <w:rPr>
                <w:rFonts w:ascii="仿宋_GB2312" w:hAnsi="仿宋_GB2312" w:cs="仿宋_GB2312" w:eastAsia="仿宋_GB2312"/>
              </w:rPr>
              <w:t>2、如投标人投标文件中所投产品性能与实际产品性能不符，视为虚假应标并纳入采购网黑名单，其中标资格无效。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自合同签订之日起1个月内完成项目安装、调试及培训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验收合格后15天内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开标大厅。 2、由于本项目需要进行现场功能演示，请各投标人委派功能演示人员于开标截止时间前抵达西安市唐延路37号class公馆B栋1103室开标大厅等候演示，未按时到达的投标人视为自动放弃参与演示环节。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质量保障措施及安全保障.docx 中小企业声明函 供货渠道证明.docx 项目实施方案.docx 资格证明文件.docx 人员配备方案.docx 售后服务及培训方案.docx 分项报价表.docx 技术偏离表.docx 投标函 残疾人福利性单位声明函 业绩统计表.docx 标的清单 投标文件封面 货物简要说明一览表.docx 商务偏离表.docx 产品配送方案.docx 节能环保、环境标志产品明细表.docx 投标人承诺书.docx 监狱企业的证明文件 系统演示.docx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项目实施方案.docx 资格证明文件.docx 售后服务及培训方案.docx 分项报价表.docx 投标函 标的清单 保证金缴纳凭证.docx 投标文件封面 货物简要说明一览表.docx 商务偏离表.docx 产品配送方案.docx 节能环保、环境标志产品明细表.docx 监狱企业的证明文件 系统演示.docx 投标人认为有必要说明的其他资料.docx 质量保障措施及安全保障.docx 中小企业声明函 供货渠道证明.docx 人员配备方案.docx 技术偏离表.docx 残疾人福利性单位声明函 业绩统计表.docx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①投标人所投产品选型科学合理、技术先进，技术参数清晰明确，符合使用要求，技术指标和性能完全满足招标文件要求，计基本分15分。 ②每有一个“▲”技术指标和性能存在负偏离的扣1分，每有一个非“▲”技术指标和性能存在负偏离的扣0.5分，扣完为止。 ③每有一个“▲”技术指标和性能存在正偏离的加0.5分，满分3分。（技术参数性能优于招标文件要求，具有实际使用价值的提升，经评标委员会一致认定每项可加分） 备注：投标人应逐条对应技术参数进行应答，须提供充足的证明材料（产品技术说明书或产品彩页、官网截图、国家认可的第三方出具的检验报告等）。经评审专家审定得分，未提供或者提供但无法佐证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一、评审内容 针对本项目提供完善的供货渠道证明材料，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二、赋分依据（满分3分） 每提供一个评审内容得1分，满分3分。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投标人所投产品中每有一项为节能产品经国家认证或环境标志产品经国家认证的计0.5分，本项最多计1分。（以经国家确定的认证机构出具的、处于有效期内的节能产品、环境标志产品认证证书为准。）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针对本项目提供完善的项目实施方案，包括但不限于①项目实施步骤及管理方案；②实施进度计划及安排；③阶段工作和关键节点保障措施；④系统安装调试及测试方案；⑤项目后期验收方案。 二、评审标准 1、完整性：方案须全面，对评审内容中的各项要求有详细描述； 2、可实施性：切合本项目实际情况，实施步骤清晰、合理； 3、针对性：方案能够紧扣项目实际情况，内容科学合理。 三、赋分依据（满分15分） ①项目实施步骤及管理方案：每完全满足一个评审标准得1分，满分3分。 ②实施进度计划及安排：每完全满足一个评审标准得1分，满分3分。 ③阶段工作和关键节点保障措施：每完全满足一个评审标准得1分，满分3分。 ④系统安装调试及测试方案：每完全满足一个评审标准得1分，满分3分。 ⑤项目后期验收方案：每完全满足一个评审标准得1分，满分3分。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针对本项目提供完善的质量保障措施及安全保障，包括但不限于：①质量保障措施；②数据及系统安全保障措施。 二、评审标准 1、完整性：方案须全面，对评审内容中的各项要求有详细描述； 2、可实施性：切合本项目实际情况，实施步骤清晰、合理； 3、针对性：方案能够紧扣项目实际情况，内容科学合理。 三、赋分依据（满分3分） ①质量保障措施：每完全满足一个评审标准得0.5分，满分1.5分。 ②数据及系统安全保障措施：每完全满足一个评审标准得0.5分，满分1.5分。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产品配送方案</w:t>
            </w:r>
          </w:p>
        </w:tc>
        <w:tc>
          <w:tcPr>
            <w:tcW w:type="dxa" w:w="2492"/>
          </w:tcPr>
          <w:p>
            <w:pPr>
              <w:pStyle w:val="null3"/>
            </w:pPr>
            <w:r>
              <w:rPr>
                <w:rFonts w:ascii="仿宋_GB2312" w:hAnsi="仿宋_GB2312" w:cs="仿宋_GB2312" w:eastAsia="仿宋_GB2312"/>
              </w:rPr>
              <w:t>一、评审内容 针对本项目提供完善的产品配送方案，包括但不限于①供货组织安排（包括仓储、运输、派送措施）；②产品配送方案。 二、评审标准 1、完整性：方案须全面，对评审内容中的各项要求有详细描述； 2、可实施性：切合本项目实际情况，实施步骤清晰、合理； 3、针对性：方案能够紧扣项目实际情况，内容科学合理。 三、赋分依据（满分6分） ①供货组织安排（包括仓储、运输、派送措施）：每完全满足一个评审标准得1分，满分3分。 ②产品配送方案：每完全满足一个评审标准得1分，满分3分。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产品配送方案.docx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及问题解决时效、质保期内售后服务方案；②售后服务机构的设立及机构信息、专职售后人员；③培训方案（包括培训服务承诺、培训方案及计划、培训人员安排及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三、赋分依据（满分9分） ①响应时效及问题解决时效、质保期内售后服务方案：每完全满足一个评审标准得1分，满分3分。 ②售后服务机构的设立及机构信息、专职售后人员：每完全满足一个评审标准得1分，满分3分。 ③培训方案：每完全满足一个评审标准得1分，满分3分。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需针对本项目提供现场演示（只接受所投软件现场演示，演示环境自行搭建，现场只提供投影），演示时间不超过15分钟，需提供真实系统演示，演示各项内容全面详细、阐述条理清晰、技术先进、功能配置合理： 能有效保障本项目实施得7分。演示内容每有一项缺项扣1分，每有一项内容存在缺陷，扣0.5分，扣完为止。 演示内容如下： 1、背景资料：提供默认3份不同的背景资料，供所有教师使用，主要包括政府参数和背景参数。管理员也可新增新的背景资料。在背景参数中，管理员可以自定义设计原材料类型、企业类型、产品名称、土地供应量等。在政府参数中，管理员可以自定义设计宏观经济发展目标、财政政策、货币政策、土地起拍价等数据。 2、角色分配：角色包含政府、完全垄断企业、寡头垄断企业、完全竞争企业四类，支持教师灵活设置学生角色。 3、数据分析：查看学生操作的宏观经济数据和微观经济数据。 宏观经济数据包括CPI、社会平均工资、个人总收入涨幅、实际GDP、通货膨胀率、失业率等； 微观经济数据包括工业总产值、固定资产、营业利润、工资总额、工业中间投入、增值税等。 4、评分方案：提供默认评分方案，主要包括类型和比重，类目涉及实验分数、学生平时成绩两项。教师可以新增评分方案，自定义增加类目和比重。 5、实验报告：教学课程完成后，本平台根据学生的操作记录自动整理汇总数据，形成实验报告。实验报告支持单个查看、下载与批量下载。 6、要素市场：获取生产经营所需的各类要素，主要包括土地、厂房、生产线、劳动力、原材料。 7、政府：政府运用看得见的手调节、稳定市场。主要包括制定宏观经济发展目标、制定财政政策、制定货币政策等。 备注：以上7项演示内容均需在投标文件中提供真实系统功能截图证明加盖制造厂商公章并进行现场演示。未提供截图或者未演示此项功能的，该项演示条目不得分。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投标人提供自2022年1月1日至今本单位所投核心产品的业绩，以合同签订日期为准，每提供一份合同复印件得1分，满分5分。未提供不得分。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满足招标文件实质性要求且投标总报价最低的价格为投标基准价，其价格分为30分。其他投标人的价格分统一按照下列公式计算：报价得分=（投标基准价/投标总报价）×30分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详见附件：产品配送方案.docx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