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版本号：HJCS2501-12420250822001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维修综合办公楼附楼南侧室外散水采购项目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HJCS2501-124</w:t>
      </w:r>
      <w:r>
        <w:br/>
      </w:r>
      <w:r>
        <w:br/>
      </w:r>
      <w:r>
        <w:br/>
      </w:r>
    </w:p>
    <w:p>
      <w:pPr>
        <w:pStyle w:val="null3"/>
        <w:jc w:val="center"/>
        <w:outlineLvl w:val="2"/>
      </w:pPr>
      <w:r>
        <w:rPr>
          <w:rFonts w:ascii="仿宋_GB2312" w:hAnsi="仿宋_GB2312" w:cs="仿宋_GB2312" w:eastAsia="仿宋_GB2312"/>
          <w:sz w:val="28"/>
          <w:b/>
        </w:rPr>
        <w:t>省高级人民法院</w:t>
      </w:r>
    </w:p>
    <w:p>
      <w:pPr>
        <w:pStyle w:val="null3"/>
        <w:jc w:val="center"/>
        <w:outlineLvl w:val="2"/>
      </w:pPr>
      <w:r>
        <w:rPr>
          <w:rFonts w:ascii="仿宋_GB2312" w:hAnsi="仿宋_GB2312" w:cs="仿宋_GB2312" w:eastAsia="仿宋_GB2312"/>
          <w:sz w:val="28"/>
          <w:b/>
        </w:rPr>
        <w:t>陕西海佳项目管理有限公司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陕西海佳项目管理有限公司</w:t>
      </w:r>
      <w:r>
        <w:rPr>
          <w:rFonts w:ascii="仿宋_GB2312" w:hAnsi="仿宋_GB2312" w:cs="仿宋_GB2312" w:eastAsia="仿宋_GB2312"/>
        </w:rPr>
        <w:t>（以下简称“代理机构”）受</w:t>
      </w:r>
      <w:r>
        <w:rPr>
          <w:rFonts w:ascii="仿宋_GB2312" w:hAnsi="仿宋_GB2312" w:cs="仿宋_GB2312" w:eastAsia="仿宋_GB2312"/>
        </w:rPr>
        <w:t>省高级人民法院</w:t>
      </w:r>
      <w:r>
        <w:rPr>
          <w:rFonts w:ascii="仿宋_GB2312" w:hAnsi="仿宋_GB2312" w:cs="仿宋_GB2312" w:eastAsia="仿宋_GB2312"/>
        </w:rPr>
        <w:t>委托，拟对</w:t>
      </w:r>
      <w:r>
        <w:rPr>
          <w:rFonts w:ascii="仿宋_GB2312" w:hAnsi="仿宋_GB2312" w:cs="仿宋_GB2312" w:eastAsia="仿宋_GB2312"/>
        </w:rPr>
        <w:t>维修综合办公楼附楼南侧室外散水采购项目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HJCS2501-124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维修综合办公楼附楼南侧室外散水采购项目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维修综合办公楼附楼南侧室外散水项目工程内容包括拆除新建原有散水、花池、挡墙、铺地等。要求符合国家、地方、行业相关合格标准及采购人要求。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采购包1（维修综合办公楼附楼南侧室外散水采购项目）：属于专门面向中小企业采购。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1、供应商资质要求：供应商应具备建筑工程施工总承包三级及以上资质、合格有效的安全生产许可证，供应商在”陕西省建筑市场监管与诚信信息发布平台“可查询。</w:t>
      </w:r>
    </w:p>
    <w:p>
      <w:pPr>
        <w:pStyle w:val="null3"/>
      </w:pPr>
      <w:r>
        <w:rPr>
          <w:rFonts w:ascii="仿宋_GB2312" w:hAnsi="仿宋_GB2312" w:cs="仿宋_GB2312" w:eastAsia="仿宋_GB2312"/>
        </w:rPr>
        <w:t>2、拟派项目负责人资质和专业要求：资质要求：注册建造师二级及以上；专业要求：建筑工程专业； 补充说明：同时具备有效的安全生产考核合格证书，且无在建工程（提供承诺书），项目经理在陕西省“建筑市场监管与诚信信息一体化平台”可查询。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省高级人民法院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029-85558220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029-88765319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代理服务费收费标准：（1）采购代理服务费按照定额5000元收取。（2）采购代理服务费缴纳账户： 开户名称：陕西海佳项目管理有限公司 开户银行： 招商银行股份有限公司西安城西支行 账 号： 129911759510401。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踏勘时间：2025-08-25 09:00:00</w:t>
            </w:r>
          </w:p>
          <w:p>
            <w:pPr>
              <w:pStyle w:val="null3"/>
              <w:ind w:firstLine="975"/>
            </w:pPr>
            <w:r>
              <w:rPr>
                <w:rFonts w:ascii="仿宋_GB2312" w:hAnsi="仿宋_GB2312" w:cs="仿宋_GB2312" w:eastAsia="仿宋_GB2312"/>
              </w:rPr>
              <w:t>踏勘地点：供应商应在获取文件后至递交磋商响应文件之日前，工作日每天上午9：00--11：30，下午15：00--17：00之间，自行联系前往陕西省高级人民法院进行现场踏勘。因未现场踏勘，实际工程量与项目工程量清单存在差异造成的实际施工时工程量的增加由供应商自行承担，采购人结算时不做总价调整，按磋商报价结算。</w:t>
            </w:r>
          </w:p>
          <w:p>
            <w:pPr>
              <w:pStyle w:val="null3"/>
              <w:ind w:firstLine="975"/>
            </w:pPr>
            <w:r>
              <w:rPr>
                <w:rFonts w:ascii="仿宋_GB2312" w:hAnsi="仿宋_GB2312" w:cs="仿宋_GB2312" w:eastAsia="仿宋_GB2312"/>
              </w:rPr>
              <w:t>联系人：王老师</w:t>
            </w:r>
          </w:p>
          <w:p>
            <w:pPr>
              <w:pStyle w:val="null3"/>
              <w:ind w:firstLine="975"/>
            </w:pPr>
            <w:r>
              <w:rPr>
                <w:rFonts w:ascii="仿宋_GB2312" w:hAnsi="仿宋_GB2312" w:cs="仿宋_GB2312" w:eastAsia="仿宋_GB2312"/>
              </w:rPr>
              <w:t>联系电话号码：029-85558220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省高级人民法院</w:t>
      </w:r>
      <w:r>
        <w:rPr>
          <w:rFonts w:ascii="仿宋_GB2312" w:hAnsi="仿宋_GB2312" w:cs="仿宋_GB2312" w:eastAsia="仿宋_GB2312"/>
        </w:rPr>
        <w:t>和</w:t>
      </w:r>
      <w:r>
        <w:rPr>
          <w:rFonts w:ascii="仿宋_GB2312" w:hAnsi="仿宋_GB2312" w:cs="仿宋_GB2312" w:eastAsia="仿宋_GB2312"/>
        </w:rPr>
        <w:t>陕西海佳项目管理有限公司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省高级人民法院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省高级人民法院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符合国家、地方及行业合格标准，符合采购人要求。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联系人：雷鹏飞</w:t>
      </w:r>
    </w:p>
    <w:p>
      <w:pPr>
        <w:pStyle w:val="null3"/>
      </w:pPr>
      <w:r>
        <w:rPr>
          <w:rFonts w:ascii="仿宋_GB2312" w:hAnsi="仿宋_GB2312" w:cs="仿宋_GB2312" w:eastAsia="仿宋_GB2312"/>
        </w:rPr>
        <w:t>联系电话：029-88765319</w:t>
      </w:r>
    </w:p>
    <w:p>
      <w:pPr>
        <w:pStyle w:val="null3"/>
      </w:pPr>
      <w:r>
        <w:rPr>
          <w:rFonts w:ascii="仿宋_GB2312" w:hAnsi="仿宋_GB2312" w:cs="仿宋_GB2312" w:eastAsia="仿宋_GB2312"/>
        </w:rPr>
        <w:t>地址：陕西省西安市高新区唐延路35号旺座现代城C座2604室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136,600.00</w:t>
      </w:r>
    </w:p>
    <w:p>
      <w:pPr>
        <w:pStyle w:val="null3"/>
      </w:pPr>
      <w:r>
        <w:rPr>
          <w:rFonts w:ascii="仿宋_GB2312" w:hAnsi="仿宋_GB2312" w:cs="仿宋_GB2312" w:eastAsia="仿宋_GB2312"/>
        </w:rPr>
        <w:t>采购包最高限价（元）: 136,600.00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附楼南侧室外散水施工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136,600.00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标的名称：附楼南侧室外散水施工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项目概况</w:t>
            </w:r>
          </w:p>
          <w:p>
            <w:pPr>
              <w:pStyle w:val="null3"/>
              <w:ind w:firstLine="400"/>
              <w:jc w:val="both"/>
            </w:pPr>
            <w:r>
              <w:rPr>
                <w:rFonts w:ascii="仿宋_GB2312" w:hAnsi="仿宋_GB2312" w:cs="仿宋_GB2312" w:eastAsia="仿宋_GB2312"/>
              </w:rPr>
              <w:t>近期，我院在进行安全巡查时发现综合办公楼附楼南侧室外散水处出现不均匀下沉开裂塌陷，</w:t>
            </w:r>
            <w:r>
              <w:rPr>
                <w:rFonts w:ascii="仿宋_GB2312" w:hAnsi="仿宋_GB2312" w:cs="仿宋_GB2312" w:eastAsia="仿宋_GB2312"/>
              </w:rPr>
              <w:t>经</w:t>
            </w:r>
            <w:r>
              <w:rPr>
                <w:rFonts w:ascii="仿宋_GB2312" w:hAnsi="仿宋_GB2312" w:cs="仿宋_GB2312" w:eastAsia="仿宋_GB2312"/>
              </w:rPr>
              <w:t>专家踏勘现场进行分析研判，确认属于散水地下垫层不均匀下沉导致，不影响附楼整体结构。因附楼南侧地下室为高低压配电柜和发电机房，加之西安地区地表为湿陷性黄土，如遇连续阴雨天气或长期积水存在安全隐患，亟需对不均匀下沉开裂塌陷部位进行维修改造，确保排水顺畅，消除安全隐患。</w:t>
            </w:r>
          </w:p>
          <w:p>
            <w:pPr>
              <w:pStyle w:val="null3"/>
              <w:ind w:firstLine="400"/>
              <w:jc w:val="both"/>
            </w:pPr>
            <w:r>
              <w:rPr>
                <w:rFonts w:ascii="仿宋_GB2312" w:hAnsi="仿宋_GB2312" w:cs="仿宋_GB2312" w:eastAsia="仿宋_GB2312"/>
              </w:rPr>
              <w:t>现需对附楼南侧</w:t>
            </w:r>
            <w:r>
              <w:rPr>
                <w:rFonts w:ascii="仿宋_GB2312" w:hAnsi="仿宋_GB2312" w:cs="仿宋_GB2312" w:eastAsia="仿宋_GB2312"/>
              </w:rPr>
              <w:t>45米长散水进行维修，拆除开裂塌陷部位大理石石材及垫层，最底层用素土压实，铺200</w:t>
            </w:r>
            <w:r>
              <w:rPr>
                <w:rFonts w:ascii="仿宋_GB2312" w:hAnsi="仿宋_GB2312" w:cs="仿宋_GB2312" w:eastAsia="仿宋_GB2312"/>
              </w:rPr>
              <w:t>mm</w:t>
            </w:r>
            <w:r>
              <w:rPr>
                <w:rFonts w:ascii="仿宋_GB2312" w:hAnsi="仿宋_GB2312" w:cs="仿宋_GB2312" w:eastAsia="仿宋_GB2312"/>
              </w:rPr>
              <w:t>厚</w:t>
            </w:r>
            <w:r>
              <w:rPr>
                <w:rFonts w:ascii="仿宋_GB2312" w:hAnsi="仿宋_GB2312" w:cs="仿宋_GB2312" w:eastAsia="仿宋_GB2312"/>
              </w:rPr>
              <w:t>3:7灰土垫层、100</w:t>
            </w:r>
            <w:r>
              <w:rPr>
                <w:rFonts w:ascii="仿宋_GB2312" w:hAnsi="仿宋_GB2312" w:cs="仿宋_GB2312" w:eastAsia="仿宋_GB2312"/>
              </w:rPr>
              <w:t>mm</w:t>
            </w:r>
            <w:r>
              <w:rPr>
                <w:rFonts w:ascii="仿宋_GB2312" w:hAnsi="仿宋_GB2312" w:cs="仿宋_GB2312" w:eastAsia="仿宋_GB2312"/>
              </w:rPr>
              <w:t>厚</w:t>
            </w:r>
            <w:r>
              <w:rPr>
                <w:rFonts w:ascii="仿宋_GB2312" w:hAnsi="仿宋_GB2312" w:cs="仿宋_GB2312" w:eastAsia="仿宋_GB2312"/>
              </w:rPr>
              <w:t>C25素混凝土基层及30</w:t>
            </w:r>
            <w:r>
              <w:rPr>
                <w:rFonts w:ascii="仿宋_GB2312" w:hAnsi="仿宋_GB2312" w:cs="仿宋_GB2312" w:eastAsia="仿宋_GB2312"/>
              </w:rPr>
              <w:t>mm</w:t>
            </w:r>
            <w:r>
              <w:rPr>
                <w:rFonts w:ascii="仿宋_GB2312" w:hAnsi="仿宋_GB2312" w:cs="仿宋_GB2312" w:eastAsia="仿宋_GB2312"/>
              </w:rPr>
              <w:t>厚水泥砂浆，最顶层铺大理石石材面层</w:t>
            </w:r>
            <w:r>
              <w:rPr>
                <w:rFonts w:ascii="仿宋_GB2312" w:hAnsi="仿宋_GB2312" w:cs="仿宋_GB2312" w:eastAsia="仿宋_GB2312"/>
              </w:rPr>
              <w:t>；</w:t>
            </w:r>
            <w:r>
              <w:rPr>
                <w:rFonts w:ascii="仿宋_GB2312" w:hAnsi="仿宋_GB2312" w:cs="仿宋_GB2312" w:eastAsia="仿宋_GB2312"/>
              </w:rPr>
              <w:t>为了便于散水处雨水排放</w:t>
            </w:r>
            <w:r>
              <w:rPr>
                <w:rFonts w:ascii="仿宋_GB2312" w:hAnsi="仿宋_GB2312" w:cs="仿宋_GB2312" w:eastAsia="仿宋_GB2312"/>
              </w:rPr>
              <w:t>，还需在附楼南侧花坛增设三处宽度</w:t>
            </w:r>
            <w:r>
              <w:rPr>
                <w:rFonts w:ascii="仿宋_GB2312" w:hAnsi="仿宋_GB2312" w:cs="仿宋_GB2312" w:eastAsia="仿宋_GB2312"/>
              </w:rPr>
              <w:t>600</w:t>
            </w:r>
            <w:r>
              <w:rPr>
                <w:rFonts w:ascii="仿宋_GB2312" w:hAnsi="仿宋_GB2312" w:cs="仿宋_GB2312" w:eastAsia="仿宋_GB2312"/>
              </w:rPr>
              <w:t>mm</w:t>
            </w:r>
            <w:r>
              <w:rPr>
                <w:rFonts w:ascii="仿宋_GB2312" w:hAnsi="仿宋_GB2312" w:cs="仿宋_GB2312" w:eastAsia="仿宋_GB2312"/>
              </w:rPr>
              <w:t>排水槽，通过排水槽将散水处雨水排向绿化区域。</w:t>
            </w:r>
          </w:p>
          <w:p>
            <w:pPr>
              <w:pStyle w:val="null3"/>
              <w:jc w:val="both"/>
            </w:pPr>
            <w:r>
              <w:rPr>
                <w:rFonts w:ascii="仿宋_GB2312" w:hAnsi="仿宋_GB2312" w:cs="仿宋_GB2312" w:eastAsia="仿宋_GB2312"/>
              </w:rPr>
              <w:t>二</w:t>
            </w:r>
            <w:r>
              <w:rPr>
                <w:rFonts w:ascii="仿宋_GB2312" w:hAnsi="仿宋_GB2312" w:cs="仿宋_GB2312" w:eastAsia="仿宋_GB2312"/>
              </w:rPr>
              <w:t>、其他说明</w:t>
            </w:r>
          </w:p>
          <w:p>
            <w:pPr>
              <w:pStyle w:val="null3"/>
              <w:jc w:val="both"/>
            </w:pPr>
            <w:r>
              <w:rPr>
                <w:rFonts w:ascii="仿宋_GB2312" w:hAnsi="仿宋_GB2312" w:cs="仿宋_GB2312" w:eastAsia="仿宋_GB2312"/>
              </w:rPr>
              <w:t>1</w:t>
            </w:r>
            <w:r>
              <w:rPr>
                <w:rFonts w:ascii="仿宋_GB2312" w:hAnsi="仿宋_GB2312" w:cs="仿宋_GB2312" w:eastAsia="仿宋_GB2312"/>
              </w:rPr>
              <w:t>、工期：</w:t>
            </w:r>
            <w:r>
              <w:rPr>
                <w:rFonts w:ascii="仿宋_GB2312" w:hAnsi="仿宋_GB2312" w:cs="仿宋_GB2312" w:eastAsia="仿宋_GB2312"/>
              </w:rPr>
              <w:t>30</w:t>
            </w:r>
            <w:r>
              <w:rPr>
                <w:rFonts w:ascii="仿宋_GB2312" w:hAnsi="仿宋_GB2312" w:cs="仿宋_GB2312" w:eastAsia="仿宋_GB2312"/>
              </w:rPr>
              <w:t>日历天</w:t>
            </w:r>
          </w:p>
          <w:p>
            <w:pPr>
              <w:pStyle w:val="null3"/>
              <w:jc w:val="both"/>
            </w:pPr>
            <w:r>
              <w:rPr>
                <w:rFonts w:ascii="仿宋_GB2312" w:hAnsi="仿宋_GB2312" w:cs="仿宋_GB2312" w:eastAsia="仿宋_GB2312"/>
              </w:rPr>
              <w:t>2、工程质量达到相关工程质量验收合格标准。</w:t>
            </w:r>
          </w:p>
          <w:p>
            <w:pPr>
              <w:pStyle w:val="null3"/>
            </w:pPr>
            <w:r>
              <w:rPr>
                <w:rFonts w:ascii="仿宋_GB2312" w:hAnsi="仿宋_GB2312" w:cs="仿宋_GB2312" w:eastAsia="仿宋_GB2312"/>
              </w:rPr>
              <w:t>3、经采购人验收合格后并收到供应商提交的发票后，支付合同的 100%， 采用银行转账的方式支付费用。</w:t>
            </w:r>
          </w:p>
          <w:p>
            <w:pPr>
              <w:pStyle w:val="null3"/>
              <w:jc w:val="both"/>
            </w:pPr>
            <w:r>
              <w:rPr>
                <w:rFonts w:ascii="仿宋_GB2312" w:hAnsi="仿宋_GB2312" w:cs="仿宋_GB2312" w:eastAsia="仿宋_GB2312"/>
              </w:rPr>
              <w:t>三</w:t>
            </w:r>
            <w:r>
              <w:rPr>
                <w:rFonts w:ascii="仿宋_GB2312" w:hAnsi="仿宋_GB2312" w:cs="仿宋_GB2312" w:eastAsia="仿宋_GB2312"/>
              </w:rPr>
              <w:t>、工程量清单</w:t>
            </w: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348"/>
              <w:gridCol w:w="810"/>
              <w:gridCol w:w="678"/>
              <w:gridCol w:w="678"/>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编号</w:t>
                  </w:r>
                </w:p>
              </w:tc>
              <w:tc>
                <w:tcPr>
                  <w:tcW w:type="dxa" w:w="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r>
                    <w:rPr>
                      <w:rFonts w:ascii="仿宋_GB2312" w:hAnsi="仿宋_GB2312" w:cs="仿宋_GB2312" w:eastAsia="仿宋_GB2312"/>
                      <w:sz w:val="21"/>
                    </w:rPr>
                    <w:t xml:space="preserve"> </w:t>
                  </w:r>
                  <w:r>
                    <w:rPr>
                      <w:rFonts w:ascii="仿宋_GB2312" w:hAnsi="仿宋_GB2312" w:cs="仿宋_GB2312" w:eastAsia="仿宋_GB2312"/>
                      <w:sz w:val="20"/>
                      <w:color w:val="000000"/>
                    </w:rPr>
                    <w:t>目</w:t>
                  </w:r>
                  <w:r>
                    <w:rPr>
                      <w:rFonts w:ascii="仿宋_GB2312" w:hAnsi="仿宋_GB2312" w:cs="仿宋_GB2312" w:eastAsia="仿宋_GB2312"/>
                      <w:sz w:val="21"/>
                    </w:rPr>
                    <w:t xml:space="preserve"> </w:t>
                  </w:r>
                  <w:r>
                    <w:rPr>
                      <w:rFonts w:ascii="仿宋_GB2312" w:hAnsi="仿宋_GB2312" w:cs="仿宋_GB2312" w:eastAsia="仿宋_GB2312"/>
                      <w:sz w:val="20"/>
                      <w:color w:val="000000"/>
                    </w:rPr>
                    <w:t>名</w:t>
                  </w:r>
                  <w:r>
                    <w:rPr>
                      <w:rFonts w:ascii="仿宋_GB2312" w:hAnsi="仿宋_GB2312" w:cs="仿宋_GB2312" w:eastAsia="仿宋_GB2312"/>
                      <w:sz w:val="21"/>
                    </w:rPr>
                    <w:t xml:space="preserve"> </w:t>
                  </w:r>
                  <w:r>
                    <w:rPr>
                      <w:rFonts w:ascii="仿宋_GB2312" w:hAnsi="仿宋_GB2312" w:cs="仿宋_GB2312" w:eastAsia="仿宋_GB2312"/>
                      <w:sz w:val="20"/>
                      <w:color w:val="000000"/>
                    </w:rPr>
                    <w:t>称</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新建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细石混凝土散水</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100.00</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花池</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挡墙</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m</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45.00</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铺地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拆除</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散水</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100.00</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花池</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挡墙</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m</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21.00</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铺地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r>
          </w:tbl>
          <w:p>
            <w:pPr>
              <w:pStyle w:val="null3"/>
            </w:pPr>
            <w:r>
              <w:rPr>
                <w:rFonts w:ascii="仿宋_GB2312" w:hAnsi="仿宋_GB2312" w:cs="仿宋_GB2312" w:eastAsia="仿宋_GB2312"/>
                <w:b/>
              </w:rPr>
              <w:t>说明：本清单工程量可能与实际量存在差异，供应商务必在踏勘时自行测算成本，本项目磋商报价为包干价，结算时以成交的磋商报价为准，不因工程量调整结算金额。</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符合国家、地方及行业合格标准，符合采购人要求。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符合采购人相关要求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（1）本项目采购标的对应的中小企业划分标准所属行业为建筑业。 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投标。 供应商需在《供应商应提交的相关资格证明材料》中提供上述资格证明材料，在项目电子化交易系统中按要求填写《响应函》完成承诺并进行电子签章。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关于财务会计制度的证明材料｛注：提供2024年度经审计的供应商财务会计报告或者提供响应文件截止时间3个月内其基本账户开户银行出具的资信证明)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供应商应具备建筑工程施工总承包三级及以上资质、合格有效的安全生产许可证，供应商在”陕西省建筑市场监管与诚信信息发布平台“可查询。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资质要求：注册建造师二级及以上；专业要求：建筑工程专业； 补充说明：同时具备有效的安全生产考核合格证书，且无在建工程（提供承诺书），项目经理在陕西省“建筑市场监管与诚信信息一体化平台”可查询。</w:t>
            </w:r>
          </w:p>
        </w:tc>
        <w:tc>
          <w:tcPr>
            <w:tcW w:type="dxa" w:w="1661"/>
          </w:tcPr>
          <w:p>
            <w:pPr>
              <w:pStyle w:val="null3"/>
            </w:pPr>
            <w:r>
              <w:rPr>
                <w:rFonts w:ascii="仿宋_GB2312" w:hAnsi="仿宋_GB2312" w:cs="仿宋_GB2312" w:eastAsia="仿宋_GB2312"/>
              </w:rPr>
              <w:t>项目管理机构组成表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响应文件按要求签署、盖章</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法定代表人或授权委托书.docx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符合“响应文件格式”和磋商文件要求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报价函 分项报价明细表.docx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报价函 分项报价明细表.docx 技术服务合同条款及其他商务要求应答表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机械配备和材料投入合理且数量充足、投入计划紧贴项目进度，确保本项目的设备与材料使用的得5分； 机械配备和材料投入合理且数量充足，投入计划有一定的可行性，基本与项目进度能保持一致，能确保本项目的设备与材料使用的得4分； 机械配备和材料投入计划基本合理，基本与项目进度匹配，能保证项目建设进度的得3分； 机械配备和材料投入数量存在部分不合理，与项目建设进度匹配度较差的得2分； 机械配备和材料投入计划与项目建设进度不相符的得1分；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劳动力安排计划表</w:t>
            </w:r>
          </w:p>
        </w:tc>
        <w:tc>
          <w:tcPr>
            <w:tcW w:type="dxa" w:w="2492"/>
          </w:tcPr>
          <w:p>
            <w:pPr>
              <w:pStyle w:val="null3"/>
            </w:pPr>
            <w:r>
              <w:rPr>
                <w:rFonts w:ascii="仿宋_GB2312" w:hAnsi="仿宋_GB2312" w:cs="仿宋_GB2312" w:eastAsia="仿宋_GB2312"/>
              </w:rPr>
              <w:t>劳动力安排合理，可操作性强，具有详细明确的劳动力安排计划表，能够确保项目如期保质完成的得5分； 劳动力安排合理，有一定的可行性，安排计划基本明确的能够基本保证项目如期完成的得4分； 劳动力数量基本合理，计划表基本清晰、可行的得3分； 劳动力数量存在部分不合理，计划表不清晰、可行性较差的得2分； 劳动力安排合理性、可行性均较差的得1分； 未提供或不能保证项目如期完成的不得分。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确保环境保护的组织措施</w:t>
            </w:r>
          </w:p>
        </w:tc>
        <w:tc>
          <w:tcPr>
            <w:tcW w:type="dxa" w:w="2492"/>
          </w:tcPr>
          <w:p>
            <w:pPr>
              <w:pStyle w:val="null3"/>
            </w:pPr>
            <w:r>
              <w:rPr>
                <w:rFonts w:ascii="仿宋_GB2312" w:hAnsi="仿宋_GB2312" w:cs="仿宋_GB2312" w:eastAsia="仿宋_GB2312"/>
              </w:rPr>
              <w:t>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以上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评审项①：供应商对工期时限、工程质量及进度等内容做出承诺。（5分） 评审项②：供应商对施工过程产生的垃圾按规定倾倒、不随意抛洒，环境卫生做出承诺。（5分） 评审项③：供应商对实施过程中沟通、协调及管理方案等内容作出承诺。（5分） 评审标准： 以上每项内容专门针对本项目且符合本项目实际需求、内容完整、可实施性强的得5分，缺评审项扣5分。若内容中存在缺陷，每出现一处缺陷扣0.5分，扣完为止。“缺陷”指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供应商提供近三年（2022年1月1日至今）类似项目业绩，业绩以合同为依据，响应文件中附有其证明资料，每提供一个业绩证明计1分，满分4分。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供应商业绩等其他证明材料.docx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施工主要材料为节能产品或环境标志产品的，每种产品得0.5分，最高得1分，没有不得分；节能产品与环境标志产品可同时得分（供应商需提供所需主要原材料与设备经国家确定的认证机构出具的、处于有效期之内的节能产品、环境标志产品认证证书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详见附件：法定代表人或授权委托书.docx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详见附件：供应商业绩等其他证明材料.docx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