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F3C20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171"/>
        <w:gridCol w:w="5619"/>
        <w:gridCol w:w="1191"/>
      </w:tblGrid>
      <w:tr w14:paraId="6BFC2A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5639F3C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216B083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条款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vAlign w:val="center"/>
          </w:tcPr>
          <w:p w14:paraId="3B85F5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  <w:t>内容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12F9C80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  <w:t>响应说明</w:t>
            </w:r>
          </w:p>
        </w:tc>
      </w:tr>
      <w:tr w14:paraId="00C7AA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0DA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FD8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合同</w:t>
            </w:r>
          </w:p>
          <w:p w14:paraId="71E160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价款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1B6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1.本项目采用固定总价合同。</w:t>
            </w:r>
          </w:p>
          <w:p w14:paraId="78100F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2.单价修正系数 ：修正系数=磋商最终报价/首次报价。 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01A9C5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1C1597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42DB6E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2023A2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变更、签证价款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vAlign w:val="center"/>
          </w:tcPr>
          <w:p w14:paraId="246C71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1.审核后的工程量清单报价中已有工程综合单价的，按已有综合单价结算。</w:t>
            </w:r>
          </w:p>
          <w:p w14:paraId="5E51FA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.工程量清单报价中只有类似工程项目的，双方可以参照同标准类似综合单价协商认可的综合单价结算。3.工程量清单报价中没有的工程项目内容，经甲方代表确认后，乙方可重新组价并上报，组价依据施工图、设计变更、陕西省《建设工程工程量清单计价标准》(2025)、《陕西省建设工程费用规则》(2025)下的仿清单定额模式，依据《陕西省房屋建筑与装饰工程基价表(2025)》、《陕西省通用安装工程基价表(2025)》、《陕西省市政工程基价表(2025)》、《陕西省园林绿化工程基价表(2025)》、《陕西省房屋建筑与装饰工程消耗量定额(2025)》《陕西省安装工程消耗量定额(2025)》《陕西省市政工程消耗量定额(2025)、《陕西省园林绿化工程消耗量定额(2025)及相应的费率，经甲方审核确认的价款为该变更签证价款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57EDF5A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487A0C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5847B33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394BFA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履约保证金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vAlign w:val="center"/>
          </w:tcPr>
          <w:p w14:paraId="5DEBA3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中标供应商在签订合同前，应提交合同金额的10%作为履约保证金。竣工验收后交付给招标人使用之日起满一年，扣除违约费用后无息支付至履约保证金总额的50%为止；满两年后，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无息支付扣除违约费用后其他剩余履约保证金。履约保证金不足的，承包人应补足。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4B14DA3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331151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38315CD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1FFB7B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付款</w:t>
            </w:r>
          </w:p>
          <w:p w14:paraId="1164E8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vAlign w:val="center"/>
          </w:tcPr>
          <w:p w14:paraId="15C980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合同签订后10个工作日内支付合同金额的50 %，承包人根据工程施工进度，可提出工程款项支付申请，发包人根据工程进度等工程资料支付进度款，工程竣工验收合格后付至审定金额的100%。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5FBA93F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346CE149">
      <w:pP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</w:p>
    <w:p w14:paraId="1B4D1A95">
      <w:pP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注：1.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响应说明填写：优于、等于、低于。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未填写的视为低于。</w:t>
      </w:r>
    </w:p>
    <w:p w14:paraId="63557F7D">
      <w:pPr>
        <w:ind w:firstLine="440" w:firstLineChars="200"/>
        <w:rPr>
          <w:rFonts w:hint="default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2.主要商务条款不允许负偏离（低于）。</w:t>
      </w:r>
    </w:p>
    <w:p w14:paraId="3915BA52">
      <w:pP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</w:p>
    <w:p w14:paraId="16A94F30">
      <w:pP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</w:p>
    <w:p w14:paraId="0120B2C8"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供应商：（盖公章）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9E4D78"/>
    <w:rsid w:val="05B002A1"/>
    <w:rsid w:val="126822AB"/>
    <w:rsid w:val="16922F95"/>
    <w:rsid w:val="1F9077A5"/>
    <w:rsid w:val="1FE842E7"/>
    <w:rsid w:val="205234AE"/>
    <w:rsid w:val="3B6F6F2C"/>
    <w:rsid w:val="3FF9428E"/>
    <w:rsid w:val="5481728A"/>
    <w:rsid w:val="5A29740C"/>
    <w:rsid w:val="719E4D78"/>
    <w:rsid w:val="745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678</Words>
  <Characters>744</Characters>
  <Lines>0</Lines>
  <Paragraphs>0</Paragraphs>
  <TotalTime>7</TotalTime>
  <ScaleCrop>false</ScaleCrop>
  <LinksUpToDate>false</LinksUpToDate>
  <CharactersWithSpaces>746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2025-04-29T12:23:00Z</dcterms:created>
  <dc:creator>新昱</dc:creator>
  <cp:lastModifiedBy>新昱</cp:lastModifiedBy>
  <dcterms:modified xsi:type="dcterms:W3CDTF">2025-08-22T09:19:48Z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44F26DEF014342D7886A882D4F173886_13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