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版本号：RTZB-2025-200920250822001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场馆设备更新及配套工程项目馆区“三年攻坚行动”消防整改工程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RTZB-2025-2009</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场馆设备更新及配套工程项目馆区“三年攻坚行动”消防整改工程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场馆设备更新及配套工程项目馆区“三年攻坚行动”消防整改工程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本工程是陕西历史博物馆“三年攻坚”消防整改施工，包含原有消防设备设施拆除及消防设备设施采购及安装、调试。此项目消防设备设施必须与馆内原有消防系统兼容、并接入原有消防系统。详见清单及图纸。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采购包1（场馆设备更新及配套工程项目馆区“三年攻坚行动”消防整改工程）：属于专门面向中小企业采购。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p>
      <w:pPr>
        <w:pStyle w:val="null3"/>
      </w:pPr>
      <w:r>
        <w:rPr>
          <w:rFonts w:ascii="仿宋_GB2312" w:hAnsi="仿宋_GB2312" w:cs="仿宋_GB2312" w:eastAsia="仿宋_GB2312"/>
        </w:rPr>
        <w:t>2、代表人授权：参加磋商的供应商代表需提供提法定代表人证明书和法定代表人授权书。</w:t>
      </w:r>
    </w:p>
    <w:p>
      <w:pPr>
        <w:pStyle w:val="null3"/>
      </w:pPr>
      <w:r>
        <w:rPr>
          <w:rFonts w:ascii="仿宋_GB2312" w:hAnsi="仿宋_GB2312" w:cs="仿宋_GB2312" w:eastAsia="仿宋_GB2312"/>
        </w:rPr>
        <w:t>3、企业资质：具备消防设施工程专业承包二级及以上资质、有效的安全生产许可证，并在“陕西省住房和城乡建设厅”官方网站可查询（提供网页截图）。</w:t>
      </w:r>
    </w:p>
    <w:p>
      <w:pPr>
        <w:pStyle w:val="null3"/>
      </w:pPr>
      <w:r>
        <w:rPr>
          <w:rFonts w:ascii="仿宋_GB2312" w:hAnsi="仿宋_GB2312" w:cs="仿宋_GB2312" w:eastAsia="仿宋_GB2312"/>
        </w:rPr>
        <w:t>4、项目经理：拟派项目经理须为供应商单位注册的机电工程专业二级及以上注册建造师，具有安全生产考核合格证（B证）且无在建工程。提供证书及无在建声明。</w:t>
      </w:r>
    </w:p>
    <w:p>
      <w:pPr>
        <w:pStyle w:val="null3"/>
      </w:pPr>
      <w:r>
        <w:rPr>
          <w:rFonts w:ascii="仿宋_GB2312" w:hAnsi="仿宋_GB2312" w:cs="仿宋_GB2312" w:eastAsia="仿宋_GB2312"/>
        </w:rPr>
        <w:t>5、联合体形式：本项目不接受联合体，提供非联合体声明。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陕西历史博物馆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采购包1：2,502,659.43元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签订合同前，应提交合同金额的10%作为履约保证金。竣工验收后交付给招标人使用之日起满一年，扣除违约费用后无息支付至履约保证金总额的50%为止；满两年后，无息支付扣除违约费用后其他剩余履约保证金。履约保证金不足的，承包人应补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以成交价为基础计算计取，供应商在下载成交通知书时一次性缴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踏勘时间：2025-08-30 09:30:00</w:t>
            </w:r>
          </w:p>
          <w:p>
            <w:pPr>
              <w:pStyle w:val="null3"/>
              <w:ind w:firstLine="975"/>
            </w:pPr>
            <w:r>
              <w:rPr>
                <w:rFonts w:ascii="仿宋_GB2312" w:hAnsi="仿宋_GB2312" w:cs="仿宋_GB2312" w:eastAsia="仿宋_GB2312"/>
              </w:rPr>
              <w:t>踏勘地点：陕西历史博物馆北门</w:t>
            </w:r>
          </w:p>
          <w:p>
            <w:pPr>
              <w:pStyle w:val="null3"/>
              <w:ind w:firstLine="975"/>
            </w:pPr>
            <w:r>
              <w:rPr>
                <w:rFonts w:ascii="仿宋_GB2312" w:hAnsi="仿宋_GB2312" w:cs="仿宋_GB2312" w:eastAsia="仿宋_GB2312"/>
              </w:rPr>
              <w:t>联系人：王栋</w:t>
            </w:r>
          </w:p>
          <w:p>
            <w:pPr>
              <w:pStyle w:val="null3"/>
              <w:ind w:firstLine="975"/>
            </w:pPr>
            <w:r>
              <w:rPr>
                <w:rFonts w:ascii="仿宋_GB2312" w:hAnsi="仿宋_GB2312" w:cs="仿宋_GB2312" w:eastAsia="仿宋_GB2312"/>
              </w:rPr>
              <w:t>联系电话号码：15596449248</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以磋商文件和合同为准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2,502,659.43</w:t>
      </w:r>
    </w:p>
    <w:p>
      <w:pPr>
        <w:pStyle w:val="null3"/>
      </w:pPr>
      <w:r>
        <w:rPr>
          <w:rFonts w:ascii="仿宋_GB2312" w:hAnsi="仿宋_GB2312" w:cs="仿宋_GB2312" w:eastAsia="仿宋_GB2312"/>
        </w:rPr>
        <w:t>采购包最高限价（元）: 2,502,659.43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消防整改工程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2,502,659.43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标的名称：消防整改工程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一、工程概况</w:t>
            </w:r>
          </w:p>
          <w:p>
            <w:pPr>
              <w:pStyle w:val="null3"/>
              <w:jc w:val="both"/>
            </w:pPr>
            <w:r>
              <w:rPr>
                <w:rFonts w:ascii="仿宋_GB2312" w:hAnsi="仿宋_GB2312" w:cs="仿宋_GB2312" w:eastAsia="仿宋_GB2312"/>
                <w:sz w:val="20"/>
                <w:color w:val="000000"/>
              </w:rPr>
              <w:t>本工程是陕西历史博物馆</w:t>
            </w:r>
            <w:r>
              <w:rPr>
                <w:rFonts w:ascii="仿宋_GB2312" w:hAnsi="仿宋_GB2312" w:cs="仿宋_GB2312" w:eastAsia="仿宋_GB2312"/>
                <w:sz w:val="20"/>
                <w:color w:val="000000"/>
              </w:rPr>
              <w:t>“三年攻坚</w:t>
            </w:r>
            <w:r>
              <w:rPr>
                <w:rFonts w:ascii="仿宋_GB2312" w:hAnsi="仿宋_GB2312" w:cs="仿宋_GB2312" w:eastAsia="仿宋_GB2312"/>
                <w:sz w:val="20"/>
                <w:color w:val="000000"/>
              </w:rPr>
              <w:t>”</w:t>
            </w:r>
            <w:r>
              <w:rPr>
                <w:rFonts w:ascii="仿宋_GB2312" w:hAnsi="仿宋_GB2312" w:cs="仿宋_GB2312" w:eastAsia="仿宋_GB2312"/>
                <w:sz w:val="20"/>
                <w:color w:val="000000"/>
              </w:rPr>
              <w:t>消防整改施工，包含原有消防设备设施拆除及消防设备设施采购及安装、调试。此项目消防设备设施必须与馆内原有消防系统兼容、并接入原有消防系统。国宝厅消防施工必须配合馆内国宝厅重新装修要求、装修工程进度及住建部门验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二、施工范围</w:t>
            </w:r>
          </w:p>
          <w:p>
            <w:pPr>
              <w:pStyle w:val="null3"/>
              <w:jc w:val="left"/>
            </w:pPr>
            <w:r>
              <w:rPr>
                <w:rFonts w:ascii="仿宋_GB2312" w:hAnsi="仿宋_GB2312" w:cs="仿宋_GB2312" w:eastAsia="仿宋_GB2312"/>
                <w:sz w:val="20"/>
                <w:color w:val="000000"/>
              </w:rPr>
              <w:t>“三年攻坚”消防整改</w:t>
            </w:r>
            <w:r>
              <w:rPr>
                <w:rFonts w:ascii="仿宋_GB2312" w:hAnsi="仿宋_GB2312" w:cs="仿宋_GB2312" w:eastAsia="仿宋_GB2312"/>
                <w:sz w:val="20"/>
                <w:color w:val="000000"/>
              </w:rPr>
              <w:t>范围依据：</w:t>
            </w:r>
            <w:r>
              <w:rPr>
                <w:rFonts w:ascii="仿宋_GB2312" w:hAnsi="仿宋_GB2312" w:cs="仿宋_GB2312" w:eastAsia="仿宋_GB2312"/>
                <w:sz w:val="20"/>
                <w:color w:val="000000"/>
              </w:rPr>
              <w:t>西安市雁塔区住房和城乡建设局《建设工程消防技术指导服务函》</w:t>
            </w:r>
            <w:r>
              <w:rPr>
                <w:rFonts w:ascii="仿宋_GB2312" w:hAnsi="仿宋_GB2312" w:cs="仿宋_GB2312" w:eastAsia="仿宋_GB2312"/>
                <w:sz w:val="20"/>
                <w:color w:val="000000"/>
              </w:rPr>
              <w:t>2024.8.29文件内容。（简称“三年攻坚”消防整改）</w:t>
            </w:r>
          </w:p>
          <w:p>
            <w:pPr>
              <w:pStyle w:val="null3"/>
              <w:jc w:val="both"/>
            </w:pPr>
            <w:r>
              <w:rPr>
                <w:rFonts w:ascii="仿宋_GB2312" w:hAnsi="仿宋_GB2312" w:cs="仿宋_GB2312" w:eastAsia="仿宋_GB2312"/>
                <w:sz w:val="20"/>
                <w:color w:val="000000"/>
              </w:rPr>
              <w:t>按照</w:t>
            </w:r>
            <w:r>
              <w:rPr>
                <w:rFonts w:ascii="仿宋_GB2312" w:hAnsi="仿宋_GB2312" w:cs="仿宋_GB2312" w:eastAsia="仿宋_GB2312"/>
                <w:sz w:val="20"/>
                <w:color w:val="000000"/>
              </w:rPr>
              <w:t>“三年攻坚”消防整改</w:t>
            </w:r>
            <w:r>
              <w:rPr>
                <w:rFonts w:ascii="仿宋_GB2312" w:hAnsi="仿宋_GB2312" w:cs="仿宋_GB2312" w:eastAsia="仿宋_GB2312"/>
                <w:sz w:val="20"/>
                <w:color w:val="000000"/>
              </w:rPr>
              <w:t>设计图纸及其工程量清单完成消防整改工程施工，同时垃圾清运日清日结。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三、设计标准和施工标准</w:t>
            </w:r>
          </w:p>
          <w:p>
            <w:pPr>
              <w:pStyle w:val="null3"/>
              <w:jc w:val="both"/>
            </w:pPr>
            <w:r>
              <w:rPr>
                <w:rFonts w:ascii="仿宋_GB2312" w:hAnsi="仿宋_GB2312" w:cs="仿宋_GB2312" w:eastAsia="仿宋_GB2312"/>
                <w:sz w:val="20"/>
                <w:color w:val="000000"/>
              </w:rPr>
              <w:t>《建筑防火通用规范》</w:t>
            </w:r>
            <w:r>
              <w:rPr>
                <w:rFonts w:ascii="仿宋_GB2312" w:hAnsi="仿宋_GB2312" w:cs="仿宋_GB2312" w:eastAsia="仿宋_GB2312"/>
                <w:sz w:val="20"/>
                <w:color w:val="000000"/>
              </w:rPr>
              <w:t>（</w:t>
            </w:r>
            <w:r>
              <w:rPr>
                <w:rFonts w:ascii="仿宋_GB2312" w:hAnsi="仿宋_GB2312" w:cs="仿宋_GB2312" w:eastAsia="仿宋_GB2312"/>
                <w:sz w:val="20"/>
                <w:color w:val="000000"/>
              </w:rPr>
              <w:t>GB55037-2022）</w:t>
            </w:r>
          </w:p>
          <w:p>
            <w:pPr>
              <w:pStyle w:val="null3"/>
              <w:jc w:val="both"/>
            </w:pPr>
            <w:r>
              <w:rPr>
                <w:rFonts w:ascii="仿宋_GB2312" w:hAnsi="仿宋_GB2312" w:cs="仿宋_GB2312" w:eastAsia="仿宋_GB2312"/>
                <w:sz w:val="20"/>
                <w:color w:val="000000"/>
              </w:rPr>
              <w:t>《消防设施通用规范》</w:t>
            </w:r>
            <w:r>
              <w:rPr>
                <w:rFonts w:ascii="仿宋_GB2312" w:hAnsi="仿宋_GB2312" w:cs="仿宋_GB2312" w:eastAsia="仿宋_GB2312"/>
                <w:sz w:val="20"/>
                <w:color w:val="000000"/>
              </w:rPr>
              <w:t>（</w:t>
            </w:r>
            <w:r>
              <w:rPr>
                <w:rFonts w:ascii="仿宋_GB2312" w:hAnsi="仿宋_GB2312" w:cs="仿宋_GB2312" w:eastAsia="仿宋_GB2312"/>
                <w:sz w:val="20"/>
                <w:color w:val="000000"/>
              </w:rPr>
              <w:t>GB55036-2022）</w:t>
            </w:r>
          </w:p>
          <w:p>
            <w:pPr>
              <w:pStyle w:val="null3"/>
              <w:jc w:val="both"/>
            </w:pPr>
            <w:r>
              <w:rPr>
                <w:rFonts w:ascii="仿宋_GB2312" w:hAnsi="仿宋_GB2312" w:cs="仿宋_GB2312" w:eastAsia="仿宋_GB2312"/>
                <w:sz w:val="20"/>
                <w:color w:val="000000"/>
              </w:rPr>
              <w:t>《博物馆建筑设计规范》</w:t>
            </w:r>
            <w:r>
              <w:rPr>
                <w:rFonts w:ascii="仿宋_GB2312" w:hAnsi="仿宋_GB2312" w:cs="仿宋_GB2312" w:eastAsia="仿宋_GB2312"/>
                <w:sz w:val="20"/>
                <w:color w:val="000000"/>
              </w:rPr>
              <w:t>（</w:t>
            </w:r>
            <w:r>
              <w:rPr>
                <w:rFonts w:ascii="仿宋_GB2312" w:hAnsi="仿宋_GB2312" w:cs="仿宋_GB2312" w:eastAsia="仿宋_GB2312"/>
                <w:sz w:val="20"/>
                <w:color w:val="000000"/>
              </w:rPr>
              <w:t>JGJ66-2015）</w:t>
            </w:r>
          </w:p>
          <w:p>
            <w:pPr>
              <w:pStyle w:val="null3"/>
              <w:jc w:val="both"/>
            </w:pPr>
            <w:r>
              <w:rPr>
                <w:rFonts w:ascii="仿宋_GB2312" w:hAnsi="仿宋_GB2312" w:cs="仿宋_GB2312" w:eastAsia="仿宋_GB2312"/>
                <w:sz w:val="20"/>
                <w:color w:val="000000"/>
              </w:rPr>
              <w:t>《建筑设计防火规范》（</w:t>
            </w:r>
            <w:r>
              <w:rPr>
                <w:rFonts w:ascii="仿宋_GB2312" w:hAnsi="仿宋_GB2312" w:cs="仿宋_GB2312" w:eastAsia="仿宋_GB2312"/>
                <w:sz w:val="20"/>
                <w:color w:val="000000"/>
              </w:rPr>
              <w:t>GB 50016 - 2014，2018 年版）</w:t>
            </w:r>
          </w:p>
          <w:p>
            <w:pPr>
              <w:pStyle w:val="null3"/>
              <w:jc w:val="both"/>
            </w:pPr>
            <w:r>
              <w:rPr>
                <w:rFonts w:ascii="仿宋_GB2312" w:hAnsi="仿宋_GB2312" w:cs="仿宋_GB2312" w:eastAsia="仿宋_GB2312"/>
                <w:sz w:val="20"/>
                <w:color w:val="000000"/>
              </w:rPr>
              <w:t>《消防给水及消火栓系统技术规范》（</w:t>
            </w:r>
            <w:r>
              <w:rPr>
                <w:rFonts w:ascii="仿宋_GB2312" w:hAnsi="仿宋_GB2312" w:cs="仿宋_GB2312" w:eastAsia="仿宋_GB2312"/>
                <w:sz w:val="20"/>
                <w:color w:val="000000"/>
              </w:rPr>
              <w:t>GB 50974 - 2014）</w:t>
            </w:r>
          </w:p>
          <w:p>
            <w:pPr>
              <w:pStyle w:val="null3"/>
              <w:jc w:val="both"/>
            </w:pPr>
            <w:r>
              <w:rPr>
                <w:rFonts w:ascii="仿宋_GB2312" w:hAnsi="仿宋_GB2312" w:cs="仿宋_GB2312" w:eastAsia="仿宋_GB2312"/>
                <w:sz w:val="20"/>
                <w:color w:val="000000"/>
              </w:rPr>
              <w:t>《自动喷水灭火系统设计规范》（</w:t>
            </w:r>
            <w:r>
              <w:rPr>
                <w:rFonts w:ascii="仿宋_GB2312" w:hAnsi="仿宋_GB2312" w:cs="仿宋_GB2312" w:eastAsia="仿宋_GB2312"/>
                <w:sz w:val="20"/>
                <w:color w:val="000000"/>
              </w:rPr>
              <w:t>GB 50084 - 2017）</w:t>
            </w:r>
          </w:p>
          <w:p>
            <w:pPr>
              <w:pStyle w:val="null3"/>
              <w:jc w:val="both"/>
            </w:pPr>
            <w:r>
              <w:rPr>
                <w:rFonts w:ascii="仿宋_GB2312" w:hAnsi="仿宋_GB2312" w:cs="仿宋_GB2312" w:eastAsia="仿宋_GB2312"/>
                <w:sz w:val="20"/>
                <w:color w:val="000000"/>
              </w:rPr>
              <w:t>《建筑防烟排烟系统技术标准》（</w:t>
            </w:r>
            <w:r>
              <w:rPr>
                <w:rFonts w:ascii="仿宋_GB2312" w:hAnsi="仿宋_GB2312" w:cs="仿宋_GB2312" w:eastAsia="仿宋_GB2312"/>
                <w:sz w:val="20"/>
                <w:color w:val="000000"/>
              </w:rPr>
              <w:t>GB 51251 - 2017）</w:t>
            </w:r>
          </w:p>
          <w:p>
            <w:pPr>
              <w:pStyle w:val="null3"/>
              <w:jc w:val="both"/>
            </w:pPr>
            <w:r>
              <w:rPr>
                <w:rFonts w:ascii="仿宋_GB2312" w:hAnsi="仿宋_GB2312" w:cs="仿宋_GB2312" w:eastAsia="仿宋_GB2312"/>
                <w:sz w:val="20"/>
                <w:color w:val="000000"/>
              </w:rPr>
              <w:t>《火灾自动报警系统设计规范》（</w:t>
            </w:r>
            <w:r>
              <w:rPr>
                <w:rFonts w:ascii="仿宋_GB2312" w:hAnsi="仿宋_GB2312" w:cs="仿宋_GB2312" w:eastAsia="仿宋_GB2312"/>
                <w:sz w:val="20"/>
                <w:color w:val="000000"/>
              </w:rPr>
              <w:t>GB 50116 - 2013）</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自动喷水灭火系统施工及验收规范</w:t>
            </w:r>
            <w:r>
              <w:rPr>
                <w:rFonts w:ascii="仿宋_GB2312" w:hAnsi="仿宋_GB2312" w:cs="仿宋_GB2312" w:eastAsia="仿宋_GB2312"/>
                <w:sz w:val="20"/>
                <w:color w:val="000000"/>
              </w:rPr>
              <w:t>GB50261-2017</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四、深化部分</w:t>
            </w:r>
          </w:p>
          <w:p>
            <w:pPr>
              <w:pStyle w:val="null3"/>
              <w:jc w:val="both"/>
            </w:pPr>
            <w:r>
              <w:rPr>
                <w:rFonts w:ascii="仿宋_GB2312" w:hAnsi="仿宋_GB2312" w:cs="仿宋_GB2312" w:eastAsia="仿宋_GB2312"/>
                <w:sz w:val="20"/>
              </w:rPr>
              <w:t>供应商根据采购人提供的工程量清单内容结合设计图纸对图纸上提出需要深化的部分进行深化完善。</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五、投标人专项方案要求</w:t>
            </w:r>
          </w:p>
          <w:p>
            <w:pPr>
              <w:pStyle w:val="null3"/>
              <w:jc w:val="both"/>
            </w:pPr>
            <w:r>
              <w:rPr>
                <w:rFonts w:ascii="仿宋_GB2312" w:hAnsi="仿宋_GB2312" w:cs="仿宋_GB2312" w:eastAsia="仿宋_GB2312"/>
                <w:sz w:val="20"/>
              </w:rPr>
              <w:t>投标文件需包含：夜间施工方案、空调交叉施工方案、吊装方案、文物现场保护方案，施工防火方案，各类事故应急处置预案等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00"/>
              </w:rPr>
              <w:t>其他技术要求见施工图</w:t>
            </w:r>
            <w:r>
              <w:rPr>
                <w:rFonts w:ascii="仿宋_GB2312" w:hAnsi="仿宋_GB2312" w:cs="仿宋_GB2312" w:eastAsia="仿宋_GB2312"/>
                <w:sz w:val="20"/>
                <w:color w:val="000000"/>
              </w:rPr>
              <w:t>和工程量清单</w:t>
            </w:r>
            <w:r>
              <w:rPr>
                <w:rFonts w:ascii="仿宋_GB2312" w:hAnsi="仿宋_GB2312" w:cs="仿宋_GB2312" w:eastAsia="仿宋_GB2312"/>
                <w:sz w:val="20"/>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国家现行施工和验收规范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1.工期：合同签订后35日历天。 2.付款方式：合同签订后10个工作日内支付合同金额的50 %，承包人根据工程施工进度，可提出工程款项支付申请，发包人根据工程进度等工程资料支付进度款，工程竣工验收合格后付至审定金额的100%。 3.质量标准：国家现行施工验收规范合格标准。 4.质保期：验收合格后2年； 5.其他具体见合同要求。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须通过电子化交易平台上传响应文件，另外还需在磋商截止时间前向代理机构递交密封完好的电子化交易系统生成的纸质版响应文件贰份（胶装，密封袋外层标注供应商名称和项目名称）。代理机构对递交的文件签收，由监标人查验密封情况并记录，开标后交磋商小组，作为评审的辅助资料。 递交方式：现场递交，或顺丰邮寄 2.供应商请仔细阅读招标文件《第一章 竞争性磋商邀请》第六条“电子化采购相关事项”，提前做好线上开标准备。 3.本项目磋商环节在电子化交易系统线上进行，供应商需自行了解系统磋商的要求和操作流程。未按流程操作或无法联系以及供应商自身原因错过磋商的视为自动放弃磋商，其磋商无效。 4.本项目采用两次报价，响应文件中的报价为首次报价，磋商后的报价为最终报价，评审按最终报价评审。 5.①中小企业判定：是否属于中小企业，供应商按《统计上大中小微型企业划分办法（2017）》（国统字﹝2017﹞213号）建筑业划型标准判定，并承担责任。如判定原则与第四章及附件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供应商须为《国家统计局关于印发(统计上大中小微型企业划分办法(2017))的通知》(国统字(2017213号)建筑业划型标准的中小企业，或符合条件的残疾人福利单位、监狱企业。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代表人授权</w:t>
            </w:r>
          </w:p>
        </w:tc>
        <w:tc>
          <w:tcPr>
            <w:tcW w:type="dxa" w:w="3322"/>
          </w:tcPr>
          <w:p>
            <w:pPr>
              <w:pStyle w:val="null3"/>
            </w:pPr>
            <w:r>
              <w:rPr>
                <w:rFonts w:ascii="仿宋_GB2312" w:hAnsi="仿宋_GB2312" w:cs="仿宋_GB2312" w:eastAsia="仿宋_GB2312"/>
              </w:rPr>
              <w:t>参加磋商的供应商代表需提供提法定代表人证明书和法定代表人授权书。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具备消防设施工程专业承包二级及以上资质、有效的安全生产许可证，并在“陕西省住房和城乡建设厅”官方网站可查询（提供网页截图）。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资质证书.docx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拟派项目经理须为供应商单位注册的机电工程专业二级及以上注册建造师，具有安全生产考核合格证（B证）且无在建工程。提供证书及无在建声明。</w:t>
            </w:r>
          </w:p>
        </w:tc>
        <w:tc>
          <w:tcPr>
            <w:tcW w:type="dxa" w:w="1661"/>
          </w:tcPr>
          <w:p>
            <w:pPr>
              <w:pStyle w:val="null3"/>
            </w:pPr>
            <w:r>
              <w:rPr>
                <w:rFonts w:ascii="仿宋_GB2312" w:hAnsi="仿宋_GB2312" w:cs="仿宋_GB2312" w:eastAsia="仿宋_GB2312"/>
              </w:rPr>
              <w:t>项目经理资格证书及无在建声明.docx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合同签订后35日历天</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验收合格后2年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国家现行施工验收规范合格标准</w:t>
            </w:r>
          </w:p>
        </w:tc>
        <w:tc>
          <w:tcPr>
            <w:tcW w:type="dxa" w:w="1661"/>
          </w:tcPr>
          <w:p>
            <w:pPr>
              <w:pStyle w:val="null3"/>
            </w:pPr>
            <w:r>
              <w:rPr>
                <w:rFonts w:ascii="仿宋_GB2312" w:hAnsi="仿宋_GB2312" w:cs="仿宋_GB2312" w:eastAsia="仿宋_GB2312"/>
              </w:rPr>
              <w:t>质量标准响应函.docx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1.合同价款：①本项目采用固定总价合同。②单价修正系数：修正系数=磋商最终报价/首次报价。 2.变更、签证价款： ①审核后的工程量清单报价中已有工程综合单价的，按已有综合单价结算;②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及相应的费率，经甲方审核确认的价款为该变更签证价款。 3.履约保证金：中标供应商在签订合同前，应提交合同金额的10%作为履约保证金。竣工验收后交付给招标人使用之日起满一年，扣除违约费用后无息支付至履约保证金总额的50%为止；满两年后，无息支付扣除违约费用后其他剩余履约保证金。履约保证金不足的，承包人应补足。 4.付款方式：合同签订后10个工作日内支付合同金额的50 %，承包人根据工程施工进度，可提出工程款项支付申请，发包人根据工程进度等工程资料支付进度款，工程竣工验收合格后付至审定金额的100%。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已标价工程量清单的扉页（仅指投标总价扉页）需加盖有注册造价人员执业印章并签字。</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1.施工组织方案详细，链条完整，各部分措施具体，可行性强，得3分，每有一处缺陷扣0.5分，扣完为止。 2.工程质量保证措施：质量明确，保证工程质量的技术措施详细、完整、可行性强，得3分，每有一处缺陷扣0.5分，扣完为止。 3.安全生产组织措施：安全生产的技术组织措施详细，链条完整，可行性强；得3分，每有一处缺陷扣0.5分，扣完为止。 4.文明施工措施：文明施工措施措施完整，内容详细、可行性强，得3分，每有一处缺陷扣0.5分，扣完为止。 5.拟派施工项目部：施工项目部组织架构清晰，岗位设置合理，分工明确，责任清晰，专业作业队配置齐全、详细，得3分，每有一处缺陷扣0.5分，扣完为止。 6.施工机械设备配备计划：主要机械设备配备齐全，用途明确，得3分，每有一处缺陷扣0.5分，扣完为止。 7.劳动力安排计划：劳动力安排详细，人员调配措施具体，得3分，每有一处缺陷扣0.5分，扣完为止。 8.工程进度计划及措施：工期满足采购要求，提供工程进度表或施工网络图以及详细的保证措施，工期控制连贯、清晰、合理、规范，得3分，每有一处缺陷扣0.5分，扣完为止。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专项施工方案</w:t>
            </w:r>
          </w:p>
        </w:tc>
        <w:tc>
          <w:tcPr>
            <w:tcW w:type="dxa" w:w="2492"/>
          </w:tcPr>
          <w:p>
            <w:pPr>
              <w:pStyle w:val="null3"/>
            </w:pPr>
            <w:r>
              <w:rPr>
                <w:rFonts w:ascii="仿宋_GB2312" w:hAnsi="仿宋_GB2312" w:cs="仿宋_GB2312" w:eastAsia="仿宋_GB2312"/>
              </w:rPr>
              <w:t>1.夜间施工方案：夜间施工组织完善，噪声控制措施具体，能够不发生扰民纠纷，得2分，每有一处缺陷扣0.5分，扣完为止。 2.管道综合方案：管道综合原则清晰，措施具体，能有效避免和解决管道“打架”现象，得3分，每有一处缺陷扣0.5分，扣完为止。 3.现场保护方案：施工管理制度严格，保护措施具体，施工规范，能有效保障不对环境和展品造成损坏，得3分，每有一处缺陷扣0.5分，扣完为止。 4.施工防火方案：施工现场防火管理制度详细，防范和监督程序规范，措施具体，得3分，每有一处缺陷扣0.5分，扣完为止。 5.吊装方案：施工现场吊装组织有序，程序规范，措施安全可靠，能有效的保证保护现有环境、陈展设施，得4分，每有一处缺陷扣0.5分，扣完为止。 6.应急预案：针对施工过程中各类事故制定处置预案，预案全面，措施具体，响应迅速，得3分，每有一处缺陷扣0.5分，扣完为止。注：缺陷表述同上。</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专项施工方案.docx</w:t>
            </w:r>
          </w:p>
        </w:tc>
      </w:tr>
      <w:tr>
        <w:tc>
          <w:tcPr>
            <w:tcW w:type="dxa" w:w="831"/>
            <w:vMerge/>
          </w:tcPr>
          <w:p/>
        </w:tc>
        <w:tc>
          <w:tcPr>
            <w:tcW w:type="dxa" w:w="1661"/>
          </w:tcPr>
          <w:p>
            <w:pPr>
              <w:pStyle w:val="null3"/>
            </w:pPr>
            <w:r>
              <w:rPr>
                <w:rFonts w:ascii="仿宋_GB2312" w:hAnsi="仿宋_GB2312" w:cs="仿宋_GB2312" w:eastAsia="仿宋_GB2312"/>
              </w:rPr>
              <w:t>深化设计</w:t>
            </w:r>
          </w:p>
        </w:tc>
        <w:tc>
          <w:tcPr>
            <w:tcW w:type="dxa" w:w="2492"/>
          </w:tcPr>
          <w:p>
            <w:pPr>
              <w:pStyle w:val="null3"/>
            </w:pPr>
            <w:r>
              <w:rPr>
                <w:rFonts w:ascii="仿宋_GB2312" w:hAnsi="仿宋_GB2312" w:cs="仿宋_GB2312" w:eastAsia="仿宋_GB2312"/>
              </w:rPr>
              <w:t>供应商应根据图纸提供电动排烟窗的深化优化设计，深化优化设计能在保证质量、保持原有外立面效果的前提下有利于项目实施和提升使用效果，说明详细，选型具体，图面表达规范，深度满足施工要求，得6分，每有一处缺陷扣1分，扣完为止。注：①需提供深化设计图纸、选型说明等。②缺陷表述同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深化设计.docx</w:t>
            </w:r>
          </w:p>
        </w:tc>
      </w:tr>
      <w:tr>
        <w:tc>
          <w:tcPr>
            <w:tcW w:type="dxa" w:w="831"/>
            <w:vMerge/>
          </w:tcPr>
          <w:p/>
        </w:tc>
        <w:tc>
          <w:tcPr>
            <w:tcW w:type="dxa" w:w="1661"/>
          </w:tcPr>
          <w:p>
            <w:pPr>
              <w:pStyle w:val="null3"/>
            </w:pPr>
            <w:r>
              <w:rPr>
                <w:rFonts w:ascii="仿宋_GB2312" w:hAnsi="仿宋_GB2312" w:cs="仿宋_GB2312" w:eastAsia="仿宋_GB2312"/>
              </w:rPr>
              <w:t>系统调试验收方案</w:t>
            </w:r>
          </w:p>
        </w:tc>
        <w:tc>
          <w:tcPr>
            <w:tcW w:type="dxa" w:w="2492"/>
          </w:tcPr>
          <w:p>
            <w:pPr>
              <w:pStyle w:val="null3"/>
            </w:pPr>
            <w:r>
              <w:rPr>
                <w:rFonts w:ascii="仿宋_GB2312" w:hAnsi="仿宋_GB2312" w:cs="仿宋_GB2312" w:eastAsia="仿宋_GB2312"/>
              </w:rPr>
              <w:t>供应商需提供系统调试验收方案，内容包括但不限于①系统调试方案②与原有系统的接入方案以及整改措施③验收组织等。方案完整，内容详细，措施具体，针对性、可行性强，得6分，每缺少一项扣2分，每项每有一处缺陷扣0.5分，扣完为止。注：缺陷表述同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系统调试验收方案.docx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项目经理具有同类项目经验，每提供1份2022年1月1日至今业绩得1分，最高3分。注：需提供合同或验收报告或中标公告截图，且合同或验收报告或中标公告截图中能显示项目经理的名字。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在基础质保期（2年）的基础上，每增加1年得1分，最高3分。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质保期维修方案</w:t>
            </w:r>
          </w:p>
        </w:tc>
        <w:tc>
          <w:tcPr>
            <w:tcW w:type="dxa" w:w="2492"/>
          </w:tcPr>
          <w:p>
            <w:pPr>
              <w:pStyle w:val="null3"/>
            </w:pPr>
            <w:r>
              <w:rPr>
                <w:rFonts w:ascii="仿宋_GB2312" w:hAnsi="仿宋_GB2312" w:cs="仿宋_GB2312" w:eastAsia="仿宋_GB2312"/>
              </w:rPr>
              <w:t>1.提供详细的质保人员名单，联系电话，并提供7×24小时服务响应的书面承诺得2分。（承诺书格式自拟） 2.质保方案（包括但不限于质保内容、质保方式、巡检、响应时限等）详细，措施具体，可行性强，得3分，每有一处缺陷扣0.5分，扣完为止。注：缺陷表述同上。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质保期维修方案.docx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每提供1份供应商2022年1月1日至今类似工程业绩计1分，最多5分。注：①业绩以合同为准，时间以合同签订时间为准。②提供合同（至少包括封面、内容页、盖章页），中标通知书或验收报告。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详见附件：项目经理资格证书及无在建声明.docx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详见附件：深化设计.docx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详见附件：系统调试验收方案.docx</w:t>
      </w:r>
    </w:p>
    <w:p>
      <w:pPr>
        <w:pStyle w:val="null3"/>
        <w:ind w:firstLine="960"/>
      </w:pPr>
      <w:r>
        <w:rPr>
          <w:rFonts w:ascii="仿宋_GB2312" w:hAnsi="仿宋_GB2312" w:cs="仿宋_GB2312" w:eastAsia="仿宋_GB2312"/>
        </w:rPr>
        <w:t>详见附件：项目经理业绩.docx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详见附件：质保期维修方案.docx</w:t>
      </w:r>
    </w:p>
    <w:p>
      <w:pPr>
        <w:pStyle w:val="null3"/>
        <w:ind w:firstLine="960"/>
      </w:pPr>
      <w:r>
        <w:rPr>
          <w:rFonts w:ascii="仿宋_GB2312" w:hAnsi="仿宋_GB2312" w:cs="仿宋_GB2312" w:eastAsia="仿宋_GB2312"/>
        </w:rPr>
        <w:t>详见附件：质量标准响应函.docx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详见附件：专项施工方案.docx</w:t>
      </w:r>
    </w:p>
    <w:p>
      <w:pPr>
        <w:pStyle w:val="null3"/>
        <w:ind w:firstLine="960"/>
      </w:pPr>
      <w:r>
        <w:rPr>
          <w:rFonts w:ascii="仿宋_GB2312" w:hAnsi="仿宋_GB2312" w:cs="仿宋_GB2312" w:eastAsia="仿宋_GB2312"/>
        </w:rPr>
        <w:t>详见附件：供应商业绩情况表.docx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