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版本号：ZDCG2025062501.1B120250821001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渭城校区消防设施维修项目（二期）(二次)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ZDCG2025062501.1B1</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渭城校区消防设施维修项目（二期）(二次)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ZDCG2025062501.1B1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渭城校区消防设施维修项目（二期）(二次)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渭城校区消防设施维修项目（二期），维修范围包括11#家属楼、科技苑大厦、体育训练馆、学馨苑餐厅，具体工程内容详见工程量清单、答疑文件等文件中所涵盖的全部内容，确保达到所承担建筑物消防维修改造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2、主体资格：供应商为向采购人提供工程及相应服务的法人或其他组织。</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4、供应商资质要求：供应商须具备建设行政主管部门核发的消防工程专业承包二级及以上资质，且具备有效的安全生产许可证，并在人员、设备、资金等方面具备相应施工能力且无不良记录。</w:t>
      </w:r>
    </w:p>
    <w:p>
      <w:pPr>
        <w:pStyle w:val="null3"/>
      </w:pPr>
      <w:r>
        <w:rPr>
          <w:rFonts w:ascii="仿宋_GB2312" w:hAnsi="仿宋_GB2312" w:cs="仿宋_GB2312" w:eastAsia="仿宋_GB2312"/>
        </w:rPr>
        <w:t>5、拟派项目负责人资质和专业要求：供应商拟派项目经理须具备合法有效的机电工程专业二级及以上注册建造师执业资格或具备一级注册消防工程师资质证书，同时具备有效的安全生产考核合格证书（安全B证），且无在建工程，在本单位注册并提供2024年6月1日至今任意连续六个月社保证明材料。</w:t>
      </w:r>
    </w:p>
    <w:p>
      <w:pPr>
        <w:pStyle w:val="null3"/>
      </w:pPr>
      <w:r>
        <w:rPr>
          <w:rFonts w:ascii="仿宋_GB2312" w:hAnsi="仿宋_GB2312" w:cs="仿宋_GB2312" w:eastAsia="仿宋_GB2312"/>
        </w:rPr>
        <w:t>6、其他要求：供应商及其拟派项目经理须在“陕西省住房和城乡建设厅”官方网站可查询。</w:t>
      </w:r>
    </w:p>
    <w:p>
      <w:pPr>
        <w:pStyle w:val="null3"/>
      </w:pPr>
      <w:r>
        <w:rPr>
          <w:rFonts w:ascii="仿宋_GB2312" w:hAnsi="仿宋_GB2312" w:cs="仿宋_GB2312" w:eastAsia="仿宋_GB2312"/>
        </w:rPr>
        <w:t>7、是否面向中小企业：本采购包非专门面向中小企业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18192657673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开户名称：正大鹏安建设项目管理有限公司</w:t>
            </w:r>
          </w:p>
          <w:p>
            <w:pPr>
              <w:pStyle w:val="null3"/>
            </w:pPr>
            <w:r>
              <w:rPr>
                <w:rFonts w:ascii="仿宋_GB2312" w:hAnsi="仿宋_GB2312" w:cs="仿宋_GB2312" w:eastAsia="仿宋_GB2312"/>
              </w:rPr>
              <w:t>开户银行：中国建设银行西安金花路支行</w:t>
            </w:r>
          </w:p>
          <w:p>
            <w:pPr>
              <w:pStyle w:val="null3"/>
            </w:pPr>
            <w:r>
              <w:rPr>
                <w:rFonts w:ascii="仿宋_GB2312" w:hAnsi="仿宋_GB2312" w:cs="仿宋_GB2312" w:eastAsia="仿宋_GB2312"/>
              </w:rPr>
              <w:t>银行账号：61050186540000000221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说明：成交供应商于合同签订后7日历天内缴纳至采购人指定账户，工程竣工验收合格满后一次性无息退还。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 2002]1980号）”、“《国家发展改革委办公厅关于招标代理服务收费有关问题的通知》（发改价格[2003]857号）”、“国家发展改革委《关于降低部分建设项目收费标准规范收费行为等有关问题的通知》（发改价格[2011]534号）”的规定下浮10%执行。（注：竞争性磋商保证金在缴纳过程中均需备注项目名称（或ZDCG2025062501）+竞争性磋商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踏勘时间：2025-09-04 14:30:00</w:t>
            </w:r>
          </w:p>
          <w:p>
            <w:pPr>
              <w:pStyle w:val="null3"/>
              <w:ind w:firstLine="975"/>
            </w:pPr>
            <w:r>
              <w:rPr>
                <w:rFonts w:ascii="仿宋_GB2312" w:hAnsi="仿宋_GB2312" w:cs="仿宋_GB2312" w:eastAsia="仿宋_GB2312"/>
              </w:rPr>
              <w:t>踏勘地点：咸阳师范学院施工现场</w:t>
            </w:r>
          </w:p>
          <w:p>
            <w:pPr>
              <w:pStyle w:val="null3"/>
              <w:ind w:firstLine="975"/>
            </w:pPr>
            <w:r>
              <w:rPr>
                <w:rFonts w:ascii="仿宋_GB2312" w:hAnsi="仿宋_GB2312" w:cs="仿宋_GB2312" w:eastAsia="仿宋_GB2312"/>
              </w:rPr>
              <w:t>联系人：张小为、王昌军</w:t>
            </w:r>
          </w:p>
          <w:p>
            <w:pPr>
              <w:pStyle w:val="null3"/>
              <w:ind w:firstLine="975"/>
            </w:pPr>
            <w:r>
              <w:rPr>
                <w:rFonts w:ascii="仿宋_GB2312" w:hAnsi="仿宋_GB2312" w:cs="仿宋_GB2312" w:eastAsia="仿宋_GB2312"/>
              </w:rPr>
              <w:t>联系电话号码：13165788765、13992026970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咸阳师范学院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联系人：马咄、薛丽斌、魏雪妮</w:t>
      </w:r>
    </w:p>
    <w:p>
      <w:pPr>
        <w:pStyle w:val="null3"/>
      </w:pPr>
      <w:r>
        <w:rPr>
          <w:rFonts w:ascii="仿宋_GB2312" w:hAnsi="仿宋_GB2312" w:cs="仿宋_GB2312" w:eastAsia="仿宋_GB2312"/>
        </w:rPr>
        <w:t>联系电话：18192657673</w:t>
      </w:r>
    </w:p>
    <w:p>
      <w:pPr>
        <w:pStyle w:val="null3"/>
      </w:pPr>
      <w:r>
        <w:rPr>
          <w:rFonts w:ascii="仿宋_GB2312" w:hAnsi="仿宋_GB2312" w:cs="仿宋_GB2312" w:eastAsia="仿宋_GB2312"/>
        </w:rPr>
        <w:t>地址：陕西省西安市雁塔区西部国际广场B座28层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2,194,600.00</w:t>
      </w:r>
    </w:p>
    <w:p>
      <w:pPr>
        <w:pStyle w:val="null3"/>
      </w:pPr>
      <w:r>
        <w:rPr>
          <w:rFonts w:ascii="仿宋_GB2312" w:hAnsi="仿宋_GB2312" w:cs="仿宋_GB2312" w:eastAsia="仿宋_GB2312"/>
        </w:rPr>
        <w:t>采购包最高限价（元）: 2,194,600.00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2,194,600.00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工程为渭城校区消防设施维修项目（二期），维修范围包括11#家属楼、科技苑大厦、体育训练馆、学馨苑餐厅，具体工程内容详见工程量清单、答疑文件等文件中所涵盖的全部内容，确保达到所承担建筑物消防维修改造要求。</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（一）实施依据</w:t>
            </w:r>
          </w:p>
          <w:p>
            <w:pPr>
              <w:pStyle w:val="null3"/>
            </w:pPr>
            <w:r>
              <w:rPr>
                <w:rFonts w:ascii="仿宋_GB2312" w:hAnsi="仿宋_GB2312" w:cs="仿宋_GB2312" w:eastAsia="仿宋_GB2312"/>
              </w:rPr>
              <w:t>包括不限于《建筑设计防火规范》GB50016-2014、《自动喷水灭火系统设计规范》GB50084-2017、《自动喷水灭火系统施工及验收规范》GB50261-2017《火灾自动报警系统设计规范》GB50116-2013、《火灾自动报警系统施工及验收规范》GB50166-2007、《火灾自动控制器》GB4717-2005、《消防给水及消火栓系统技术规范》GB50974-2014、《消防应急照明和疏散指示系统》GB17945-2010、《气体灭火系统设计规范》GB50370-2005、《气体灭火系统施工及验收规范》GB50263-2007、《建筑灭火器配置验收及检查规范》GB50444-2008等相关法律法规。如施工过程中如相关部门颁发最新规范，则参照最新规范标准要求执行。</w:t>
            </w:r>
          </w:p>
          <w:p>
            <w:pPr>
              <w:pStyle w:val="null3"/>
            </w:pPr>
            <w:r>
              <w:rPr>
                <w:rFonts w:ascii="仿宋_GB2312" w:hAnsi="仿宋_GB2312" w:cs="仿宋_GB2312" w:eastAsia="仿宋_GB2312"/>
              </w:rPr>
              <w:t>（二）维修改造内容</w:t>
            </w:r>
          </w:p>
          <w:p>
            <w:pPr>
              <w:pStyle w:val="null3"/>
            </w:pPr>
            <w:r>
              <w:rPr>
                <w:rFonts w:ascii="仿宋_GB2312" w:hAnsi="仿宋_GB2312" w:cs="仿宋_GB2312" w:eastAsia="仿宋_GB2312"/>
              </w:rPr>
              <w:t>具体工程内容详见本项目竞争性磋商文件、工程量清单、答疑文件等文件中所涵盖的全部内容，确保达到所承担建筑物消防维修改造要求。</w:t>
            </w:r>
          </w:p>
          <w:p>
            <w:pPr>
              <w:pStyle w:val="null3"/>
            </w:pPr>
            <w:r>
              <w:rPr>
                <w:rFonts w:ascii="仿宋_GB2312" w:hAnsi="仿宋_GB2312" w:cs="仿宋_GB2312" w:eastAsia="仿宋_GB2312"/>
              </w:rPr>
              <w:t>（三）安全文明施工要求</w:t>
            </w:r>
          </w:p>
          <w:p>
            <w:pPr>
              <w:pStyle w:val="null3"/>
            </w:pPr>
            <w:r>
              <w:rPr>
                <w:rFonts w:ascii="仿宋_GB2312" w:hAnsi="仿宋_GB2312" w:cs="仿宋_GB2312" w:eastAsia="仿宋_GB2312"/>
              </w:rPr>
              <w:t>1.施工全程要符合属地环保部门要求，且需对周边环境做好保。</w:t>
            </w:r>
          </w:p>
          <w:p>
            <w:pPr>
              <w:pStyle w:val="null3"/>
            </w:pPr>
            <w:r>
              <w:rPr>
                <w:rFonts w:ascii="仿宋_GB2312" w:hAnsi="仿宋_GB2312" w:cs="仿宋_GB2312" w:eastAsia="仿宋_GB2312"/>
              </w:rPr>
              <w:t>2.施工单位须建立完善安全管理制度，开工前须进行安全技术交底。</w:t>
            </w:r>
          </w:p>
          <w:p>
            <w:pPr>
              <w:pStyle w:val="null3"/>
            </w:pPr>
            <w:r>
              <w:rPr>
                <w:rFonts w:ascii="仿宋_GB2312" w:hAnsi="仿宋_GB2312" w:cs="仿宋_GB2312" w:eastAsia="仿宋_GB2312"/>
              </w:rPr>
              <w:t>3.施工现场进行封闭管理，场地内材料用具堆放整齐，做到工完料尽场地清。</w:t>
            </w:r>
          </w:p>
          <w:p>
            <w:pPr>
              <w:pStyle w:val="null3"/>
            </w:pPr>
            <w:r>
              <w:rPr>
                <w:rFonts w:ascii="仿宋_GB2312" w:hAnsi="仿宋_GB2312" w:cs="仿宋_GB2312" w:eastAsia="仿宋_GB2312"/>
              </w:rPr>
              <w:t>4.施工应考虑及除尘降霾措施，及时进行垃圾外运。</w:t>
            </w:r>
          </w:p>
          <w:p>
            <w:pPr>
              <w:pStyle w:val="null3"/>
            </w:pPr>
            <w:r>
              <w:rPr>
                <w:rFonts w:ascii="仿宋_GB2312" w:hAnsi="仿宋_GB2312" w:cs="仿宋_GB2312" w:eastAsia="仿宋_GB2312"/>
              </w:rPr>
              <w:t>5.施工要确保学校公共财物安全，否则，按合同条款予以处罚。</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自工程竣工验收合格之日进入无偿保修期，无偿保修内容为由供应商负责的本工程全部质量问题。</w:t>
            </w:r>
          </w:p>
          <w:p>
            <w:pPr>
              <w:pStyle w:val="null3"/>
            </w:pPr>
            <w:r>
              <w:rPr>
                <w:rFonts w:ascii="仿宋_GB2312" w:hAnsi="仿宋_GB2312" w:cs="仿宋_GB2312" w:eastAsia="仿宋_GB2312"/>
              </w:rPr>
              <w:t>供应商收到保修通知并到达工程现场的合理时间：响应时间为正常工作日一小时内答复，二小时内到现场处理。节假日及法定休息日三小时内答复，六小时内 到现场处理。</w:t>
            </w:r>
          </w:p>
          <w:p>
            <w:pPr>
              <w:pStyle w:val="null3"/>
            </w:pPr>
            <w:r>
              <w:rPr>
                <w:rFonts w:ascii="仿宋_GB2312" w:hAnsi="仿宋_GB2312" w:cs="仿宋_GB2312" w:eastAsia="仿宋_GB2312"/>
              </w:rPr>
              <w:t>三、工程量清单及图纸</w:t>
            </w:r>
          </w:p>
          <w:p>
            <w:pPr>
              <w:pStyle w:val="null3"/>
            </w:pPr>
            <w:r>
              <w:rPr>
                <w:rFonts w:ascii="仿宋_GB2312" w:hAnsi="仿宋_GB2312" w:cs="仿宋_GB2312" w:eastAsia="仿宋_GB2312"/>
              </w:rPr>
              <w:t>1.工程量清单（详见附件）。本项目执行《陕西省建设工程工程量清单计价规则》（2009）及《陕西省建设工程工程量清单计价费率》（2009）版计价依据等相关文件，具体详见本项目发布的工程量清单编制说明。</w:t>
            </w:r>
          </w:p>
          <w:p>
            <w:pPr>
              <w:pStyle w:val="null3"/>
            </w:pPr>
            <w:r>
              <w:rPr>
                <w:rFonts w:ascii="仿宋_GB2312" w:hAnsi="仿宋_GB2312" w:cs="仿宋_GB2312" w:eastAsia="仿宋_GB2312"/>
              </w:rPr>
              <w:t>2.图纸：（详见附件，所提供的图示仅为参考，具体以现场实际踏勘和工程量清单为准）。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为确保工程质量并切实达到实际使用效果，结合《陕西省教育厅陕西省住房和城乡建设厅 陕西省消防救援总队关于开展排查化解高校校内建筑消防安全隐患专项行动的通知》及《已交楼未进行消防验收三年攻坚行动工作指南（试行）》和行业规范要求，项目验收要求如下： 1.验收标准：依据《建筑工程施工质量验收统一标准》（GB50300-2013）、《建筑装饰装修工程施工质量验收规范》（GB50210-2018）及各楼宇建设时期的消防规范要求等国家相关行业质量验收规范合格标准等。 2.验收程序： （1）项目完工后，成交供应商积极进行自查，并出具自查报告报送学校。 （2）学校指定的第三方消防检测公司进行第三方检测，检测合格出具检测合格报告，成交供应商积极协助检测方将检测报告上传至消防管理部门指定系统备案；检测不合格，供应商积极进行整改，直至第三方检测合格，整改期间的一切费用由供应商承担，且工期不予顺延，并积极协助检测方将检测报告上传至消防管理部门指定系统备案。 （3）消防管理部门备案完成后，学校依据第三方检测机构出具的合格检测报告和消防管理系统备案成功告知书，按照学校相关程序组织施工方、检测方及学校招投标领导小组成员单位相关人员验收，在验收后及时作出合格或不合格的验收意见，验收不合格的，供应商应返工，直至采第三方检测合格为止，返工的一切费用由供应商承担，且工期不予顺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（一）工期及工程地点 1.工期：自合同签订之日起60日历天内完工。 2.工程地点：咸阳师范学院。 （二）质量保修要求 保修期：自项目验收合格之日起2年。 （三）付款方式 项目竣工验收合格后，采购人向成交供应商支付合同金额的80%；项目结算审计后支付剩余工程款至97%，剩余3%作为质量保证金，保修期满后双方无异议，质量保证金一次性无息支付。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 号）、陕西省财政厅关于印发《陕西省中小企业政府采购信用融资办法》（陕财办采〔2018〕23 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供应商须具备建设行政主管部门核发的消防工程专业承包二级及以上资质，且具备有效的安全生产许可证，并在人员、设备、资金等方面具备相应施工能力且无不良记录。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经理须具备合法有效的机电工程专业二级及以上注册建造师执业资格或具备一级注册消防工程师资质证书，同时具备有效的安全生产考核合格证书（安全B证），且无在建工程，在本单位注册并提供2024年6月1日至今任意连续六个月社保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本采购包非专门面向中小企业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供应商需在项目电子化交易系统中按要求填写《报价函》完成承诺并进行电子签章。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供应商需在项目电子化交易系统中按要求填写《报价函》完成承诺并进行电子签章。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响应文件未含有采购人不能接受的附加条件的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供应商提供自2022年8月1日至今的类似业绩证明材料，每提供1项得1分，最多得5分。备注：①类似业绩证明材料指包含消防工程内容的业绩证明材料，以合同为准；②业绩时间以合同签订时间所体现的时间为准；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拟派项目经理具备高级及以上职称证书的得3分；中级职称证书得2分；其余情况不得分。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拟派项目经理具备本科及以上学历得3分，专科学历得2分；其余情况不得分。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供应商提供拟派项目经理自2022年8月1日至今已完成的类似工程项目业绩证明材料的（在该项目中担任项目经理一职），每提供1份有效业绩的得2.5分，最多得5分。 评审依据：类似业绩证明材料指包含消防工程的施工项目相关业绩合同扫描件或复印件加盖供应商公章，以合同签订时间所体现的时间为准，合同中应体现的项目经理姓名。项目经理业绩可与企业业绩重复。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除项目经理外配备专业技术或管理人员（特种作业人员低压电工2人、施工员1人、安全员1人）,全部满足以上要求的得基础分4分，每增加1名专业技术或管理人员得1分，最高得2分，本项评审满分6分。 评审依据：配备的专业技术或管理人员必须具有相应专业职称证书或注册证书或电子从业证书或消防设施操作证书，同时提供拟派项目部人员2024年6月1日至今任意连续六个月社保证明材料，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确保消防设施中的实施工程及检测质量保障的技术组织措施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针对问题清单的理解完整、透彻。能够统筹整体存在问题，提出优化方案，且可行性论证充分，针对性和可操作性强的，得3.1-5分； 针对问题清单的理解较为完整、透彻。能够统筹整体存在问题，提出优化方案，且可行性论证较充分，针对性和可操作性较强的，得2.1-3分； 针对问题清单的理解不够完整、透彻。不能统筹整体存在问题，提出优化方案，且可行性论证不够充分，针对性和可操作性弱的，得1-2分； 未提供优化方案、可行性论证内容的不得分。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自检方案</w:t>
            </w:r>
          </w:p>
        </w:tc>
        <w:tc>
          <w:tcPr>
            <w:tcW w:type="dxa" w:w="2492"/>
          </w:tcPr>
          <w:p>
            <w:pPr>
              <w:pStyle w:val="null3"/>
            </w:pPr>
            <w:r>
              <w:rPr>
                <w:rFonts w:ascii="仿宋_GB2312" w:hAnsi="仿宋_GB2312" w:cs="仿宋_GB2312" w:eastAsia="仿宋_GB2312"/>
              </w:rPr>
              <w:t>自检方案内容针对性强，检测数据可追溯，结果分析明确得3.1-5分； 方案内容有一定针对性，检测数据可追溯，结果分析比较明确的得2.1-3分； 方案内容针对性稍弱，检测数据可追溯，结果分析模糊的得1-2分；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进度计划完整详细，针对性强的得1.6-2分； 进度计划比较完整、有一定针对性的得1-1.5分； 进度计划内容稍有欠缺，针对性稍弱的得0.5-0.9分；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应急处理措施方案</w:t>
            </w:r>
          </w:p>
        </w:tc>
        <w:tc>
          <w:tcPr>
            <w:tcW w:type="dxa" w:w="2492"/>
          </w:tcPr>
          <w:p>
            <w:pPr>
              <w:pStyle w:val="null3"/>
            </w:pPr>
            <w:r>
              <w:rPr>
                <w:rFonts w:ascii="仿宋_GB2312" w:hAnsi="仿宋_GB2312" w:cs="仿宋_GB2312" w:eastAsia="仿宋_GB2312"/>
              </w:rPr>
              <w:t>应急方案内容针对性强，人员分工明确得3.1-4分； 应急方案内容有一定针对性，分工比较明确的得2.1-3分； 应急方案内容针对性稍弱，人员分工模糊的得1-2分；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供应商根据本项目实际情况，结合自身经验，提出有利于本项目的合理化建议、可行性方案内容进行评审： 合理化建议内容切实可行，针对性强的得3.1-4分； 合理化建议内容有一定可行性及针对性的得2.1-3分； 合理化建议稍有欠缺，可行性、针对性稍弱的得1-2分；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本项目为适用招标投标法的政府采购工程建设项目，采用综合评估法，评标时在采用原报价进行评分的基础上增加其价格得分的 3%作为其价格 分。 备注：监狱企业，残疾人福利性单位等同于小微企业，并享受与小微企业同等的相关政策。</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详见附件：拟派项目经理资料.docx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