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08EFE4">
      <w:pPr>
        <w:pStyle w:val="5"/>
        <w:jc w:val="center"/>
        <w:outlineLvl w:val="1"/>
      </w:pPr>
      <w:r>
        <w:rPr>
          <w:b/>
          <w:sz w:val="36"/>
        </w:rPr>
        <w:t>拟签订采购合同文本</w:t>
      </w:r>
    </w:p>
    <w:p w14:paraId="15DA4524">
      <w:pPr>
        <w:pStyle w:val="5"/>
      </w:pPr>
      <w:r>
        <w:t xml:space="preserve"> </w:t>
      </w:r>
    </w:p>
    <w:p w14:paraId="4B022A1F">
      <w:pPr>
        <w:spacing w:line="360" w:lineRule="auto"/>
        <w:jc w:val="center"/>
        <w:rPr>
          <w:rFonts w:hint="eastAsia" w:ascii="黑体" w:hAnsi="黑体" w:eastAsia="黑体" w:cs="黑体"/>
          <w:b/>
          <w:bCs w:val="0"/>
          <w:sz w:val="44"/>
          <w:szCs w:val="44"/>
        </w:rPr>
      </w:pPr>
    </w:p>
    <w:p w14:paraId="29DE5455">
      <w:pPr>
        <w:ind w:firstLine="420" w:firstLineChars="150"/>
        <w:jc w:val="center"/>
        <w:rPr>
          <w:rFonts w:hint="default" w:eastAsia="宋体"/>
          <w:color w:val="000000"/>
          <w:sz w:val="32"/>
          <w:szCs w:val="32"/>
          <w:lang w:val="en-US" w:eastAsia="zh-CN"/>
        </w:rPr>
      </w:pPr>
      <w:r>
        <w:rPr>
          <w:rFonts w:hint="eastAsia" w:ascii="宋体" w:hAnsi="宋体"/>
          <w:sz w:val="28"/>
          <w:szCs w:val="28"/>
        </w:rPr>
        <w:t xml:space="preserve"> </w:t>
      </w:r>
      <w:r>
        <w:rPr>
          <w:color w:val="000000"/>
          <w:sz w:val="32"/>
          <w:szCs w:val="32"/>
        </w:rPr>
        <w:t>××购置合同</w:t>
      </w:r>
      <w:r>
        <w:rPr>
          <w:rFonts w:hint="eastAsia" w:eastAsia="宋体"/>
          <w:color w:val="000000"/>
          <w:sz w:val="32"/>
          <w:szCs w:val="32"/>
          <w:lang w:val="en-US" w:eastAsia="zh-CN"/>
        </w:rPr>
        <w:t>(参考合同）</w:t>
      </w:r>
    </w:p>
    <w:p w14:paraId="3A7DC4EF">
      <w:pPr>
        <w:spacing w:line="360" w:lineRule="auto"/>
        <w:ind w:firstLine="360" w:firstLineChars="150"/>
        <w:rPr>
          <w:color w:val="000000"/>
          <w:sz w:val="24"/>
          <w:szCs w:val="24"/>
        </w:rPr>
      </w:pPr>
      <w:r>
        <w:rPr>
          <w:color w:val="000000"/>
          <w:sz w:val="24"/>
          <w:szCs w:val="24"/>
        </w:rPr>
        <w:t>甲方：西安石油大学                     合同编号：</w:t>
      </w:r>
    </w:p>
    <w:p w14:paraId="289F3E48">
      <w:pPr>
        <w:spacing w:line="360" w:lineRule="auto"/>
        <w:ind w:firstLine="360" w:firstLineChars="150"/>
        <w:rPr>
          <w:color w:val="000000"/>
          <w:sz w:val="24"/>
          <w:szCs w:val="24"/>
        </w:rPr>
      </w:pPr>
      <w:r>
        <w:rPr>
          <w:color w:val="000000"/>
          <w:sz w:val="24"/>
          <w:szCs w:val="24"/>
        </w:rPr>
        <w:t>乙方：××公司                           签订地点：西安市</w:t>
      </w:r>
    </w:p>
    <w:p w14:paraId="2BB32376">
      <w:pPr>
        <w:spacing w:line="360" w:lineRule="auto"/>
        <w:ind w:firstLine="360" w:firstLineChars="150"/>
        <w:rPr>
          <w:color w:val="000000"/>
          <w:sz w:val="24"/>
          <w:szCs w:val="24"/>
        </w:rPr>
      </w:pPr>
      <w:r>
        <w:rPr>
          <w:color w:val="000000"/>
          <w:sz w:val="24"/>
          <w:szCs w:val="24"/>
        </w:rPr>
        <w:t>兹有甲方向乙方购买下列产品，根据《中华人民共和国</w:t>
      </w:r>
      <w:r>
        <w:rPr>
          <w:rFonts w:hint="eastAsia"/>
          <w:color w:val="000000"/>
          <w:sz w:val="24"/>
          <w:szCs w:val="24"/>
          <w:lang w:val="en-US" w:eastAsia="zh-CN"/>
        </w:rPr>
        <w:t>民法典</w:t>
      </w:r>
      <w:r>
        <w:rPr>
          <w:color w:val="000000"/>
          <w:sz w:val="24"/>
          <w:szCs w:val="24"/>
        </w:rPr>
        <w:t>》等有关法律法规，经双方协商一致，达成如下协议：</w:t>
      </w:r>
    </w:p>
    <w:p w14:paraId="07992BC9">
      <w:pPr>
        <w:spacing w:line="360" w:lineRule="auto"/>
        <w:ind w:firstLine="360" w:firstLineChars="150"/>
        <w:rPr>
          <w:color w:val="000000"/>
          <w:sz w:val="24"/>
          <w:szCs w:val="24"/>
        </w:rPr>
      </w:pPr>
      <w:r>
        <w:rPr>
          <w:color w:val="000000"/>
          <w:sz w:val="24"/>
          <w:szCs w:val="24"/>
        </w:rPr>
        <w:t>一、产品名称、版本、厂家、单位、数量、单价、金额：</w:t>
      </w:r>
    </w:p>
    <w:tbl>
      <w:tblPr>
        <w:tblStyle w:val="3"/>
        <w:tblW w:w="89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9"/>
        <w:gridCol w:w="2175"/>
        <w:gridCol w:w="2057"/>
        <w:gridCol w:w="644"/>
        <w:gridCol w:w="1078"/>
        <w:gridCol w:w="764"/>
        <w:gridCol w:w="1034"/>
        <w:gridCol w:w="596"/>
      </w:tblGrid>
      <w:tr w14:paraId="6C534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589" w:type="dxa"/>
            <w:tcBorders>
              <w:top w:val="single" w:color="auto" w:sz="4" w:space="0"/>
              <w:left w:val="single" w:color="auto" w:sz="4" w:space="0"/>
              <w:bottom w:val="single" w:color="auto" w:sz="4" w:space="0"/>
              <w:right w:val="single" w:color="auto" w:sz="4" w:space="0"/>
            </w:tcBorders>
            <w:noWrap w:val="0"/>
            <w:vAlign w:val="center"/>
          </w:tcPr>
          <w:p w14:paraId="4F3C2A72">
            <w:pPr>
              <w:tabs>
                <w:tab w:val="left" w:pos="480"/>
              </w:tabs>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序号</w:t>
            </w:r>
          </w:p>
        </w:tc>
        <w:tc>
          <w:tcPr>
            <w:tcW w:w="2175" w:type="dxa"/>
            <w:tcBorders>
              <w:top w:val="single" w:color="auto" w:sz="4" w:space="0"/>
              <w:left w:val="single" w:color="auto" w:sz="4" w:space="0"/>
              <w:bottom w:val="single" w:color="auto" w:sz="4" w:space="0"/>
              <w:right w:val="single" w:color="auto" w:sz="4" w:space="0"/>
            </w:tcBorders>
            <w:noWrap w:val="0"/>
            <w:vAlign w:val="center"/>
          </w:tcPr>
          <w:p w14:paraId="25E757E1">
            <w:pPr>
              <w:tabs>
                <w:tab w:val="left" w:pos="480"/>
              </w:tabs>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货物名称</w:t>
            </w:r>
          </w:p>
        </w:tc>
        <w:tc>
          <w:tcPr>
            <w:tcW w:w="2057" w:type="dxa"/>
            <w:tcBorders>
              <w:top w:val="single" w:color="auto" w:sz="4" w:space="0"/>
              <w:left w:val="single" w:color="auto" w:sz="4" w:space="0"/>
              <w:bottom w:val="single" w:color="auto" w:sz="4" w:space="0"/>
              <w:right w:val="single" w:color="auto" w:sz="4" w:space="0"/>
            </w:tcBorders>
            <w:noWrap w:val="0"/>
            <w:vAlign w:val="center"/>
          </w:tcPr>
          <w:p w14:paraId="27E11ADE">
            <w:pPr>
              <w:tabs>
                <w:tab w:val="left" w:pos="480"/>
              </w:tabs>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规格参数</w:t>
            </w:r>
          </w:p>
        </w:tc>
        <w:tc>
          <w:tcPr>
            <w:tcW w:w="644" w:type="dxa"/>
            <w:tcBorders>
              <w:top w:val="single" w:color="auto" w:sz="4" w:space="0"/>
              <w:left w:val="single" w:color="auto" w:sz="4" w:space="0"/>
              <w:bottom w:val="single" w:color="auto" w:sz="4" w:space="0"/>
              <w:right w:val="single" w:color="auto" w:sz="4" w:space="0"/>
            </w:tcBorders>
            <w:noWrap w:val="0"/>
            <w:vAlign w:val="center"/>
          </w:tcPr>
          <w:p w14:paraId="6D343D74">
            <w:pPr>
              <w:tabs>
                <w:tab w:val="left" w:pos="480"/>
              </w:tabs>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数量</w:t>
            </w:r>
          </w:p>
        </w:tc>
        <w:tc>
          <w:tcPr>
            <w:tcW w:w="1078" w:type="dxa"/>
            <w:tcBorders>
              <w:top w:val="single" w:color="auto" w:sz="4" w:space="0"/>
              <w:left w:val="single" w:color="auto" w:sz="4" w:space="0"/>
              <w:bottom w:val="single" w:color="auto" w:sz="4" w:space="0"/>
              <w:right w:val="single" w:color="auto" w:sz="4" w:space="0"/>
            </w:tcBorders>
            <w:noWrap w:val="0"/>
            <w:vAlign w:val="center"/>
          </w:tcPr>
          <w:p w14:paraId="4A3BA4A2">
            <w:pPr>
              <w:tabs>
                <w:tab w:val="left" w:pos="480"/>
              </w:tabs>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产地</w:t>
            </w:r>
          </w:p>
        </w:tc>
        <w:tc>
          <w:tcPr>
            <w:tcW w:w="764" w:type="dxa"/>
            <w:tcBorders>
              <w:top w:val="single" w:color="auto" w:sz="4" w:space="0"/>
              <w:left w:val="single" w:color="auto" w:sz="4" w:space="0"/>
              <w:bottom w:val="single" w:color="auto" w:sz="4" w:space="0"/>
              <w:right w:val="single" w:color="auto" w:sz="4" w:space="0"/>
            </w:tcBorders>
            <w:noWrap w:val="0"/>
            <w:vAlign w:val="center"/>
          </w:tcPr>
          <w:p w14:paraId="38248F8A">
            <w:pPr>
              <w:tabs>
                <w:tab w:val="left" w:pos="480"/>
              </w:tabs>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品牌</w:t>
            </w:r>
          </w:p>
        </w:tc>
        <w:tc>
          <w:tcPr>
            <w:tcW w:w="1034" w:type="dxa"/>
            <w:tcBorders>
              <w:top w:val="single" w:color="auto" w:sz="4" w:space="0"/>
              <w:left w:val="single" w:color="auto" w:sz="4" w:space="0"/>
              <w:bottom w:val="single" w:color="auto" w:sz="4" w:space="0"/>
              <w:right w:val="single" w:color="auto" w:sz="4" w:space="0"/>
            </w:tcBorders>
            <w:noWrap w:val="0"/>
            <w:vAlign w:val="center"/>
          </w:tcPr>
          <w:p w14:paraId="3042D173">
            <w:pPr>
              <w:tabs>
                <w:tab w:val="left" w:pos="480"/>
              </w:tabs>
              <w:jc w:val="cente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单价</w:t>
            </w:r>
          </w:p>
        </w:tc>
        <w:tc>
          <w:tcPr>
            <w:tcW w:w="596" w:type="dxa"/>
            <w:tcBorders>
              <w:top w:val="single" w:color="auto" w:sz="4" w:space="0"/>
              <w:left w:val="single" w:color="auto" w:sz="4" w:space="0"/>
              <w:bottom w:val="single" w:color="auto" w:sz="4" w:space="0"/>
              <w:right w:val="single" w:color="auto" w:sz="4" w:space="0"/>
            </w:tcBorders>
            <w:noWrap w:val="0"/>
            <w:vAlign w:val="center"/>
          </w:tcPr>
          <w:p w14:paraId="67004544">
            <w:pPr>
              <w:tabs>
                <w:tab w:val="left" w:pos="480"/>
              </w:tabs>
              <w:jc w:val="cente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备注</w:t>
            </w:r>
          </w:p>
        </w:tc>
      </w:tr>
      <w:tr w14:paraId="0A7D7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589" w:type="dxa"/>
            <w:tcBorders>
              <w:left w:val="single" w:color="auto" w:sz="4" w:space="0"/>
              <w:bottom w:val="single" w:color="auto" w:sz="4" w:space="0"/>
              <w:right w:val="single" w:color="auto" w:sz="4" w:space="0"/>
            </w:tcBorders>
            <w:noWrap w:val="0"/>
            <w:vAlign w:val="center"/>
          </w:tcPr>
          <w:p w14:paraId="1A4C83B9">
            <w:pPr>
              <w:keepNext w:val="0"/>
              <w:keepLines w:val="0"/>
              <w:pageBreakBefore w:val="0"/>
              <w:tabs>
                <w:tab w:val="left" w:pos="480"/>
              </w:tabs>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2175" w:type="dxa"/>
            <w:tcBorders>
              <w:left w:val="single" w:color="auto" w:sz="4" w:space="0"/>
              <w:bottom w:val="single" w:color="auto" w:sz="4" w:space="0"/>
              <w:right w:val="single" w:color="auto" w:sz="4" w:space="0"/>
            </w:tcBorders>
            <w:noWrap w:val="0"/>
            <w:vAlign w:val="center"/>
          </w:tcPr>
          <w:p w14:paraId="7D3F3BDD">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kern w:val="2"/>
                <w:sz w:val="24"/>
                <w:szCs w:val="24"/>
                <w:lang w:val="en-US" w:eastAsia="zh-CN" w:bidi="ar-SA"/>
              </w:rPr>
            </w:pPr>
          </w:p>
        </w:tc>
        <w:tc>
          <w:tcPr>
            <w:tcW w:w="2057" w:type="dxa"/>
            <w:tcBorders>
              <w:top w:val="single" w:color="auto" w:sz="4" w:space="0"/>
              <w:left w:val="single" w:color="auto" w:sz="4" w:space="0"/>
              <w:bottom w:val="single" w:color="auto" w:sz="4" w:space="0"/>
              <w:right w:val="single" w:color="auto" w:sz="4" w:space="0"/>
            </w:tcBorders>
            <w:noWrap w:val="0"/>
            <w:vAlign w:val="center"/>
          </w:tcPr>
          <w:p w14:paraId="53EC9E8A">
            <w:pPr>
              <w:keepNext w:val="0"/>
              <w:keepLines w:val="0"/>
              <w:pageBreakBefore w:val="0"/>
              <w:kinsoku/>
              <w:wordWrap/>
              <w:overflowPunct/>
              <w:topLinePunct w:val="0"/>
              <w:autoSpaceDE/>
              <w:autoSpaceDN/>
              <w:bidi w:val="0"/>
              <w:adjustRightInd/>
              <w:snapToGrid/>
              <w:spacing w:line="400" w:lineRule="exact"/>
              <w:jc w:val="both"/>
              <w:textAlignment w:val="auto"/>
              <w:rPr>
                <w:rFonts w:hint="eastAsia" w:ascii="宋体" w:hAnsi="宋体" w:eastAsia="宋体" w:cs="宋体"/>
                <w:kern w:val="2"/>
                <w:sz w:val="24"/>
                <w:szCs w:val="24"/>
                <w:lang w:val="en-US" w:eastAsia="zh-CN" w:bidi="ar-SA"/>
              </w:rPr>
            </w:pPr>
          </w:p>
        </w:tc>
        <w:tc>
          <w:tcPr>
            <w:tcW w:w="644" w:type="dxa"/>
            <w:tcBorders>
              <w:top w:val="single" w:color="auto" w:sz="4" w:space="0"/>
              <w:left w:val="single" w:color="auto" w:sz="4" w:space="0"/>
              <w:bottom w:val="single" w:color="auto" w:sz="4" w:space="0"/>
              <w:right w:val="single" w:color="auto" w:sz="4" w:space="0"/>
            </w:tcBorders>
            <w:noWrap w:val="0"/>
            <w:vAlign w:val="center"/>
          </w:tcPr>
          <w:p w14:paraId="3FA220E8">
            <w:pPr>
              <w:pStyle w:val="5"/>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Hans"/>
              </w:rPr>
            </w:pPr>
          </w:p>
        </w:tc>
        <w:tc>
          <w:tcPr>
            <w:tcW w:w="1078" w:type="dxa"/>
            <w:tcBorders>
              <w:top w:val="single" w:color="auto" w:sz="4" w:space="0"/>
              <w:left w:val="single" w:color="auto" w:sz="4" w:space="0"/>
              <w:bottom w:val="single" w:color="auto" w:sz="4" w:space="0"/>
              <w:right w:val="single" w:color="auto" w:sz="4" w:space="0"/>
            </w:tcBorders>
            <w:noWrap w:val="0"/>
            <w:vAlign w:val="center"/>
          </w:tcPr>
          <w:p w14:paraId="53D52E6A">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kern w:val="2"/>
                <w:sz w:val="24"/>
                <w:szCs w:val="24"/>
                <w:lang w:val="en-US" w:eastAsia="zh-CN" w:bidi="ar-SA"/>
              </w:rPr>
            </w:pPr>
          </w:p>
        </w:tc>
        <w:tc>
          <w:tcPr>
            <w:tcW w:w="764" w:type="dxa"/>
            <w:tcBorders>
              <w:top w:val="single" w:color="auto" w:sz="4" w:space="0"/>
              <w:left w:val="single" w:color="auto" w:sz="4" w:space="0"/>
              <w:bottom w:val="single" w:color="auto" w:sz="4" w:space="0"/>
              <w:right w:val="single" w:color="auto" w:sz="4" w:space="0"/>
            </w:tcBorders>
            <w:noWrap w:val="0"/>
            <w:vAlign w:val="center"/>
          </w:tcPr>
          <w:p w14:paraId="76ABDE5C">
            <w:pPr>
              <w:keepNext w:val="0"/>
              <w:keepLines w:val="0"/>
              <w:pageBreakBefore w:val="0"/>
              <w:tabs>
                <w:tab w:val="left" w:pos="480"/>
              </w:tabs>
              <w:kinsoku/>
              <w:wordWrap/>
              <w:overflowPunct/>
              <w:topLinePunct w:val="0"/>
              <w:autoSpaceDE/>
              <w:autoSpaceDN/>
              <w:bidi w:val="0"/>
              <w:adjustRightInd/>
              <w:snapToGrid/>
              <w:spacing w:line="400" w:lineRule="exact"/>
              <w:jc w:val="both"/>
              <w:textAlignment w:val="auto"/>
              <w:rPr>
                <w:rFonts w:hint="eastAsia" w:ascii="宋体" w:hAnsi="宋体" w:eastAsia="宋体" w:cs="宋体"/>
                <w:sz w:val="24"/>
                <w:szCs w:val="24"/>
                <w:lang w:val="en-US" w:eastAsia="zh-CN"/>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14:paraId="6245017C">
            <w:pPr>
              <w:pStyle w:val="5"/>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p>
        </w:tc>
        <w:tc>
          <w:tcPr>
            <w:tcW w:w="596" w:type="dxa"/>
            <w:tcBorders>
              <w:top w:val="single" w:color="auto" w:sz="4" w:space="0"/>
              <w:left w:val="single" w:color="auto" w:sz="4" w:space="0"/>
              <w:bottom w:val="single" w:color="auto" w:sz="4" w:space="0"/>
              <w:right w:val="single" w:color="auto" w:sz="4" w:space="0"/>
            </w:tcBorders>
            <w:noWrap w:val="0"/>
            <w:vAlign w:val="center"/>
          </w:tcPr>
          <w:p w14:paraId="5F52FBA6">
            <w:pPr>
              <w:keepNext w:val="0"/>
              <w:keepLines w:val="0"/>
              <w:pageBreakBefore w:val="0"/>
              <w:tabs>
                <w:tab w:val="left" w:pos="480"/>
              </w:tabs>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r>
      <w:tr w14:paraId="5165E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589" w:type="dxa"/>
            <w:tcBorders>
              <w:top w:val="single" w:color="auto" w:sz="4" w:space="0"/>
              <w:left w:val="single" w:color="auto" w:sz="4" w:space="0"/>
              <w:bottom w:val="single" w:color="auto" w:sz="4" w:space="0"/>
              <w:right w:val="single" w:color="auto" w:sz="4" w:space="0"/>
            </w:tcBorders>
            <w:noWrap w:val="0"/>
            <w:vAlign w:val="center"/>
          </w:tcPr>
          <w:p w14:paraId="248FF5C9">
            <w:pPr>
              <w:tabs>
                <w:tab w:val="left" w:pos="480"/>
              </w:tabs>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说明</w:t>
            </w:r>
          </w:p>
        </w:tc>
        <w:tc>
          <w:tcPr>
            <w:tcW w:w="7752" w:type="dxa"/>
            <w:gridSpan w:val="6"/>
            <w:tcBorders>
              <w:top w:val="single" w:color="auto" w:sz="4" w:space="0"/>
              <w:left w:val="single" w:color="auto" w:sz="4" w:space="0"/>
              <w:bottom w:val="single" w:color="auto" w:sz="4" w:space="0"/>
              <w:right w:val="single" w:color="auto" w:sz="4" w:space="0"/>
            </w:tcBorders>
            <w:noWrap w:val="0"/>
            <w:vAlign w:val="center"/>
          </w:tcPr>
          <w:p w14:paraId="63592AA8">
            <w:pPr>
              <w:tabs>
                <w:tab w:val="left" w:pos="480"/>
                <w:tab w:val="left" w:pos="3431"/>
              </w:tabs>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附技术参数说明</w:t>
            </w:r>
            <w:r>
              <w:rPr>
                <w:rFonts w:hint="eastAsia" w:ascii="宋体" w:hAnsi="宋体" w:eastAsia="宋体" w:cs="宋体"/>
                <w:sz w:val="24"/>
                <w:szCs w:val="24"/>
                <w:highlight w:val="none"/>
                <w:lang w:val="en-US" w:eastAsia="zh-CN"/>
              </w:rPr>
              <w:t xml:space="preserve"> </w:t>
            </w:r>
          </w:p>
        </w:tc>
        <w:tc>
          <w:tcPr>
            <w:tcW w:w="596" w:type="dxa"/>
            <w:tcBorders>
              <w:top w:val="single" w:color="auto" w:sz="4" w:space="0"/>
              <w:left w:val="single" w:color="auto" w:sz="4" w:space="0"/>
              <w:bottom w:val="single" w:color="auto" w:sz="4" w:space="0"/>
              <w:right w:val="single" w:color="auto" w:sz="4" w:space="0"/>
            </w:tcBorders>
            <w:noWrap w:val="0"/>
            <w:vAlign w:val="center"/>
          </w:tcPr>
          <w:p w14:paraId="2AC3196B">
            <w:pPr>
              <w:tabs>
                <w:tab w:val="left" w:pos="480"/>
                <w:tab w:val="left" w:pos="3431"/>
              </w:tabs>
              <w:jc w:val="left"/>
              <w:rPr>
                <w:rFonts w:hint="eastAsia" w:ascii="宋体" w:hAnsi="宋体" w:eastAsia="宋体" w:cs="宋体"/>
                <w:sz w:val="24"/>
                <w:szCs w:val="24"/>
              </w:rPr>
            </w:pPr>
          </w:p>
        </w:tc>
      </w:tr>
    </w:tbl>
    <w:p w14:paraId="4F32C6AE">
      <w:pPr>
        <w:spacing w:line="360" w:lineRule="auto"/>
        <w:ind w:firstLine="360" w:firstLineChars="150"/>
        <w:rPr>
          <w:rFonts w:hint="eastAsia"/>
          <w:color w:val="000000"/>
          <w:sz w:val="24"/>
          <w:szCs w:val="24"/>
        </w:rPr>
      </w:pPr>
      <w:r>
        <w:rPr>
          <w:rFonts w:hint="eastAsia"/>
          <w:color w:val="000000"/>
          <w:sz w:val="24"/>
          <w:szCs w:val="24"/>
        </w:rPr>
        <w:t>二、合同价款</w:t>
      </w:r>
    </w:p>
    <w:p w14:paraId="6DD008FC">
      <w:pPr>
        <w:spacing w:line="360" w:lineRule="auto"/>
        <w:ind w:firstLine="360" w:firstLineChars="150"/>
        <w:rPr>
          <w:rFonts w:hint="eastAsia"/>
          <w:color w:val="000000"/>
          <w:sz w:val="24"/>
          <w:szCs w:val="24"/>
        </w:rPr>
      </w:pPr>
      <w:r>
        <w:rPr>
          <w:rFonts w:hint="eastAsia"/>
          <w:color w:val="000000"/>
          <w:sz w:val="24"/>
          <w:szCs w:val="24"/>
        </w:rPr>
        <w:t>（一）合同总价款为人民币（大写）元整（￥</w:t>
      </w:r>
      <w:r>
        <w:rPr>
          <w:rFonts w:hint="eastAsia"/>
          <w:color w:val="000000"/>
          <w:sz w:val="24"/>
          <w:szCs w:val="24"/>
          <w:lang w:val="en-US" w:eastAsia="zh-CN"/>
        </w:rPr>
        <w:t>.00</w:t>
      </w:r>
      <w:r>
        <w:rPr>
          <w:rFonts w:hint="eastAsia"/>
          <w:color w:val="000000"/>
          <w:sz w:val="24"/>
          <w:szCs w:val="24"/>
        </w:rPr>
        <w:t>元）。</w:t>
      </w:r>
    </w:p>
    <w:p w14:paraId="2D5EDCFA">
      <w:pPr>
        <w:spacing w:line="360" w:lineRule="auto"/>
        <w:ind w:firstLine="360" w:firstLineChars="150"/>
        <w:rPr>
          <w:rFonts w:hint="eastAsia"/>
          <w:color w:val="000000"/>
          <w:sz w:val="24"/>
          <w:szCs w:val="24"/>
        </w:rPr>
      </w:pPr>
      <w:r>
        <w:rPr>
          <w:rFonts w:hint="eastAsia"/>
          <w:color w:val="000000"/>
          <w:sz w:val="24"/>
          <w:szCs w:val="24"/>
        </w:rPr>
        <w:t>（二）合同总价包括：货物费、运输费（含保险费）、安装调试费、检测验收费及其它费用。</w:t>
      </w:r>
    </w:p>
    <w:p w14:paraId="51ECE3A8">
      <w:pPr>
        <w:spacing w:line="360" w:lineRule="auto"/>
        <w:ind w:firstLine="360" w:firstLineChars="150"/>
        <w:rPr>
          <w:rFonts w:hint="eastAsia"/>
          <w:color w:val="000000"/>
          <w:sz w:val="24"/>
          <w:szCs w:val="24"/>
        </w:rPr>
      </w:pPr>
      <w:r>
        <w:rPr>
          <w:rFonts w:hint="eastAsia"/>
          <w:color w:val="000000"/>
          <w:sz w:val="24"/>
          <w:szCs w:val="24"/>
        </w:rPr>
        <w:t>（三）合同总价一次性包死，不受市场价格变化因素的影响。</w:t>
      </w:r>
    </w:p>
    <w:p w14:paraId="0CFC1DAC">
      <w:pPr>
        <w:spacing w:line="360" w:lineRule="auto"/>
        <w:ind w:firstLine="360" w:firstLineChars="150"/>
        <w:rPr>
          <w:rFonts w:hint="eastAsia"/>
          <w:color w:val="000000"/>
          <w:sz w:val="24"/>
          <w:szCs w:val="24"/>
        </w:rPr>
      </w:pPr>
      <w:r>
        <w:rPr>
          <w:rFonts w:hint="eastAsia"/>
          <w:color w:val="000000"/>
          <w:sz w:val="24"/>
          <w:szCs w:val="24"/>
        </w:rPr>
        <w:t>三、款项结算</w:t>
      </w:r>
    </w:p>
    <w:p w14:paraId="0489571F">
      <w:pPr>
        <w:spacing w:line="360" w:lineRule="auto"/>
        <w:ind w:firstLine="360" w:firstLineChars="150"/>
        <w:rPr>
          <w:rFonts w:hint="eastAsia"/>
          <w:color w:val="000000"/>
          <w:sz w:val="24"/>
          <w:szCs w:val="24"/>
          <w:highlight w:val="yellow"/>
          <w:lang w:eastAsia="zh-CN"/>
        </w:rPr>
      </w:pPr>
      <w:r>
        <w:rPr>
          <w:rFonts w:hint="eastAsia"/>
          <w:color w:val="000000"/>
          <w:sz w:val="24"/>
          <w:szCs w:val="24"/>
          <w:highlight w:val="none"/>
        </w:rPr>
        <w:t>（一）验收合格后一次性付清</w:t>
      </w:r>
      <w:r>
        <w:rPr>
          <w:rFonts w:hint="eastAsia"/>
          <w:color w:val="000000"/>
          <w:sz w:val="24"/>
          <w:szCs w:val="24"/>
          <w:highlight w:val="none"/>
          <w:lang w:eastAsia="zh-CN"/>
        </w:rPr>
        <w:t>。</w:t>
      </w:r>
    </w:p>
    <w:p w14:paraId="6BCEA204">
      <w:pPr>
        <w:spacing w:line="360" w:lineRule="auto"/>
        <w:ind w:firstLine="360" w:firstLineChars="150"/>
        <w:rPr>
          <w:rFonts w:hint="eastAsia"/>
          <w:color w:val="000000"/>
          <w:sz w:val="24"/>
          <w:szCs w:val="24"/>
        </w:rPr>
      </w:pPr>
      <w:r>
        <w:rPr>
          <w:rFonts w:hint="eastAsia"/>
          <w:color w:val="000000"/>
          <w:sz w:val="24"/>
          <w:szCs w:val="24"/>
        </w:rPr>
        <w:t>（</w:t>
      </w:r>
      <w:r>
        <w:rPr>
          <w:rFonts w:hint="eastAsia"/>
          <w:color w:val="000000"/>
          <w:sz w:val="24"/>
          <w:szCs w:val="24"/>
          <w:lang w:val="en-US" w:eastAsia="zh-CN"/>
        </w:rPr>
        <w:t>二</w:t>
      </w:r>
      <w:r>
        <w:rPr>
          <w:rFonts w:hint="eastAsia"/>
          <w:color w:val="000000"/>
          <w:sz w:val="24"/>
          <w:szCs w:val="24"/>
        </w:rPr>
        <w:t>）</w:t>
      </w:r>
      <w:r>
        <w:rPr>
          <w:rFonts w:hint="eastAsia"/>
          <w:color w:val="000000"/>
          <w:sz w:val="24"/>
          <w:szCs w:val="24"/>
          <w:lang w:val="en-US" w:eastAsia="zh-CN"/>
        </w:rPr>
        <w:t>付</w:t>
      </w:r>
      <w:r>
        <w:rPr>
          <w:rFonts w:hint="eastAsia"/>
          <w:color w:val="000000"/>
          <w:sz w:val="24"/>
          <w:szCs w:val="24"/>
          <w:lang w:eastAsia="zh-CN"/>
        </w:rPr>
        <w:t>款</w:t>
      </w:r>
      <w:r>
        <w:rPr>
          <w:rFonts w:hint="eastAsia"/>
          <w:color w:val="000000"/>
          <w:sz w:val="24"/>
          <w:szCs w:val="24"/>
        </w:rPr>
        <w:t>方式：</w:t>
      </w:r>
    </w:p>
    <w:p w14:paraId="704F6F0F">
      <w:pPr>
        <w:spacing w:line="360" w:lineRule="auto"/>
        <w:ind w:firstLine="360" w:firstLineChars="150"/>
        <w:rPr>
          <w:rFonts w:hint="eastAsia"/>
          <w:color w:val="000000"/>
          <w:sz w:val="24"/>
          <w:szCs w:val="24"/>
          <w:lang w:val="zh-CN"/>
        </w:rPr>
      </w:pPr>
      <w:r>
        <w:rPr>
          <w:rFonts w:hint="eastAsia"/>
          <w:color w:val="000000"/>
          <w:sz w:val="24"/>
          <w:szCs w:val="24"/>
          <w:lang w:val="zh-CN"/>
        </w:rPr>
        <w:t>通过银行转账方式将款项转入乙方银行账户。乙方银行账户信息如下：</w:t>
      </w:r>
    </w:p>
    <w:p w14:paraId="6EA63CF8">
      <w:pPr>
        <w:spacing w:line="360" w:lineRule="auto"/>
        <w:ind w:firstLine="360" w:firstLineChars="150"/>
        <w:rPr>
          <w:rFonts w:hint="eastAsia"/>
          <w:color w:val="000000"/>
          <w:sz w:val="24"/>
          <w:szCs w:val="24"/>
          <w:lang w:val="zh-CN"/>
        </w:rPr>
      </w:pPr>
      <w:r>
        <w:rPr>
          <w:rFonts w:hint="eastAsia"/>
          <w:color w:val="000000"/>
          <w:sz w:val="24"/>
          <w:szCs w:val="24"/>
          <w:lang w:val="zh-CN"/>
        </w:rPr>
        <w:t xml:space="preserve">账户全称： </w:t>
      </w:r>
    </w:p>
    <w:p w14:paraId="26EDC129">
      <w:pPr>
        <w:spacing w:line="360" w:lineRule="auto"/>
        <w:ind w:firstLine="360" w:firstLineChars="150"/>
        <w:rPr>
          <w:rFonts w:hint="default"/>
          <w:color w:val="000000"/>
          <w:sz w:val="24"/>
          <w:szCs w:val="24"/>
          <w:lang w:val="en-US" w:eastAsia="zh-CN"/>
        </w:rPr>
      </w:pPr>
      <w:r>
        <w:rPr>
          <w:rFonts w:hint="eastAsia"/>
          <w:color w:val="000000"/>
          <w:sz w:val="24"/>
          <w:szCs w:val="24"/>
          <w:lang w:val="zh-CN"/>
        </w:rPr>
        <w:t>账    号：</w:t>
      </w:r>
      <w:r>
        <w:rPr>
          <w:rFonts w:hint="eastAsia"/>
          <w:color w:val="000000"/>
          <w:sz w:val="24"/>
          <w:szCs w:val="24"/>
          <w:lang w:val="en-US" w:eastAsia="zh-CN"/>
        </w:rPr>
        <w:t xml:space="preserve"> </w:t>
      </w:r>
    </w:p>
    <w:p w14:paraId="1C18075F">
      <w:pPr>
        <w:spacing w:line="360" w:lineRule="auto"/>
        <w:ind w:firstLine="360" w:firstLineChars="150"/>
        <w:rPr>
          <w:rFonts w:hint="eastAsia"/>
          <w:color w:val="000000"/>
          <w:sz w:val="24"/>
          <w:szCs w:val="24"/>
          <w:lang w:val="zh-CN"/>
        </w:rPr>
      </w:pPr>
      <w:r>
        <w:rPr>
          <w:rFonts w:hint="eastAsia"/>
          <w:color w:val="000000"/>
          <w:sz w:val="24"/>
          <w:szCs w:val="24"/>
          <w:lang w:val="zh-CN"/>
        </w:rPr>
        <w:t xml:space="preserve">开 户 行： </w:t>
      </w:r>
    </w:p>
    <w:p w14:paraId="51EF8926">
      <w:pPr>
        <w:spacing w:line="360" w:lineRule="auto"/>
        <w:ind w:firstLine="360" w:firstLineChars="150"/>
        <w:rPr>
          <w:rFonts w:hint="eastAsia"/>
          <w:color w:val="000000"/>
          <w:sz w:val="24"/>
          <w:szCs w:val="24"/>
          <w:lang w:val="zh-CN"/>
        </w:rPr>
      </w:pPr>
      <w:r>
        <w:rPr>
          <w:rFonts w:hint="eastAsia"/>
          <w:color w:val="000000"/>
          <w:sz w:val="24"/>
          <w:szCs w:val="24"/>
          <w:lang w:val="zh-CN"/>
        </w:rPr>
        <w:t>甲方仅认可上述指定账户并向该账户付款。否则甲方有权拒绝向指定账户之外的任何账户付款，并且由此导致的付款延迟责任由乙方承担。</w:t>
      </w:r>
    </w:p>
    <w:p w14:paraId="69D1D61E">
      <w:pPr>
        <w:spacing w:line="360" w:lineRule="auto"/>
        <w:ind w:firstLine="360" w:firstLineChars="150"/>
        <w:rPr>
          <w:rFonts w:hint="eastAsia"/>
          <w:color w:val="000000"/>
          <w:sz w:val="24"/>
          <w:szCs w:val="24"/>
        </w:rPr>
      </w:pPr>
      <w:r>
        <w:rPr>
          <w:rFonts w:hint="eastAsia"/>
          <w:color w:val="000000"/>
          <w:sz w:val="24"/>
          <w:szCs w:val="24"/>
          <w:lang w:eastAsia="zh-CN"/>
        </w:rPr>
        <w:t>乙</w:t>
      </w:r>
      <w:r>
        <w:rPr>
          <w:rFonts w:hint="eastAsia"/>
          <w:color w:val="000000"/>
          <w:sz w:val="24"/>
          <w:szCs w:val="24"/>
        </w:rPr>
        <w:t>方要如实开具发票，不得变更开票内容，乙方开具发票出现税务争议时，乙方需承担税款、滞纳金、罚款等赔偿责任以及其他相关责任。</w:t>
      </w:r>
    </w:p>
    <w:p w14:paraId="63AD0179">
      <w:pPr>
        <w:spacing w:line="360" w:lineRule="auto"/>
        <w:ind w:firstLine="360" w:firstLineChars="150"/>
        <w:rPr>
          <w:color w:val="000000"/>
          <w:sz w:val="24"/>
          <w:szCs w:val="24"/>
        </w:rPr>
      </w:pPr>
      <w:r>
        <w:rPr>
          <w:rFonts w:hint="eastAsia"/>
          <w:color w:val="000000"/>
          <w:sz w:val="24"/>
          <w:szCs w:val="24"/>
        </w:rPr>
        <w:t>（</w:t>
      </w:r>
      <w:r>
        <w:rPr>
          <w:rFonts w:hint="eastAsia"/>
          <w:color w:val="000000"/>
          <w:sz w:val="24"/>
          <w:szCs w:val="24"/>
          <w:lang w:val="en-US" w:eastAsia="zh-CN"/>
        </w:rPr>
        <w:t>三</w:t>
      </w:r>
      <w:r>
        <w:rPr>
          <w:rFonts w:hint="eastAsia"/>
          <w:color w:val="000000"/>
          <w:sz w:val="24"/>
          <w:szCs w:val="24"/>
        </w:rPr>
        <w:t>）结算方式：验收合格后填写</w:t>
      </w:r>
      <w:r>
        <w:rPr>
          <w:rFonts w:hint="eastAsia"/>
          <w:color w:val="000000"/>
          <w:sz w:val="24"/>
          <w:szCs w:val="24"/>
          <w:lang w:eastAsia="zh-CN"/>
        </w:rPr>
        <w:t>西安市第五医院设备</w:t>
      </w:r>
      <w:r>
        <w:rPr>
          <w:rFonts w:hint="eastAsia"/>
          <w:color w:val="000000"/>
          <w:sz w:val="24"/>
          <w:szCs w:val="24"/>
        </w:rPr>
        <w:t>验收单（一式</w:t>
      </w:r>
      <w:r>
        <w:rPr>
          <w:rFonts w:hint="eastAsia"/>
          <w:color w:val="000000"/>
          <w:sz w:val="24"/>
          <w:szCs w:val="24"/>
          <w:lang w:eastAsia="zh-CN"/>
        </w:rPr>
        <w:t>两</w:t>
      </w:r>
      <w:r>
        <w:rPr>
          <w:rFonts w:hint="eastAsia"/>
          <w:color w:val="000000"/>
          <w:sz w:val="24"/>
          <w:szCs w:val="24"/>
        </w:rPr>
        <w:t>份）, 发票（按合同总</w:t>
      </w:r>
      <w:r>
        <w:rPr>
          <w:rFonts w:hint="eastAsia"/>
          <w:color w:val="000000"/>
          <w:sz w:val="24"/>
          <w:szCs w:val="24"/>
          <w:lang w:eastAsia="zh-CN"/>
        </w:rPr>
        <w:t>价值</w:t>
      </w:r>
      <w:r>
        <w:rPr>
          <w:rFonts w:hint="eastAsia"/>
          <w:color w:val="000000"/>
          <w:sz w:val="24"/>
          <w:szCs w:val="24"/>
        </w:rPr>
        <w:t>开甲方），持中标通知书、</w:t>
      </w:r>
      <w:r>
        <w:rPr>
          <w:rFonts w:hint="eastAsia"/>
          <w:color w:val="000000"/>
          <w:sz w:val="24"/>
          <w:szCs w:val="24"/>
          <w:lang w:val="en-US" w:eastAsia="zh-CN"/>
        </w:rPr>
        <w:t>买卖</w:t>
      </w:r>
      <w:r>
        <w:rPr>
          <w:rFonts w:hint="eastAsia"/>
          <w:color w:val="000000"/>
          <w:sz w:val="24"/>
          <w:szCs w:val="24"/>
        </w:rPr>
        <w:t>合同、发票及其复印件、项目验收单，到甲方办理资金结算。</w:t>
      </w:r>
    </w:p>
    <w:p w14:paraId="359E2ECC">
      <w:pPr>
        <w:spacing w:line="360" w:lineRule="auto"/>
        <w:ind w:firstLine="360" w:firstLineChars="150"/>
        <w:rPr>
          <w:rFonts w:hint="eastAsia"/>
          <w:color w:val="000000"/>
          <w:sz w:val="24"/>
          <w:szCs w:val="24"/>
        </w:rPr>
      </w:pPr>
      <w:r>
        <w:rPr>
          <w:rFonts w:hint="eastAsia"/>
          <w:color w:val="000000"/>
          <w:sz w:val="24"/>
          <w:szCs w:val="24"/>
        </w:rPr>
        <w:t>四、双方的权利和义务</w:t>
      </w:r>
    </w:p>
    <w:p w14:paraId="389CA71B">
      <w:pPr>
        <w:spacing w:line="360" w:lineRule="auto"/>
        <w:ind w:firstLine="360" w:firstLineChars="150"/>
        <w:rPr>
          <w:rFonts w:hint="eastAsia"/>
          <w:color w:val="000000"/>
          <w:sz w:val="24"/>
          <w:szCs w:val="24"/>
        </w:rPr>
      </w:pPr>
      <w:r>
        <w:rPr>
          <w:rFonts w:hint="eastAsia"/>
          <w:color w:val="000000"/>
          <w:sz w:val="24"/>
          <w:szCs w:val="24"/>
        </w:rPr>
        <w:t>（一）甲方的权利和义务</w:t>
      </w:r>
    </w:p>
    <w:p w14:paraId="6260282C">
      <w:pPr>
        <w:spacing w:line="360" w:lineRule="auto"/>
        <w:ind w:firstLine="360" w:firstLineChars="150"/>
        <w:rPr>
          <w:rFonts w:hint="eastAsia"/>
          <w:color w:val="000000"/>
          <w:sz w:val="24"/>
          <w:szCs w:val="24"/>
        </w:rPr>
      </w:pPr>
      <w:r>
        <w:rPr>
          <w:rFonts w:hint="eastAsia"/>
          <w:color w:val="000000"/>
          <w:sz w:val="24"/>
          <w:szCs w:val="24"/>
        </w:rPr>
        <w:t>甲方权利：组织使用单位严格按照招标文件及投标文件要求和标准验收货物。</w:t>
      </w:r>
    </w:p>
    <w:p w14:paraId="78129AEA">
      <w:pPr>
        <w:spacing w:line="360" w:lineRule="auto"/>
        <w:ind w:firstLine="360" w:firstLineChars="150"/>
        <w:rPr>
          <w:rFonts w:hint="eastAsia"/>
          <w:color w:val="000000"/>
          <w:sz w:val="24"/>
          <w:szCs w:val="24"/>
        </w:rPr>
      </w:pPr>
      <w:r>
        <w:rPr>
          <w:rFonts w:hint="eastAsia"/>
          <w:color w:val="000000"/>
          <w:sz w:val="24"/>
          <w:szCs w:val="24"/>
        </w:rPr>
        <w:t>甲方义务：积极配合乙方验收、安装、调试工作。</w:t>
      </w:r>
    </w:p>
    <w:p w14:paraId="1031C095">
      <w:pPr>
        <w:spacing w:line="360" w:lineRule="auto"/>
        <w:ind w:firstLine="360" w:firstLineChars="150"/>
        <w:rPr>
          <w:rFonts w:hint="eastAsia"/>
          <w:color w:val="000000"/>
          <w:sz w:val="24"/>
          <w:szCs w:val="24"/>
        </w:rPr>
      </w:pPr>
      <w:r>
        <w:rPr>
          <w:rFonts w:hint="eastAsia"/>
          <w:color w:val="000000"/>
          <w:sz w:val="24"/>
          <w:szCs w:val="24"/>
        </w:rPr>
        <w:t>（二）乙方的权利和义务</w:t>
      </w:r>
    </w:p>
    <w:p w14:paraId="4B492C8C">
      <w:pPr>
        <w:spacing w:line="360" w:lineRule="auto"/>
        <w:ind w:firstLine="360" w:firstLineChars="150"/>
        <w:rPr>
          <w:rFonts w:hint="eastAsia"/>
          <w:color w:val="000000"/>
          <w:sz w:val="24"/>
          <w:szCs w:val="24"/>
        </w:rPr>
      </w:pPr>
      <w:r>
        <w:rPr>
          <w:rFonts w:hint="eastAsia"/>
          <w:color w:val="000000"/>
          <w:sz w:val="24"/>
          <w:szCs w:val="24"/>
        </w:rPr>
        <w:t>乙方权利：按照合同约定要求甲方及时付款。</w:t>
      </w:r>
    </w:p>
    <w:p w14:paraId="614A9406">
      <w:pPr>
        <w:spacing w:line="360" w:lineRule="auto"/>
        <w:ind w:firstLine="360" w:firstLineChars="150"/>
        <w:rPr>
          <w:rFonts w:hint="eastAsia"/>
          <w:color w:val="000000"/>
          <w:sz w:val="24"/>
          <w:szCs w:val="24"/>
        </w:rPr>
      </w:pPr>
      <w:r>
        <w:rPr>
          <w:rFonts w:hint="eastAsia"/>
          <w:color w:val="000000"/>
          <w:sz w:val="24"/>
          <w:szCs w:val="24"/>
        </w:rPr>
        <w:t>乙方义务：按照合同约定时间，按甲方指定地点提供货物，配合验收工作，并负责安装、调试、提供现场技术培训，保证使用人员正常操作设备的各种功能。</w:t>
      </w:r>
    </w:p>
    <w:p w14:paraId="0FF3D7FE">
      <w:pPr>
        <w:spacing w:line="360" w:lineRule="auto"/>
        <w:ind w:firstLine="360" w:firstLineChars="150"/>
        <w:rPr>
          <w:rFonts w:hint="eastAsia"/>
          <w:color w:val="000000"/>
          <w:sz w:val="24"/>
          <w:szCs w:val="24"/>
        </w:rPr>
      </w:pPr>
      <w:r>
        <w:rPr>
          <w:rFonts w:hint="eastAsia"/>
          <w:color w:val="000000"/>
          <w:sz w:val="24"/>
          <w:szCs w:val="24"/>
        </w:rPr>
        <w:t>五、交货条件：</w:t>
      </w:r>
    </w:p>
    <w:p w14:paraId="56695974">
      <w:pPr>
        <w:spacing w:line="360" w:lineRule="auto"/>
        <w:ind w:firstLine="360" w:firstLineChars="150"/>
        <w:rPr>
          <w:rFonts w:hint="eastAsia"/>
          <w:color w:val="000000"/>
          <w:sz w:val="24"/>
          <w:szCs w:val="24"/>
        </w:rPr>
      </w:pPr>
      <w:r>
        <w:rPr>
          <w:rFonts w:hint="eastAsia"/>
          <w:color w:val="000000"/>
          <w:sz w:val="24"/>
          <w:szCs w:val="24"/>
        </w:rPr>
        <w:t>（一）交货地点：甲方指定地点。</w:t>
      </w:r>
    </w:p>
    <w:p w14:paraId="518D6802">
      <w:pPr>
        <w:spacing w:line="360" w:lineRule="auto"/>
        <w:ind w:firstLine="360" w:firstLineChars="150"/>
        <w:rPr>
          <w:rFonts w:hint="eastAsia"/>
          <w:color w:val="000000"/>
          <w:sz w:val="24"/>
          <w:szCs w:val="24"/>
        </w:rPr>
      </w:pPr>
      <w:r>
        <w:rPr>
          <w:rFonts w:hint="eastAsia"/>
          <w:color w:val="000000"/>
          <w:sz w:val="24"/>
          <w:szCs w:val="24"/>
        </w:rPr>
        <w:t>（二）交货期：自合同签订之日起</w:t>
      </w:r>
      <w:r>
        <w:rPr>
          <w:rFonts w:hint="eastAsia" w:eastAsia="宋体"/>
          <w:color w:val="000000"/>
          <w:sz w:val="24"/>
          <w:szCs w:val="24"/>
          <w:lang w:val="en-US" w:eastAsia="zh-CN"/>
        </w:rPr>
        <w:t>1</w:t>
      </w:r>
      <w:r>
        <w:rPr>
          <w:rFonts w:hint="eastAsia"/>
          <w:color w:val="000000"/>
          <w:sz w:val="24"/>
          <w:szCs w:val="24"/>
        </w:rPr>
        <w:t>5个工作日</w:t>
      </w:r>
      <w:r>
        <w:rPr>
          <w:rFonts w:hint="eastAsia" w:eastAsia="宋体"/>
          <w:color w:val="000000"/>
          <w:sz w:val="24"/>
          <w:szCs w:val="24"/>
          <w:lang w:val="en-US" w:eastAsia="zh-CN"/>
        </w:rPr>
        <w:t>完成交货</w:t>
      </w:r>
      <w:r>
        <w:rPr>
          <w:rFonts w:hint="eastAsia"/>
          <w:color w:val="000000"/>
          <w:sz w:val="24"/>
          <w:szCs w:val="24"/>
        </w:rPr>
        <w:t>。</w:t>
      </w:r>
    </w:p>
    <w:p w14:paraId="207998E7">
      <w:pPr>
        <w:spacing w:line="360" w:lineRule="auto"/>
        <w:ind w:firstLine="360" w:firstLineChars="150"/>
        <w:rPr>
          <w:rFonts w:hint="eastAsia"/>
          <w:color w:val="000000"/>
          <w:sz w:val="24"/>
          <w:szCs w:val="24"/>
        </w:rPr>
      </w:pPr>
      <w:r>
        <w:rPr>
          <w:color w:val="000000"/>
          <w:sz w:val="24"/>
          <w:szCs w:val="24"/>
        </w:rPr>
        <w:t>甲方联系人：××，乙方联系人：××。</w:t>
      </w:r>
    </w:p>
    <w:p w14:paraId="57C24C01">
      <w:pPr>
        <w:spacing w:line="360" w:lineRule="auto"/>
        <w:ind w:firstLine="360" w:firstLineChars="150"/>
        <w:rPr>
          <w:rFonts w:hint="eastAsia"/>
          <w:color w:val="000000"/>
          <w:sz w:val="24"/>
          <w:szCs w:val="24"/>
        </w:rPr>
      </w:pPr>
      <w:r>
        <w:rPr>
          <w:rFonts w:hint="eastAsia"/>
          <w:color w:val="000000"/>
          <w:sz w:val="24"/>
          <w:szCs w:val="24"/>
        </w:rPr>
        <w:t>六、运输</w:t>
      </w:r>
    </w:p>
    <w:p w14:paraId="5B3A78E2">
      <w:pPr>
        <w:spacing w:line="360" w:lineRule="auto"/>
        <w:ind w:firstLine="360" w:firstLineChars="150"/>
        <w:rPr>
          <w:rFonts w:hint="eastAsia"/>
          <w:color w:val="000000"/>
          <w:sz w:val="24"/>
          <w:szCs w:val="24"/>
        </w:rPr>
      </w:pPr>
      <w:r>
        <w:rPr>
          <w:rFonts w:hint="eastAsia"/>
          <w:color w:val="000000"/>
          <w:sz w:val="24"/>
          <w:szCs w:val="24"/>
        </w:rPr>
        <w:t>（一）运输由乙方负责，运杂费已包含在合同总价内，包括从货物供应地点所含的运输费、装卸费、仓储费、保险费等。</w:t>
      </w:r>
    </w:p>
    <w:p w14:paraId="32332A7A">
      <w:pPr>
        <w:spacing w:line="360" w:lineRule="auto"/>
        <w:ind w:firstLine="360" w:firstLineChars="150"/>
        <w:rPr>
          <w:rFonts w:hint="eastAsia"/>
          <w:color w:val="000000"/>
          <w:sz w:val="24"/>
          <w:szCs w:val="24"/>
        </w:rPr>
      </w:pPr>
      <w:r>
        <w:rPr>
          <w:rFonts w:hint="eastAsia"/>
          <w:color w:val="000000"/>
          <w:sz w:val="24"/>
          <w:szCs w:val="24"/>
        </w:rPr>
        <w:t>（二）运输方式由乙方自行选择，但必须保证按期交货。</w:t>
      </w:r>
    </w:p>
    <w:p w14:paraId="6970BE1F">
      <w:pPr>
        <w:spacing w:line="360" w:lineRule="auto"/>
        <w:ind w:firstLine="360" w:firstLineChars="150"/>
        <w:rPr>
          <w:color w:val="000000"/>
          <w:sz w:val="24"/>
          <w:szCs w:val="24"/>
        </w:rPr>
      </w:pPr>
      <w:r>
        <w:rPr>
          <w:rFonts w:hint="eastAsia" w:eastAsia="宋体"/>
          <w:color w:val="000000"/>
          <w:sz w:val="24"/>
          <w:szCs w:val="24"/>
          <w:lang w:val="en-US" w:eastAsia="zh-CN"/>
        </w:rPr>
        <w:t>七</w:t>
      </w:r>
      <w:r>
        <w:rPr>
          <w:color w:val="000000"/>
          <w:sz w:val="24"/>
          <w:szCs w:val="24"/>
        </w:rPr>
        <w:t>、产品质量</w:t>
      </w:r>
    </w:p>
    <w:p w14:paraId="2CC1F66F">
      <w:pPr>
        <w:spacing w:line="360" w:lineRule="auto"/>
        <w:ind w:firstLine="360" w:firstLineChars="150"/>
        <w:rPr>
          <w:rFonts w:hint="eastAsia"/>
          <w:color w:val="000000"/>
          <w:sz w:val="24"/>
          <w:szCs w:val="24"/>
        </w:rPr>
      </w:pPr>
      <w:r>
        <w:rPr>
          <w:rFonts w:hint="eastAsia"/>
          <w:color w:val="000000"/>
          <w:sz w:val="24"/>
          <w:szCs w:val="24"/>
        </w:rPr>
        <w:t>乙方所供货物必须执行下列条款：</w:t>
      </w:r>
    </w:p>
    <w:p w14:paraId="6294D581">
      <w:pPr>
        <w:spacing w:line="360" w:lineRule="auto"/>
        <w:ind w:firstLine="360" w:firstLineChars="150"/>
        <w:rPr>
          <w:rFonts w:hint="eastAsia"/>
          <w:color w:val="000000"/>
          <w:sz w:val="24"/>
          <w:szCs w:val="24"/>
        </w:rPr>
      </w:pPr>
      <w:r>
        <w:rPr>
          <w:rFonts w:hint="eastAsia"/>
          <w:color w:val="000000"/>
          <w:sz w:val="24"/>
          <w:szCs w:val="24"/>
        </w:rPr>
        <w:t>（一）保证技术指标先进、质量性能可靠、进货渠道正常，配置合理，全面满足谈判要求。</w:t>
      </w:r>
    </w:p>
    <w:p w14:paraId="64C61A18">
      <w:pPr>
        <w:spacing w:line="360" w:lineRule="auto"/>
        <w:ind w:firstLine="360" w:firstLineChars="150"/>
        <w:rPr>
          <w:rFonts w:hint="eastAsia"/>
          <w:color w:val="000000"/>
          <w:sz w:val="24"/>
          <w:szCs w:val="24"/>
        </w:rPr>
      </w:pPr>
      <w:r>
        <w:rPr>
          <w:rFonts w:hint="eastAsia"/>
          <w:color w:val="000000"/>
          <w:sz w:val="24"/>
          <w:szCs w:val="24"/>
        </w:rPr>
        <w:t>（二）符合国家有关规范要求，确保达到最佳运行状态。</w:t>
      </w:r>
    </w:p>
    <w:p w14:paraId="3B2F5A5D">
      <w:pPr>
        <w:spacing w:line="360" w:lineRule="auto"/>
        <w:ind w:firstLine="360" w:firstLineChars="150"/>
        <w:rPr>
          <w:rFonts w:hint="eastAsia"/>
          <w:color w:val="000000"/>
          <w:sz w:val="24"/>
          <w:szCs w:val="24"/>
        </w:rPr>
      </w:pPr>
      <w:r>
        <w:rPr>
          <w:rFonts w:hint="eastAsia"/>
          <w:color w:val="000000"/>
          <w:sz w:val="24"/>
          <w:szCs w:val="24"/>
        </w:rPr>
        <w:t>（三）具有良好的外观，适合安装场所的使用。</w:t>
      </w:r>
    </w:p>
    <w:p w14:paraId="0754A9C6">
      <w:pPr>
        <w:spacing w:line="360" w:lineRule="auto"/>
        <w:ind w:firstLine="360" w:firstLineChars="150"/>
        <w:rPr>
          <w:color w:val="000000"/>
          <w:sz w:val="24"/>
          <w:szCs w:val="24"/>
        </w:rPr>
      </w:pPr>
      <w:r>
        <w:rPr>
          <w:rFonts w:hint="eastAsia"/>
          <w:color w:val="000000"/>
          <w:sz w:val="24"/>
          <w:szCs w:val="24"/>
        </w:rPr>
        <w:t>（四）自安装、调试正常运行并验收合格之日起</w:t>
      </w:r>
      <w:r>
        <w:rPr>
          <w:color w:val="000000"/>
          <w:sz w:val="24"/>
          <w:szCs w:val="24"/>
        </w:rPr>
        <w:t>。</w:t>
      </w:r>
    </w:p>
    <w:p w14:paraId="758E75CC">
      <w:pPr>
        <w:spacing w:line="360" w:lineRule="auto"/>
        <w:ind w:firstLine="360" w:firstLineChars="150"/>
        <w:rPr>
          <w:color w:val="000000"/>
          <w:sz w:val="24"/>
          <w:szCs w:val="24"/>
        </w:rPr>
      </w:pPr>
      <w:r>
        <w:rPr>
          <w:rFonts w:hint="eastAsia" w:eastAsia="宋体"/>
          <w:color w:val="000000"/>
          <w:sz w:val="24"/>
          <w:szCs w:val="24"/>
          <w:lang w:val="en-US" w:eastAsia="zh-CN"/>
        </w:rPr>
        <w:t>八</w:t>
      </w:r>
      <w:r>
        <w:rPr>
          <w:color w:val="000000"/>
          <w:sz w:val="24"/>
          <w:szCs w:val="24"/>
        </w:rPr>
        <w:t>、设备的安装、调试及验收</w:t>
      </w:r>
    </w:p>
    <w:p w14:paraId="448DA347">
      <w:pPr>
        <w:spacing w:line="360" w:lineRule="auto"/>
        <w:ind w:firstLine="360" w:firstLineChars="150"/>
        <w:rPr>
          <w:color w:val="000000"/>
          <w:sz w:val="24"/>
          <w:szCs w:val="24"/>
        </w:rPr>
      </w:pPr>
      <w:r>
        <w:rPr>
          <w:color w:val="000000"/>
          <w:sz w:val="24"/>
          <w:szCs w:val="24"/>
        </w:rPr>
        <w:t>1、甲方和乙方应在现场安装设备前，共同确认所有设备是否符合招标要求。乙方负责安装调试，甲方提供必要的工作条件，安装调试所有费用乙方负责。</w:t>
      </w:r>
    </w:p>
    <w:p w14:paraId="3388CE0D">
      <w:pPr>
        <w:spacing w:line="360" w:lineRule="auto"/>
        <w:ind w:firstLine="360" w:firstLineChars="150"/>
        <w:rPr>
          <w:color w:val="000000"/>
          <w:sz w:val="24"/>
          <w:szCs w:val="24"/>
        </w:rPr>
      </w:pPr>
      <w:r>
        <w:rPr>
          <w:color w:val="000000"/>
          <w:sz w:val="24"/>
          <w:szCs w:val="24"/>
        </w:rPr>
        <w:t>2、甲方对乙方所交产品依照本合同和相关技术合同进行现场验收。验收不合格的，限期整改；整改仍达不到要求的，按本合同第八条第3款处理。</w:t>
      </w:r>
    </w:p>
    <w:p w14:paraId="33D32A85">
      <w:pPr>
        <w:spacing w:line="360" w:lineRule="auto"/>
        <w:ind w:firstLine="360" w:firstLineChars="150"/>
        <w:rPr>
          <w:color w:val="000000"/>
          <w:sz w:val="24"/>
          <w:szCs w:val="24"/>
        </w:rPr>
      </w:pPr>
      <w:r>
        <w:rPr>
          <w:rFonts w:hint="eastAsia" w:eastAsia="宋体"/>
          <w:color w:val="000000"/>
          <w:sz w:val="24"/>
          <w:szCs w:val="24"/>
          <w:lang w:val="en-US" w:eastAsia="zh-CN"/>
        </w:rPr>
        <w:t>九</w:t>
      </w:r>
      <w:r>
        <w:rPr>
          <w:color w:val="000000"/>
          <w:sz w:val="24"/>
          <w:szCs w:val="24"/>
        </w:rPr>
        <w:t>、质保期及售后服务</w:t>
      </w:r>
    </w:p>
    <w:p w14:paraId="32174BC6">
      <w:pPr>
        <w:spacing w:line="360" w:lineRule="auto"/>
        <w:ind w:firstLine="360" w:firstLineChars="150"/>
        <w:rPr>
          <w:rFonts w:hint="eastAsia" w:eastAsia="宋体"/>
          <w:color w:val="000000"/>
          <w:sz w:val="24"/>
          <w:szCs w:val="24"/>
          <w:lang w:eastAsia="zh-CN"/>
        </w:rPr>
      </w:pPr>
      <w:r>
        <w:rPr>
          <w:rFonts w:hint="eastAsia" w:eastAsia="宋体"/>
          <w:color w:val="000000"/>
          <w:sz w:val="24"/>
          <w:szCs w:val="24"/>
          <w:lang w:val="en-US" w:eastAsia="zh-CN"/>
        </w:rPr>
        <w:t>1</w:t>
      </w:r>
      <w:r>
        <w:rPr>
          <w:color w:val="000000"/>
          <w:sz w:val="24"/>
          <w:szCs w:val="24"/>
        </w:rPr>
        <w:t>、乙方提供的</w:t>
      </w:r>
      <w:r>
        <w:rPr>
          <w:rFonts w:hint="eastAsia" w:eastAsia="宋体"/>
          <w:color w:val="000000"/>
          <w:sz w:val="24"/>
          <w:szCs w:val="24"/>
          <w:lang w:val="en-US" w:eastAsia="zh-CN"/>
        </w:rPr>
        <w:t>整机</w:t>
      </w:r>
      <w:r>
        <w:rPr>
          <w:color w:val="000000"/>
          <w:sz w:val="24"/>
          <w:szCs w:val="24"/>
        </w:rPr>
        <w:t>质保期限</w:t>
      </w:r>
      <w:r>
        <w:rPr>
          <w:rFonts w:hint="eastAsia"/>
          <w:color w:val="000000"/>
          <w:sz w:val="24"/>
          <w:szCs w:val="24"/>
          <w:lang w:val="en-US" w:eastAsia="zh-CN"/>
        </w:rPr>
        <w:t>3</w:t>
      </w:r>
      <w:r>
        <w:rPr>
          <w:color w:val="000000"/>
          <w:sz w:val="24"/>
          <w:szCs w:val="24"/>
        </w:rPr>
        <w:t>年（从安装完成经甲方验收合格之日算起）,终身维护。质保期内乙方接到甲方反映电话后，2小时内响应，</w:t>
      </w:r>
      <w:r>
        <w:rPr>
          <w:rFonts w:hint="eastAsia" w:eastAsia="宋体"/>
          <w:color w:val="000000"/>
          <w:sz w:val="24"/>
          <w:szCs w:val="24"/>
          <w:lang w:val="en-US" w:eastAsia="zh-CN"/>
        </w:rPr>
        <w:t>8</w:t>
      </w:r>
      <w:r>
        <w:rPr>
          <w:color w:val="000000"/>
          <w:sz w:val="24"/>
          <w:szCs w:val="24"/>
        </w:rPr>
        <w:t>小时内派技术人员到现场，</w:t>
      </w:r>
      <w:r>
        <w:rPr>
          <w:rFonts w:hint="eastAsia"/>
          <w:color w:val="000000"/>
          <w:sz w:val="24"/>
          <w:szCs w:val="24"/>
        </w:rPr>
        <w:t>保证保修期内平均开机率：≥95％，即每年停机不超过18天（一年按365天计算)，停机超过一天，保修期顺延3天</w:t>
      </w:r>
      <w:r>
        <w:rPr>
          <w:color w:val="000000"/>
          <w:sz w:val="24"/>
          <w:szCs w:val="24"/>
        </w:rPr>
        <w:t>。</w:t>
      </w:r>
      <w:r>
        <w:rPr>
          <w:rFonts w:hint="eastAsia"/>
          <w:color w:val="000000"/>
          <w:sz w:val="24"/>
          <w:szCs w:val="24"/>
        </w:rPr>
        <w:t>每年保养≥2次</w:t>
      </w:r>
      <w:r>
        <w:rPr>
          <w:rFonts w:hint="eastAsia" w:eastAsia="宋体"/>
          <w:color w:val="000000"/>
          <w:sz w:val="24"/>
          <w:szCs w:val="24"/>
          <w:lang w:eastAsia="zh-CN"/>
        </w:rPr>
        <w:t>；</w:t>
      </w:r>
      <w:r>
        <w:rPr>
          <w:rFonts w:hint="eastAsia"/>
          <w:color w:val="000000"/>
          <w:sz w:val="24"/>
          <w:szCs w:val="24"/>
        </w:rPr>
        <w:t>维修配件须为原厂全新部件（提供承诺函）；每年向校方提交维修保养总结并装订成册</w:t>
      </w:r>
      <w:r>
        <w:rPr>
          <w:rFonts w:hint="eastAsia" w:eastAsia="宋体"/>
          <w:color w:val="000000"/>
          <w:sz w:val="24"/>
          <w:szCs w:val="24"/>
          <w:lang w:eastAsia="zh-CN"/>
        </w:rPr>
        <w:t>。</w:t>
      </w:r>
    </w:p>
    <w:p w14:paraId="6809CD25">
      <w:pPr>
        <w:spacing w:line="360" w:lineRule="auto"/>
        <w:ind w:firstLine="360" w:firstLineChars="150"/>
        <w:rPr>
          <w:color w:val="000000"/>
          <w:sz w:val="24"/>
          <w:szCs w:val="24"/>
        </w:rPr>
      </w:pPr>
      <w:r>
        <w:rPr>
          <w:color w:val="000000"/>
          <w:sz w:val="24"/>
          <w:szCs w:val="24"/>
        </w:rPr>
        <w:t>3、安装调试后，乙方免费为甲方提供现场操作培训，通过培训使用户人员了解设备工作原理，熟悉设备的安装及使用、维护方法，掌握各种设备的初始化及故障诊断、定位和排除技能。</w:t>
      </w:r>
    </w:p>
    <w:p w14:paraId="6993783D">
      <w:pPr>
        <w:spacing w:line="360" w:lineRule="auto"/>
        <w:ind w:firstLine="360" w:firstLineChars="150"/>
        <w:rPr>
          <w:color w:val="000000"/>
          <w:sz w:val="24"/>
          <w:szCs w:val="24"/>
        </w:rPr>
      </w:pPr>
      <w:r>
        <w:rPr>
          <w:color w:val="000000"/>
          <w:sz w:val="24"/>
          <w:szCs w:val="24"/>
        </w:rPr>
        <w:t>4、设备正式运行后，定期回访用户，当系统出现重大缺陷问题而影响到甲方实际应用时需及时响应并派人到现场解决。</w:t>
      </w:r>
    </w:p>
    <w:p w14:paraId="0545C428">
      <w:pPr>
        <w:spacing w:line="360" w:lineRule="auto"/>
        <w:ind w:firstLine="360" w:firstLineChars="150"/>
        <w:rPr>
          <w:color w:val="000000"/>
          <w:sz w:val="24"/>
          <w:szCs w:val="24"/>
        </w:rPr>
      </w:pPr>
      <w:r>
        <w:rPr>
          <w:color w:val="000000"/>
          <w:sz w:val="24"/>
          <w:szCs w:val="24"/>
        </w:rPr>
        <w:t>乙方售后服务及维修专线：××××××。</w:t>
      </w:r>
    </w:p>
    <w:p w14:paraId="6C10847D">
      <w:pPr>
        <w:spacing w:line="360" w:lineRule="auto"/>
        <w:ind w:firstLine="360" w:firstLineChars="150"/>
        <w:rPr>
          <w:rFonts w:hint="eastAsia" w:eastAsia="宋体"/>
          <w:color w:val="000000"/>
          <w:sz w:val="24"/>
          <w:szCs w:val="24"/>
          <w:lang w:val="en-US" w:eastAsia="zh-CN"/>
        </w:rPr>
      </w:pPr>
      <w:r>
        <w:rPr>
          <w:rFonts w:hint="eastAsia" w:eastAsia="宋体"/>
          <w:color w:val="000000"/>
          <w:sz w:val="24"/>
          <w:szCs w:val="24"/>
          <w:lang w:val="en-US" w:eastAsia="zh-CN"/>
        </w:rPr>
        <w:t>十、验收</w:t>
      </w:r>
    </w:p>
    <w:p w14:paraId="2CC5C2B9">
      <w:pPr>
        <w:spacing w:line="360" w:lineRule="auto"/>
        <w:ind w:firstLine="360" w:firstLineChars="150"/>
        <w:rPr>
          <w:rFonts w:hint="eastAsia" w:eastAsia="宋体"/>
          <w:color w:val="000000"/>
          <w:sz w:val="24"/>
          <w:szCs w:val="24"/>
          <w:lang w:val="en-US" w:eastAsia="zh-CN"/>
        </w:rPr>
      </w:pPr>
      <w:r>
        <w:rPr>
          <w:rFonts w:hint="eastAsia" w:eastAsia="宋体"/>
          <w:color w:val="000000"/>
          <w:sz w:val="24"/>
          <w:szCs w:val="24"/>
          <w:lang w:val="en-US" w:eastAsia="zh-CN"/>
        </w:rPr>
        <w:t>（一）货物到达甲方指定地点后，甲方根据合同要求，进行外观验收，确认产地、规格、型号和数量。验收不作为产品质量合格的最终依据。</w:t>
      </w:r>
    </w:p>
    <w:p w14:paraId="1D8534DA">
      <w:pPr>
        <w:spacing w:line="360" w:lineRule="auto"/>
        <w:ind w:firstLine="360" w:firstLineChars="150"/>
        <w:rPr>
          <w:rFonts w:hint="eastAsia" w:eastAsia="宋体"/>
          <w:color w:val="000000"/>
          <w:sz w:val="24"/>
          <w:szCs w:val="24"/>
          <w:lang w:val="en-US" w:eastAsia="zh-CN"/>
        </w:rPr>
      </w:pPr>
      <w:r>
        <w:rPr>
          <w:rFonts w:hint="eastAsia" w:eastAsia="宋体"/>
          <w:color w:val="000000"/>
          <w:sz w:val="24"/>
          <w:szCs w:val="24"/>
          <w:lang w:val="en-US" w:eastAsia="zh-CN"/>
        </w:rPr>
        <w:t>（二）货物安装、调试并正常运行后，由乙方进行自检，合格后，准备验收文件，并书面通知甲方。</w:t>
      </w:r>
    </w:p>
    <w:p w14:paraId="561929FC">
      <w:pPr>
        <w:spacing w:line="360" w:lineRule="auto"/>
        <w:ind w:firstLine="360" w:firstLineChars="150"/>
        <w:rPr>
          <w:rFonts w:hint="eastAsia" w:eastAsia="宋体"/>
          <w:color w:val="000000"/>
          <w:sz w:val="24"/>
          <w:szCs w:val="24"/>
          <w:lang w:val="en-US" w:eastAsia="zh-CN"/>
        </w:rPr>
      </w:pPr>
      <w:r>
        <w:rPr>
          <w:rFonts w:hint="eastAsia" w:eastAsia="宋体"/>
          <w:color w:val="000000"/>
          <w:sz w:val="24"/>
          <w:szCs w:val="24"/>
          <w:lang w:val="en-US" w:eastAsia="zh-CN"/>
        </w:rPr>
        <w:t>（三）甲方确认乙方的自检内容后，组织乙方（必要时请有关专家）进行系统验收，验收合格后，填写政府采购项目验收单（一式叁份）作为对货物的最终认可。</w:t>
      </w:r>
    </w:p>
    <w:p w14:paraId="0D2371E2">
      <w:pPr>
        <w:spacing w:line="360" w:lineRule="auto"/>
        <w:ind w:firstLine="360" w:firstLineChars="150"/>
        <w:rPr>
          <w:rFonts w:hint="eastAsia" w:eastAsia="宋体"/>
          <w:color w:val="000000"/>
          <w:sz w:val="24"/>
          <w:szCs w:val="24"/>
          <w:lang w:val="en-US" w:eastAsia="zh-CN"/>
        </w:rPr>
      </w:pPr>
      <w:r>
        <w:rPr>
          <w:rFonts w:hint="eastAsia" w:eastAsia="宋体"/>
          <w:color w:val="000000"/>
          <w:sz w:val="24"/>
          <w:szCs w:val="24"/>
          <w:lang w:val="en-US" w:eastAsia="zh-CN"/>
        </w:rPr>
        <w:t>（四）乙方在验收中应向甲方提交货物安装，调试过程中的所有资料包括本合同第九条（一）项要求的资料，以便甲方日后管理和维护。</w:t>
      </w:r>
    </w:p>
    <w:p w14:paraId="4D4E0002">
      <w:pPr>
        <w:spacing w:line="360" w:lineRule="auto"/>
        <w:ind w:firstLine="360" w:firstLineChars="150"/>
        <w:rPr>
          <w:rFonts w:hint="eastAsia" w:eastAsia="宋体"/>
          <w:color w:val="000000"/>
          <w:sz w:val="24"/>
          <w:szCs w:val="24"/>
          <w:lang w:val="en-US" w:eastAsia="zh-CN"/>
        </w:rPr>
      </w:pPr>
      <w:r>
        <w:rPr>
          <w:rFonts w:hint="eastAsia" w:eastAsia="宋体"/>
          <w:color w:val="000000"/>
          <w:sz w:val="24"/>
          <w:szCs w:val="24"/>
          <w:lang w:val="en-US" w:eastAsia="zh-CN"/>
        </w:rPr>
        <w:t>（五）验收依据：</w:t>
      </w:r>
    </w:p>
    <w:p w14:paraId="6B132577">
      <w:pPr>
        <w:spacing w:line="360" w:lineRule="auto"/>
        <w:ind w:firstLine="360" w:firstLineChars="150"/>
        <w:rPr>
          <w:rFonts w:hint="eastAsia" w:eastAsia="宋体"/>
          <w:color w:val="000000"/>
          <w:sz w:val="24"/>
          <w:szCs w:val="24"/>
          <w:lang w:val="en-US" w:eastAsia="zh-CN"/>
        </w:rPr>
      </w:pPr>
      <w:r>
        <w:rPr>
          <w:rFonts w:hint="eastAsia" w:eastAsia="宋体"/>
          <w:color w:val="000000"/>
          <w:sz w:val="24"/>
          <w:szCs w:val="24"/>
          <w:lang w:val="en-US" w:eastAsia="zh-CN"/>
        </w:rPr>
        <w:t>1、谈判文件、谈判响应文件、澄清表（函）；</w:t>
      </w:r>
    </w:p>
    <w:p w14:paraId="7A77D67A">
      <w:pPr>
        <w:spacing w:line="360" w:lineRule="auto"/>
        <w:ind w:firstLine="360" w:firstLineChars="150"/>
        <w:rPr>
          <w:rFonts w:hint="eastAsia" w:eastAsia="宋体"/>
          <w:color w:val="000000"/>
          <w:sz w:val="24"/>
          <w:szCs w:val="24"/>
          <w:lang w:val="en-US" w:eastAsia="zh-CN"/>
        </w:rPr>
      </w:pPr>
      <w:r>
        <w:rPr>
          <w:rFonts w:hint="eastAsia" w:eastAsia="宋体"/>
          <w:color w:val="000000"/>
          <w:sz w:val="24"/>
          <w:szCs w:val="24"/>
          <w:lang w:val="en-US" w:eastAsia="zh-CN"/>
        </w:rPr>
        <w:t>2、本合同及附件文本；</w:t>
      </w:r>
    </w:p>
    <w:p w14:paraId="7F2082E3">
      <w:pPr>
        <w:spacing w:line="360" w:lineRule="auto"/>
        <w:ind w:firstLine="360" w:firstLineChars="150"/>
        <w:rPr>
          <w:rFonts w:hint="eastAsia" w:eastAsia="宋体"/>
          <w:color w:val="000000"/>
          <w:sz w:val="24"/>
          <w:szCs w:val="24"/>
          <w:lang w:val="en-US" w:eastAsia="zh-CN"/>
        </w:rPr>
      </w:pPr>
      <w:r>
        <w:rPr>
          <w:rFonts w:hint="eastAsia" w:eastAsia="宋体"/>
          <w:color w:val="000000"/>
          <w:sz w:val="24"/>
          <w:szCs w:val="24"/>
          <w:lang w:val="en-US" w:eastAsia="zh-CN"/>
        </w:rPr>
        <w:t>3、国家相应的标准、规范。</w:t>
      </w:r>
    </w:p>
    <w:p w14:paraId="24334673">
      <w:pPr>
        <w:spacing w:line="360" w:lineRule="auto"/>
        <w:ind w:firstLine="360" w:firstLineChars="150"/>
        <w:rPr>
          <w:color w:val="000000"/>
          <w:sz w:val="24"/>
          <w:szCs w:val="24"/>
        </w:rPr>
      </w:pPr>
      <w:r>
        <w:rPr>
          <w:rFonts w:hint="eastAsia" w:eastAsia="宋体"/>
          <w:color w:val="000000"/>
          <w:sz w:val="24"/>
          <w:szCs w:val="24"/>
          <w:lang w:val="en-US" w:eastAsia="zh-CN"/>
        </w:rPr>
        <w:t>十一</w:t>
      </w:r>
      <w:r>
        <w:rPr>
          <w:color w:val="000000"/>
          <w:sz w:val="24"/>
          <w:szCs w:val="24"/>
        </w:rPr>
        <w:t>、违约责任</w:t>
      </w:r>
    </w:p>
    <w:p w14:paraId="15FD4E16">
      <w:pPr>
        <w:spacing w:line="360" w:lineRule="auto"/>
        <w:ind w:firstLine="360" w:firstLineChars="150"/>
        <w:rPr>
          <w:color w:val="000000"/>
          <w:sz w:val="24"/>
          <w:szCs w:val="24"/>
        </w:rPr>
      </w:pPr>
      <w:r>
        <w:rPr>
          <w:color w:val="000000"/>
          <w:sz w:val="24"/>
          <w:szCs w:val="24"/>
        </w:rPr>
        <w:t>1. 除因不可抗力，乙方逾期交货，每天应按合同总价的千分之一向甲方支付违约金。如乙方逾期三十天仍未交齐货物的，甲方有权终止合同，履约保证金将作为对甲方的补偿，不予退还。</w:t>
      </w:r>
    </w:p>
    <w:p w14:paraId="35C61555">
      <w:pPr>
        <w:spacing w:line="360" w:lineRule="auto"/>
        <w:ind w:firstLine="360" w:firstLineChars="150"/>
        <w:rPr>
          <w:color w:val="000000"/>
          <w:sz w:val="24"/>
          <w:szCs w:val="24"/>
        </w:rPr>
      </w:pPr>
      <w:r>
        <w:rPr>
          <w:color w:val="000000"/>
          <w:sz w:val="24"/>
          <w:szCs w:val="24"/>
        </w:rPr>
        <w:t>2. 除因不可抗力，甲方应在产品验收合格后按规定向乙方付款，最长时间不能超过30天，否则，每超过一天应按合同总价的千分之一向乙方支付滞纳金，最高罚款总额不超过合同总价的百分之五。</w:t>
      </w:r>
    </w:p>
    <w:p w14:paraId="5CF048A3">
      <w:pPr>
        <w:spacing w:line="360" w:lineRule="auto"/>
        <w:ind w:firstLine="360" w:firstLineChars="150"/>
        <w:rPr>
          <w:color w:val="000000"/>
          <w:sz w:val="24"/>
          <w:szCs w:val="24"/>
        </w:rPr>
      </w:pPr>
      <w:r>
        <w:rPr>
          <w:color w:val="000000"/>
          <w:sz w:val="24"/>
          <w:szCs w:val="24"/>
        </w:rPr>
        <w:t>3. 乙方所交的产品规格、质量不符合合同约定、国家标准，达不到约定技术要求的，限期整改，整改后仍不能达到合同的，甲方有权终止合同，履约保证金将作为对甲方的补偿，不予退还。</w:t>
      </w:r>
    </w:p>
    <w:p w14:paraId="09DEDB51">
      <w:pPr>
        <w:spacing w:line="360" w:lineRule="auto"/>
        <w:ind w:firstLine="360" w:firstLineChars="150"/>
        <w:rPr>
          <w:color w:val="000000"/>
          <w:sz w:val="24"/>
          <w:szCs w:val="24"/>
        </w:rPr>
      </w:pPr>
      <w:r>
        <w:rPr>
          <w:rFonts w:hint="eastAsia" w:eastAsia="宋体"/>
          <w:color w:val="000000"/>
          <w:sz w:val="24"/>
          <w:szCs w:val="24"/>
          <w:lang w:val="en-US" w:eastAsia="zh-CN"/>
        </w:rPr>
        <w:t>十二</w:t>
      </w:r>
      <w:r>
        <w:rPr>
          <w:color w:val="000000"/>
          <w:sz w:val="24"/>
          <w:szCs w:val="24"/>
        </w:rPr>
        <w:t>、解决合同纠纷方式：双方友好协商解决，协商未果由西安市仲裁委员会仲裁。</w:t>
      </w:r>
    </w:p>
    <w:p w14:paraId="03F9E172">
      <w:pPr>
        <w:spacing w:line="360" w:lineRule="auto"/>
        <w:ind w:firstLine="360" w:firstLineChars="150"/>
        <w:rPr>
          <w:color w:val="000000"/>
          <w:sz w:val="24"/>
          <w:szCs w:val="24"/>
        </w:rPr>
      </w:pPr>
      <w:r>
        <w:rPr>
          <w:color w:val="000000"/>
          <w:sz w:val="24"/>
          <w:szCs w:val="24"/>
        </w:rPr>
        <w:t>十</w:t>
      </w:r>
      <w:r>
        <w:rPr>
          <w:rFonts w:hint="eastAsia" w:eastAsia="宋体"/>
          <w:color w:val="000000"/>
          <w:sz w:val="24"/>
          <w:szCs w:val="24"/>
          <w:lang w:val="en-US" w:eastAsia="zh-CN"/>
        </w:rPr>
        <w:t>三</w:t>
      </w:r>
      <w:r>
        <w:rPr>
          <w:color w:val="000000"/>
          <w:sz w:val="24"/>
          <w:szCs w:val="24"/>
        </w:rPr>
        <w:t>、其它事项</w:t>
      </w:r>
    </w:p>
    <w:p w14:paraId="5F6ADA22">
      <w:pPr>
        <w:spacing w:line="360" w:lineRule="auto"/>
        <w:ind w:firstLine="360" w:firstLineChars="150"/>
        <w:rPr>
          <w:color w:val="000000"/>
          <w:sz w:val="24"/>
          <w:szCs w:val="24"/>
        </w:rPr>
      </w:pPr>
      <w:r>
        <w:rPr>
          <w:color w:val="000000"/>
          <w:sz w:val="24"/>
          <w:szCs w:val="24"/>
        </w:rPr>
        <w:t>1、本合同一式七份，甲方五份，乙方一份，代理机构一份，经甲、乙双方签字盖章后生效，具有同等法律效力。</w:t>
      </w:r>
    </w:p>
    <w:p w14:paraId="2FD570F1">
      <w:pPr>
        <w:spacing w:line="360" w:lineRule="auto"/>
        <w:ind w:firstLine="360" w:firstLineChars="150"/>
        <w:rPr>
          <w:color w:val="000000"/>
          <w:sz w:val="24"/>
          <w:szCs w:val="24"/>
        </w:rPr>
      </w:pPr>
      <w:r>
        <w:rPr>
          <w:color w:val="000000"/>
          <w:sz w:val="24"/>
          <w:szCs w:val="24"/>
        </w:rPr>
        <w:t>2、合同所有附件均为本合同不可分割的组成部分，与本合同具有同等法律效力。</w:t>
      </w:r>
    </w:p>
    <w:p w14:paraId="26B274E3">
      <w:pPr>
        <w:spacing w:line="360" w:lineRule="auto"/>
        <w:ind w:firstLine="360" w:firstLineChars="150"/>
        <w:rPr>
          <w:color w:val="000000"/>
          <w:sz w:val="24"/>
          <w:szCs w:val="24"/>
        </w:rPr>
      </w:pPr>
      <w:r>
        <w:rPr>
          <w:color w:val="000000"/>
          <w:sz w:val="24"/>
          <w:szCs w:val="24"/>
        </w:rPr>
        <w:t>3、甲方招标文件、乙方投标文件均为本合同不可分割的组成部分，与本合同具有同等法律效力。</w:t>
      </w:r>
    </w:p>
    <w:tbl>
      <w:tblPr>
        <w:tblStyle w:val="3"/>
        <w:tblW w:w="9967" w:type="dxa"/>
        <w:jc w:val="center"/>
        <w:tblLayout w:type="fixed"/>
        <w:tblCellMar>
          <w:top w:w="0" w:type="dxa"/>
          <w:left w:w="108" w:type="dxa"/>
          <w:bottom w:w="0" w:type="dxa"/>
          <w:right w:w="108" w:type="dxa"/>
        </w:tblCellMar>
      </w:tblPr>
      <w:tblGrid>
        <w:gridCol w:w="3780"/>
        <w:gridCol w:w="3603"/>
        <w:gridCol w:w="2584"/>
      </w:tblGrid>
      <w:tr w14:paraId="16424BF2">
        <w:tblPrEx>
          <w:tblCellMar>
            <w:top w:w="0" w:type="dxa"/>
            <w:left w:w="108" w:type="dxa"/>
            <w:bottom w:w="0" w:type="dxa"/>
            <w:right w:w="108" w:type="dxa"/>
          </w:tblCellMar>
        </w:tblPrEx>
        <w:trPr>
          <w:jc w:val="center"/>
        </w:trPr>
        <w:tc>
          <w:tcPr>
            <w:tcW w:w="3780" w:type="dxa"/>
            <w:vAlign w:val="center"/>
          </w:tcPr>
          <w:p w14:paraId="18D9FB9C">
            <w:pPr>
              <w:spacing w:line="360" w:lineRule="auto"/>
              <w:rPr>
                <w:color w:val="000000"/>
                <w:sz w:val="24"/>
                <w:szCs w:val="24"/>
              </w:rPr>
            </w:pPr>
            <w:r>
              <w:rPr>
                <w:color w:val="000000"/>
                <w:sz w:val="24"/>
                <w:szCs w:val="24"/>
              </w:rPr>
              <w:t>甲方：西安石油大学（盖章）</w:t>
            </w:r>
          </w:p>
        </w:tc>
        <w:tc>
          <w:tcPr>
            <w:tcW w:w="3603" w:type="dxa"/>
            <w:vAlign w:val="center"/>
          </w:tcPr>
          <w:p w14:paraId="11310EC8">
            <w:pPr>
              <w:spacing w:line="360" w:lineRule="auto"/>
              <w:ind w:firstLine="360" w:firstLineChars="150"/>
              <w:rPr>
                <w:color w:val="000000"/>
                <w:sz w:val="24"/>
                <w:szCs w:val="24"/>
              </w:rPr>
            </w:pPr>
            <w:r>
              <w:rPr>
                <w:color w:val="000000"/>
                <w:sz w:val="24"/>
                <w:szCs w:val="24"/>
              </w:rPr>
              <w:t>乙方：××公司（盖章）</w:t>
            </w:r>
          </w:p>
        </w:tc>
        <w:tc>
          <w:tcPr>
            <w:tcW w:w="2584" w:type="dxa"/>
            <w:vMerge w:val="restart"/>
          </w:tcPr>
          <w:p w14:paraId="5B26B8BE">
            <w:pPr>
              <w:spacing w:line="360" w:lineRule="auto"/>
              <w:rPr>
                <w:color w:val="000000"/>
                <w:sz w:val="24"/>
                <w:szCs w:val="24"/>
              </w:rPr>
            </w:pPr>
            <w:r>
              <w:rPr>
                <w:rFonts w:hint="eastAsia"/>
                <w:color w:val="000000"/>
                <w:sz w:val="24"/>
                <w:szCs w:val="24"/>
                <w:lang w:val="en-US" w:eastAsia="zh-CN"/>
              </w:rPr>
              <w:t>鉴</w:t>
            </w:r>
            <w:r>
              <w:rPr>
                <w:color w:val="000000"/>
                <w:sz w:val="24"/>
                <w:szCs w:val="24"/>
              </w:rPr>
              <w:t>证方：××（盖章）</w:t>
            </w:r>
          </w:p>
        </w:tc>
      </w:tr>
      <w:tr w14:paraId="06D88D15">
        <w:tblPrEx>
          <w:tblCellMar>
            <w:top w:w="0" w:type="dxa"/>
            <w:left w:w="108" w:type="dxa"/>
            <w:bottom w:w="0" w:type="dxa"/>
            <w:right w:w="108" w:type="dxa"/>
          </w:tblCellMar>
        </w:tblPrEx>
        <w:trPr>
          <w:jc w:val="center"/>
        </w:trPr>
        <w:tc>
          <w:tcPr>
            <w:tcW w:w="3780" w:type="dxa"/>
            <w:vAlign w:val="center"/>
          </w:tcPr>
          <w:p w14:paraId="5ED257BD">
            <w:pPr>
              <w:spacing w:line="360" w:lineRule="auto"/>
              <w:rPr>
                <w:color w:val="000000"/>
                <w:sz w:val="24"/>
                <w:szCs w:val="24"/>
              </w:rPr>
            </w:pPr>
            <w:r>
              <w:rPr>
                <w:color w:val="000000"/>
                <w:sz w:val="24"/>
                <w:szCs w:val="24"/>
              </w:rPr>
              <w:t>法人或委托代理人：</w:t>
            </w:r>
          </w:p>
        </w:tc>
        <w:tc>
          <w:tcPr>
            <w:tcW w:w="3603" w:type="dxa"/>
            <w:vAlign w:val="center"/>
          </w:tcPr>
          <w:p w14:paraId="7604388D">
            <w:pPr>
              <w:spacing w:line="360" w:lineRule="auto"/>
              <w:ind w:firstLine="360" w:firstLineChars="150"/>
              <w:rPr>
                <w:color w:val="000000"/>
                <w:sz w:val="24"/>
                <w:szCs w:val="24"/>
              </w:rPr>
            </w:pPr>
            <w:r>
              <w:rPr>
                <w:color w:val="000000"/>
                <w:sz w:val="24"/>
                <w:szCs w:val="24"/>
              </w:rPr>
              <w:t>法人或委托代理人：</w:t>
            </w:r>
          </w:p>
        </w:tc>
        <w:tc>
          <w:tcPr>
            <w:tcW w:w="2584" w:type="dxa"/>
            <w:vMerge w:val="continue"/>
            <w:vAlign w:val="center"/>
          </w:tcPr>
          <w:p w14:paraId="465AE449">
            <w:pPr>
              <w:spacing w:line="360" w:lineRule="auto"/>
              <w:ind w:firstLine="360" w:firstLineChars="150"/>
              <w:rPr>
                <w:color w:val="000000"/>
                <w:sz w:val="24"/>
                <w:szCs w:val="24"/>
              </w:rPr>
            </w:pPr>
          </w:p>
        </w:tc>
      </w:tr>
      <w:tr w14:paraId="1AF5ABC7">
        <w:tblPrEx>
          <w:tblCellMar>
            <w:top w:w="0" w:type="dxa"/>
            <w:left w:w="108" w:type="dxa"/>
            <w:bottom w:w="0" w:type="dxa"/>
            <w:right w:w="108" w:type="dxa"/>
          </w:tblCellMar>
        </w:tblPrEx>
        <w:trPr>
          <w:jc w:val="center"/>
        </w:trPr>
        <w:tc>
          <w:tcPr>
            <w:tcW w:w="3780" w:type="dxa"/>
            <w:vAlign w:val="center"/>
          </w:tcPr>
          <w:p w14:paraId="693940A9">
            <w:pPr>
              <w:spacing w:line="360" w:lineRule="auto"/>
              <w:rPr>
                <w:color w:val="000000"/>
                <w:sz w:val="24"/>
                <w:szCs w:val="24"/>
              </w:rPr>
            </w:pPr>
            <w:r>
              <w:rPr>
                <w:color w:val="000000"/>
                <w:sz w:val="24"/>
                <w:szCs w:val="24"/>
              </w:rPr>
              <w:t>户名：西安石油大学</w:t>
            </w:r>
          </w:p>
        </w:tc>
        <w:tc>
          <w:tcPr>
            <w:tcW w:w="3603" w:type="dxa"/>
            <w:vAlign w:val="center"/>
          </w:tcPr>
          <w:p w14:paraId="42FC570D">
            <w:pPr>
              <w:spacing w:line="360" w:lineRule="auto"/>
              <w:ind w:firstLine="360" w:firstLineChars="150"/>
              <w:rPr>
                <w:color w:val="000000"/>
                <w:sz w:val="24"/>
                <w:szCs w:val="24"/>
              </w:rPr>
            </w:pPr>
            <w:r>
              <w:rPr>
                <w:color w:val="000000"/>
                <w:sz w:val="24"/>
                <w:szCs w:val="24"/>
              </w:rPr>
              <w:t>户名：</w:t>
            </w:r>
          </w:p>
        </w:tc>
        <w:tc>
          <w:tcPr>
            <w:tcW w:w="2584" w:type="dxa"/>
            <w:vMerge w:val="continue"/>
            <w:vAlign w:val="center"/>
          </w:tcPr>
          <w:p w14:paraId="15510A07">
            <w:pPr>
              <w:spacing w:line="360" w:lineRule="auto"/>
              <w:ind w:firstLine="360" w:firstLineChars="150"/>
              <w:rPr>
                <w:color w:val="000000"/>
                <w:sz w:val="24"/>
                <w:szCs w:val="24"/>
              </w:rPr>
            </w:pPr>
          </w:p>
        </w:tc>
      </w:tr>
      <w:tr w14:paraId="5778FC5C">
        <w:tblPrEx>
          <w:tblCellMar>
            <w:top w:w="0" w:type="dxa"/>
            <w:left w:w="108" w:type="dxa"/>
            <w:bottom w:w="0" w:type="dxa"/>
            <w:right w:w="108" w:type="dxa"/>
          </w:tblCellMar>
        </w:tblPrEx>
        <w:trPr>
          <w:jc w:val="center"/>
        </w:trPr>
        <w:tc>
          <w:tcPr>
            <w:tcW w:w="3780" w:type="dxa"/>
            <w:vAlign w:val="center"/>
          </w:tcPr>
          <w:p w14:paraId="7765B05E">
            <w:pPr>
              <w:spacing w:line="360" w:lineRule="auto"/>
              <w:rPr>
                <w:color w:val="000000"/>
                <w:sz w:val="24"/>
                <w:szCs w:val="24"/>
              </w:rPr>
            </w:pPr>
            <w:r>
              <w:rPr>
                <w:color w:val="000000"/>
                <w:sz w:val="24"/>
                <w:szCs w:val="24"/>
              </w:rPr>
              <w:t>开户行：工行西安电子工业区支行</w:t>
            </w:r>
          </w:p>
        </w:tc>
        <w:tc>
          <w:tcPr>
            <w:tcW w:w="3603" w:type="dxa"/>
            <w:vAlign w:val="center"/>
          </w:tcPr>
          <w:p w14:paraId="2C0A4E3A">
            <w:pPr>
              <w:spacing w:line="360" w:lineRule="auto"/>
              <w:ind w:firstLine="360" w:firstLineChars="150"/>
              <w:rPr>
                <w:color w:val="000000"/>
                <w:sz w:val="24"/>
                <w:szCs w:val="24"/>
              </w:rPr>
            </w:pPr>
            <w:r>
              <w:rPr>
                <w:color w:val="000000"/>
                <w:sz w:val="24"/>
                <w:szCs w:val="24"/>
              </w:rPr>
              <w:t>开户行：</w:t>
            </w:r>
          </w:p>
        </w:tc>
        <w:tc>
          <w:tcPr>
            <w:tcW w:w="2584" w:type="dxa"/>
            <w:vAlign w:val="center"/>
          </w:tcPr>
          <w:p w14:paraId="00475309">
            <w:pPr>
              <w:spacing w:line="360" w:lineRule="auto"/>
              <w:ind w:firstLine="360" w:firstLineChars="150"/>
              <w:rPr>
                <w:color w:val="000000"/>
                <w:sz w:val="24"/>
                <w:szCs w:val="24"/>
              </w:rPr>
            </w:pPr>
            <w:r>
              <w:rPr>
                <w:color w:val="000000"/>
                <w:sz w:val="24"/>
                <w:szCs w:val="24"/>
              </w:rPr>
              <w:t>代表签字：</w:t>
            </w:r>
          </w:p>
        </w:tc>
      </w:tr>
      <w:tr w14:paraId="5CF280A4">
        <w:tblPrEx>
          <w:tblCellMar>
            <w:top w:w="0" w:type="dxa"/>
            <w:left w:w="108" w:type="dxa"/>
            <w:bottom w:w="0" w:type="dxa"/>
            <w:right w:w="108" w:type="dxa"/>
          </w:tblCellMar>
        </w:tblPrEx>
        <w:trPr>
          <w:jc w:val="center"/>
        </w:trPr>
        <w:tc>
          <w:tcPr>
            <w:tcW w:w="3780" w:type="dxa"/>
            <w:vAlign w:val="center"/>
          </w:tcPr>
          <w:p w14:paraId="1F4AACEE">
            <w:pPr>
              <w:spacing w:line="360" w:lineRule="auto"/>
              <w:rPr>
                <w:color w:val="000000"/>
                <w:sz w:val="24"/>
                <w:szCs w:val="24"/>
              </w:rPr>
            </w:pPr>
            <w:r>
              <w:rPr>
                <w:color w:val="000000"/>
                <w:sz w:val="24"/>
                <w:szCs w:val="24"/>
              </w:rPr>
              <w:t>帐号：3700023209014488850</w:t>
            </w:r>
          </w:p>
        </w:tc>
        <w:tc>
          <w:tcPr>
            <w:tcW w:w="3603" w:type="dxa"/>
            <w:vAlign w:val="center"/>
          </w:tcPr>
          <w:p w14:paraId="37978FA7">
            <w:pPr>
              <w:spacing w:line="360" w:lineRule="auto"/>
              <w:ind w:firstLine="360" w:firstLineChars="150"/>
              <w:rPr>
                <w:color w:val="000000"/>
                <w:sz w:val="24"/>
                <w:szCs w:val="24"/>
              </w:rPr>
            </w:pPr>
            <w:r>
              <w:rPr>
                <w:color w:val="000000"/>
                <w:sz w:val="24"/>
                <w:szCs w:val="24"/>
              </w:rPr>
              <w:t>帐号：</w:t>
            </w:r>
          </w:p>
        </w:tc>
        <w:tc>
          <w:tcPr>
            <w:tcW w:w="2584" w:type="dxa"/>
            <w:vAlign w:val="center"/>
          </w:tcPr>
          <w:p w14:paraId="27C2D892">
            <w:pPr>
              <w:spacing w:line="360" w:lineRule="auto"/>
              <w:ind w:firstLine="360" w:firstLineChars="150"/>
              <w:rPr>
                <w:color w:val="000000"/>
                <w:sz w:val="24"/>
                <w:szCs w:val="24"/>
              </w:rPr>
            </w:pPr>
          </w:p>
        </w:tc>
      </w:tr>
      <w:tr w14:paraId="31AE061E">
        <w:tblPrEx>
          <w:tblCellMar>
            <w:top w:w="0" w:type="dxa"/>
            <w:left w:w="108" w:type="dxa"/>
            <w:bottom w:w="0" w:type="dxa"/>
            <w:right w:w="108" w:type="dxa"/>
          </w:tblCellMar>
        </w:tblPrEx>
        <w:trPr>
          <w:jc w:val="center"/>
        </w:trPr>
        <w:tc>
          <w:tcPr>
            <w:tcW w:w="3780" w:type="dxa"/>
            <w:vAlign w:val="center"/>
          </w:tcPr>
          <w:p w14:paraId="630216AE">
            <w:pPr>
              <w:spacing w:line="360" w:lineRule="auto"/>
              <w:rPr>
                <w:color w:val="000000"/>
                <w:sz w:val="24"/>
                <w:szCs w:val="24"/>
              </w:rPr>
            </w:pPr>
            <w:r>
              <w:rPr>
                <w:color w:val="000000"/>
                <w:sz w:val="24"/>
                <w:szCs w:val="24"/>
              </w:rPr>
              <w:t>电话：029—88382337</w:t>
            </w:r>
          </w:p>
        </w:tc>
        <w:tc>
          <w:tcPr>
            <w:tcW w:w="3603" w:type="dxa"/>
            <w:vAlign w:val="center"/>
          </w:tcPr>
          <w:p w14:paraId="6A59477F">
            <w:pPr>
              <w:spacing w:line="360" w:lineRule="auto"/>
              <w:ind w:firstLine="360" w:firstLineChars="150"/>
              <w:rPr>
                <w:color w:val="000000"/>
                <w:sz w:val="24"/>
                <w:szCs w:val="24"/>
              </w:rPr>
            </w:pPr>
            <w:r>
              <w:rPr>
                <w:color w:val="000000"/>
                <w:sz w:val="24"/>
                <w:szCs w:val="24"/>
              </w:rPr>
              <w:t xml:space="preserve">电话: </w:t>
            </w:r>
          </w:p>
        </w:tc>
        <w:tc>
          <w:tcPr>
            <w:tcW w:w="2584" w:type="dxa"/>
            <w:vAlign w:val="center"/>
          </w:tcPr>
          <w:p w14:paraId="597AD6B3">
            <w:pPr>
              <w:spacing w:line="360" w:lineRule="auto"/>
              <w:ind w:firstLine="360" w:firstLineChars="150"/>
              <w:rPr>
                <w:color w:val="000000"/>
                <w:sz w:val="24"/>
                <w:szCs w:val="24"/>
              </w:rPr>
            </w:pPr>
            <w:r>
              <w:rPr>
                <w:color w:val="000000"/>
                <w:sz w:val="24"/>
                <w:szCs w:val="24"/>
              </w:rPr>
              <w:t>电话：</w:t>
            </w:r>
          </w:p>
        </w:tc>
      </w:tr>
      <w:tr w14:paraId="323A5C2F">
        <w:tblPrEx>
          <w:tblCellMar>
            <w:top w:w="0" w:type="dxa"/>
            <w:left w:w="108" w:type="dxa"/>
            <w:bottom w:w="0" w:type="dxa"/>
            <w:right w:w="108" w:type="dxa"/>
          </w:tblCellMar>
        </w:tblPrEx>
        <w:trPr>
          <w:jc w:val="center"/>
        </w:trPr>
        <w:tc>
          <w:tcPr>
            <w:tcW w:w="3780" w:type="dxa"/>
            <w:vAlign w:val="center"/>
          </w:tcPr>
          <w:p w14:paraId="35987ABB">
            <w:pPr>
              <w:spacing w:line="360" w:lineRule="auto"/>
              <w:rPr>
                <w:color w:val="000000"/>
                <w:sz w:val="24"/>
                <w:szCs w:val="24"/>
              </w:rPr>
            </w:pPr>
            <w:r>
              <w:rPr>
                <w:color w:val="000000"/>
                <w:sz w:val="24"/>
                <w:szCs w:val="24"/>
              </w:rPr>
              <w:t>地址：西安市电子二路18号</w:t>
            </w:r>
          </w:p>
        </w:tc>
        <w:tc>
          <w:tcPr>
            <w:tcW w:w="3603" w:type="dxa"/>
            <w:vAlign w:val="center"/>
          </w:tcPr>
          <w:p w14:paraId="03F26A43">
            <w:pPr>
              <w:spacing w:line="360" w:lineRule="auto"/>
              <w:ind w:firstLine="360" w:firstLineChars="150"/>
              <w:rPr>
                <w:color w:val="000000"/>
                <w:sz w:val="24"/>
                <w:szCs w:val="24"/>
              </w:rPr>
            </w:pPr>
            <w:r>
              <w:rPr>
                <w:color w:val="000000"/>
                <w:sz w:val="24"/>
                <w:szCs w:val="24"/>
              </w:rPr>
              <w:t>地址：</w:t>
            </w:r>
          </w:p>
        </w:tc>
        <w:tc>
          <w:tcPr>
            <w:tcW w:w="2584" w:type="dxa"/>
            <w:vAlign w:val="center"/>
          </w:tcPr>
          <w:p w14:paraId="6F474C53">
            <w:pPr>
              <w:spacing w:line="360" w:lineRule="auto"/>
              <w:ind w:firstLine="360" w:firstLineChars="150"/>
              <w:rPr>
                <w:color w:val="000000"/>
                <w:sz w:val="24"/>
                <w:szCs w:val="24"/>
              </w:rPr>
            </w:pPr>
            <w:r>
              <w:rPr>
                <w:color w:val="000000"/>
                <w:sz w:val="24"/>
                <w:szCs w:val="24"/>
              </w:rPr>
              <w:t>地址：</w:t>
            </w:r>
          </w:p>
        </w:tc>
      </w:tr>
      <w:tr w14:paraId="650D3851">
        <w:tblPrEx>
          <w:tblCellMar>
            <w:top w:w="0" w:type="dxa"/>
            <w:left w:w="108" w:type="dxa"/>
            <w:bottom w:w="0" w:type="dxa"/>
            <w:right w:w="108" w:type="dxa"/>
          </w:tblCellMar>
        </w:tblPrEx>
        <w:trPr>
          <w:jc w:val="center"/>
        </w:trPr>
        <w:tc>
          <w:tcPr>
            <w:tcW w:w="3780" w:type="dxa"/>
            <w:vAlign w:val="center"/>
          </w:tcPr>
          <w:p w14:paraId="0400E833">
            <w:pPr>
              <w:spacing w:line="360" w:lineRule="auto"/>
              <w:rPr>
                <w:color w:val="000000"/>
                <w:sz w:val="24"/>
                <w:szCs w:val="24"/>
              </w:rPr>
            </w:pPr>
            <w:r>
              <w:rPr>
                <w:color w:val="000000"/>
                <w:sz w:val="24"/>
                <w:szCs w:val="24"/>
              </w:rPr>
              <w:t>日期: 20</w:t>
            </w:r>
            <w:r>
              <w:rPr>
                <w:rFonts w:hint="eastAsia"/>
                <w:color w:val="000000"/>
                <w:sz w:val="24"/>
                <w:szCs w:val="24"/>
                <w:lang w:val="en-US" w:eastAsia="zh-CN"/>
              </w:rPr>
              <w:t>25</w:t>
            </w:r>
            <w:r>
              <w:rPr>
                <w:color w:val="000000"/>
                <w:sz w:val="24"/>
                <w:szCs w:val="24"/>
              </w:rPr>
              <w:t xml:space="preserve">  年  月  日</w:t>
            </w:r>
          </w:p>
        </w:tc>
        <w:tc>
          <w:tcPr>
            <w:tcW w:w="3603" w:type="dxa"/>
            <w:vAlign w:val="center"/>
          </w:tcPr>
          <w:p w14:paraId="6134D49D">
            <w:pPr>
              <w:spacing w:line="360" w:lineRule="auto"/>
              <w:ind w:firstLine="360" w:firstLineChars="150"/>
              <w:rPr>
                <w:color w:val="000000"/>
                <w:sz w:val="24"/>
                <w:szCs w:val="24"/>
              </w:rPr>
            </w:pPr>
            <w:r>
              <w:rPr>
                <w:color w:val="000000"/>
                <w:sz w:val="24"/>
                <w:szCs w:val="24"/>
              </w:rPr>
              <w:t>日期: 20</w:t>
            </w:r>
            <w:r>
              <w:rPr>
                <w:rFonts w:hint="eastAsia"/>
                <w:color w:val="000000"/>
                <w:sz w:val="24"/>
                <w:szCs w:val="24"/>
                <w:lang w:val="en-US" w:eastAsia="zh-CN"/>
              </w:rPr>
              <w:t>25</w:t>
            </w:r>
            <w:r>
              <w:rPr>
                <w:color w:val="000000"/>
                <w:sz w:val="24"/>
                <w:szCs w:val="24"/>
              </w:rPr>
              <w:t xml:space="preserve"> 年  月  日</w:t>
            </w:r>
          </w:p>
        </w:tc>
        <w:tc>
          <w:tcPr>
            <w:tcW w:w="2584" w:type="dxa"/>
            <w:vAlign w:val="center"/>
          </w:tcPr>
          <w:p w14:paraId="7463B444">
            <w:pPr>
              <w:spacing w:line="360" w:lineRule="auto"/>
              <w:ind w:firstLine="360" w:firstLineChars="150"/>
              <w:rPr>
                <w:color w:val="000000"/>
                <w:sz w:val="24"/>
                <w:szCs w:val="24"/>
              </w:rPr>
            </w:pPr>
          </w:p>
        </w:tc>
      </w:tr>
    </w:tbl>
    <w:p w14:paraId="2D7A42BD">
      <w:pPr>
        <w:rPr>
          <w:color w:val="000000"/>
          <w:sz w:val="24"/>
          <w:szCs w:val="24"/>
        </w:rPr>
      </w:pPr>
      <w:r>
        <w:rPr>
          <w:color w:val="000000"/>
          <w:sz w:val="24"/>
          <w:szCs w:val="24"/>
        </w:rPr>
        <w:br w:type="page"/>
      </w:r>
    </w:p>
    <w:p w14:paraId="4ECB46A8">
      <w:pPr>
        <w:ind w:firstLine="360" w:firstLineChars="150"/>
        <w:jc w:val="center"/>
        <w:rPr>
          <w:color w:val="000000"/>
          <w:sz w:val="24"/>
          <w:szCs w:val="24"/>
        </w:rPr>
      </w:pPr>
      <w:r>
        <w:rPr>
          <w:color w:val="000000"/>
          <w:sz w:val="24"/>
          <w:szCs w:val="24"/>
        </w:rPr>
        <w:t>××技术协议</w:t>
      </w:r>
    </w:p>
    <w:p w14:paraId="7AF014A2">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b/>
          <w:color w:val="FF0000"/>
          <w:sz w:val="24"/>
          <w:szCs w:val="24"/>
        </w:rPr>
      </w:pPr>
      <w:r>
        <w:rPr>
          <w:b/>
          <w:color w:val="FF0000"/>
          <w:sz w:val="24"/>
          <w:szCs w:val="24"/>
        </w:rPr>
        <w:t>注：若技术参数等内容较少并能在合同中准确完整的描述，则不需单独签订技术协议。</w:t>
      </w:r>
    </w:p>
    <w:p w14:paraId="786DB788">
      <w:pPr>
        <w:keepNext w:val="0"/>
        <w:keepLines w:val="0"/>
        <w:pageBreakBefore w:val="0"/>
        <w:widowControl w:val="0"/>
        <w:tabs>
          <w:tab w:val="left" w:pos="2880"/>
        </w:tabs>
        <w:kinsoku/>
        <w:wordWrap/>
        <w:overflowPunct/>
        <w:topLinePunct w:val="0"/>
        <w:autoSpaceDE/>
        <w:autoSpaceDN/>
        <w:bidi w:val="0"/>
        <w:adjustRightInd/>
        <w:snapToGrid/>
        <w:spacing w:line="440" w:lineRule="exact"/>
        <w:ind w:firstLine="360" w:firstLineChars="150"/>
        <w:textAlignment w:val="auto"/>
        <w:rPr>
          <w:color w:val="000000"/>
          <w:sz w:val="24"/>
          <w:szCs w:val="24"/>
        </w:rPr>
      </w:pPr>
      <w:r>
        <w:rPr>
          <w:color w:val="000000"/>
          <w:sz w:val="24"/>
          <w:szCs w:val="24"/>
        </w:rPr>
        <w:t>甲方：西安石油大学</w:t>
      </w:r>
      <w:r>
        <w:rPr>
          <w:color w:val="000000"/>
          <w:sz w:val="24"/>
          <w:szCs w:val="24"/>
        </w:rPr>
        <w:tab/>
      </w:r>
    </w:p>
    <w:p w14:paraId="478212E0">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color w:val="000000"/>
          <w:sz w:val="24"/>
          <w:szCs w:val="24"/>
        </w:rPr>
      </w:pPr>
      <w:r>
        <w:rPr>
          <w:color w:val="000000"/>
          <w:sz w:val="24"/>
          <w:szCs w:val="24"/>
        </w:rPr>
        <w:t>乙方：××公司</w:t>
      </w:r>
    </w:p>
    <w:p w14:paraId="617B4761">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color w:val="000000"/>
          <w:sz w:val="24"/>
          <w:szCs w:val="24"/>
        </w:rPr>
      </w:pPr>
      <w:r>
        <w:rPr>
          <w:color w:val="000000"/>
          <w:sz w:val="24"/>
          <w:szCs w:val="24"/>
        </w:rPr>
        <w:t>西安石油大学（以下简称甲方）和××公司（以下简称乙方）通过谈判，就甲方××院××购置，达成以下技术协议：</w:t>
      </w:r>
    </w:p>
    <w:p w14:paraId="5AC6100C">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color w:val="000000"/>
          <w:sz w:val="24"/>
          <w:szCs w:val="24"/>
        </w:rPr>
      </w:pPr>
      <w:r>
        <w:rPr>
          <w:color w:val="000000"/>
          <w:sz w:val="24"/>
          <w:szCs w:val="24"/>
        </w:rPr>
        <w:t>一、设备名称、规格型号、生产厂家、</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621"/>
        <w:gridCol w:w="2541"/>
        <w:gridCol w:w="2149"/>
      </w:tblGrid>
      <w:tr w14:paraId="4F695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5" w:type="dxa"/>
            <w:vAlign w:val="center"/>
          </w:tcPr>
          <w:p w14:paraId="7C942A11">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color w:val="000000"/>
                <w:sz w:val="24"/>
                <w:szCs w:val="24"/>
              </w:rPr>
            </w:pPr>
            <w:r>
              <w:rPr>
                <w:color w:val="000000"/>
                <w:sz w:val="24"/>
                <w:szCs w:val="24"/>
              </w:rPr>
              <w:t>序号</w:t>
            </w:r>
          </w:p>
        </w:tc>
        <w:tc>
          <w:tcPr>
            <w:tcW w:w="2621" w:type="dxa"/>
            <w:vAlign w:val="center"/>
          </w:tcPr>
          <w:p w14:paraId="5B2E5060">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color w:val="000000"/>
                <w:sz w:val="24"/>
                <w:szCs w:val="24"/>
              </w:rPr>
            </w:pPr>
            <w:r>
              <w:rPr>
                <w:color w:val="000000"/>
                <w:sz w:val="24"/>
                <w:szCs w:val="24"/>
              </w:rPr>
              <w:t>设备名称</w:t>
            </w:r>
          </w:p>
        </w:tc>
        <w:tc>
          <w:tcPr>
            <w:tcW w:w="2541" w:type="dxa"/>
            <w:vAlign w:val="center"/>
          </w:tcPr>
          <w:p w14:paraId="72839B57">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color w:val="000000"/>
                <w:sz w:val="24"/>
                <w:szCs w:val="24"/>
              </w:rPr>
            </w:pPr>
            <w:r>
              <w:rPr>
                <w:color w:val="000000"/>
                <w:sz w:val="24"/>
                <w:szCs w:val="24"/>
              </w:rPr>
              <w:t>规格型号</w:t>
            </w:r>
          </w:p>
        </w:tc>
        <w:tc>
          <w:tcPr>
            <w:tcW w:w="2149" w:type="dxa"/>
            <w:vAlign w:val="center"/>
          </w:tcPr>
          <w:p w14:paraId="0D728439">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color w:val="000000"/>
                <w:sz w:val="24"/>
                <w:szCs w:val="24"/>
              </w:rPr>
            </w:pPr>
            <w:r>
              <w:rPr>
                <w:color w:val="000000"/>
                <w:sz w:val="24"/>
                <w:szCs w:val="24"/>
              </w:rPr>
              <w:t>生产厂家</w:t>
            </w:r>
          </w:p>
        </w:tc>
      </w:tr>
      <w:tr w14:paraId="11A2B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5" w:type="dxa"/>
            <w:vAlign w:val="center"/>
          </w:tcPr>
          <w:p w14:paraId="266689A8">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color w:val="000000"/>
                <w:sz w:val="24"/>
                <w:szCs w:val="24"/>
              </w:rPr>
            </w:pPr>
          </w:p>
        </w:tc>
        <w:tc>
          <w:tcPr>
            <w:tcW w:w="2621" w:type="dxa"/>
            <w:vAlign w:val="center"/>
          </w:tcPr>
          <w:p w14:paraId="36779068">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color w:val="000000"/>
                <w:sz w:val="24"/>
                <w:szCs w:val="24"/>
              </w:rPr>
            </w:pPr>
          </w:p>
        </w:tc>
        <w:tc>
          <w:tcPr>
            <w:tcW w:w="2541" w:type="dxa"/>
            <w:vAlign w:val="center"/>
          </w:tcPr>
          <w:p w14:paraId="2C9215E0">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color w:val="000000"/>
                <w:sz w:val="24"/>
                <w:szCs w:val="24"/>
              </w:rPr>
            </w:pPr>
          </w:p>
        </w:tc>
        <w:tc>
          <w:tcPr>
            <w:tcW w:w="2149" w:type="dxa"/>
            <w:vAlign w:val="center"/>
          </w:tcPr>
          <w:p w14:paraId="33D196EC">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color w:val="000000"/>
                <w:sz w:val="24"/>
                <w:szCs w:val="24"/>
              </w:rPr>
            </w:pPr>
          </w:p>
        </w:tc>
      </w:tr>
    </w:tbl>
    <w:p w14:paraId="2B774430">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color w:val="000000"/>
          <w:sz w:val="24"/>
          <w:szCs w:val="24"/>
        </w:rPr>
      </w:pPr>
      <w:r>
        <w:rPr>
          <w:color w:val="000000"/>
          <w:sz w:val="24"/>
          <w:szCs w:val="24"/>
        </w:rPr>
        <w:t>二、设备配置及技术指标:</w:t>
      </w:r>
    </w:p>
    <w:p w14:paraId="34FD7BF3">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color w:val="000000"/>
          <w:sz w:val="24"/>
          <w:szCs w:val="24"/>
        </w:rPr>
      </w:pPr>
      <w:r>
        <w:rPr>
          <w:color w:val="000000"/>
          <w:sz w:val="24"/>
          <w:szCs w:val="24"/>
        </w:rPr>
        <w:t xml:space="preserve">    1、××××××××××；</w:t>
      </w:r>
    </w:p>
    <w:p w14:paraId="14B0CB7D">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color w:val="000000"/>
          <w:sz w:val="24"/>
          <w:szCs w:val="24"/>
        </w:rPr>
      </w:pPr>
      <w:r>
        <w:rPr>
          <w:color w:val="000000"/>
          <w:sz w:val="24"/>
          <w:szCs w:val="24"/>
        </w:rPr>
        <w:t>2、××××××××××；</w:t>
      </w:r>
    </w:p>
    <w:p w14:paraId="1857F0A5">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color w:val="000000"/>
          <w:sz w:val="24"/>
          <w:szCs w:val="24"/>
        </w:rPr>
      </w:pPr>
      <w:r>
        <w:rPr>
          <w:color w:val="000000"/>
          <w:sz w:val="24"/>
          <w:szCs w:val="24"/>
        </w:rPr>
        <w:t>3、××××××××××。</w:t>
      </w:r>
    </w:p>
    <w:p w14:paraId="7732B6A7">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color w:val="000000"/>
          <w:sz w:val="24"/>
          <w:szCs w:val="24"/>
        </w:rPr>
      </w:pPr>
      <w:r>
        <w:rPr>
          <w:color w:val="000000"/>
          <w:sz w:val="24"/>
          <w:szCs w:val="24"/>
        </w:rPr>
        <w:t>三、解决协议纠纷方式：双方友好协商解决，协商未果由西安市仲裁委员会仲裁。</w:t>
      </w:r>
    </w:p>
    <w:p w14:paraId="45E96056">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color w:val="000000"/>
          <w:sz w:val="24"/>
          <w:szCs w:val="24"/>
        </w:rPr>
      </w:pPr>
      <w:r>
        <w:rPr>
          <w:color w:val="000000"/>
          <w:sz w:val="24"/>
          <w:szCs w:val="24"/>
        </w:rPr>
        <w:t>四、其它事项</w:t>
      </w:r>
    </w:p>
    <w:p w14:paraId="54929710">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color w:val="000000"/>
          <w:sz w:val="24"/>
          <w:szCs w:val="24"/>
        </w:rPr>
      </w:pPr>
      <w:r>
        <w:rPr>
          <w:color w:val="000000"/>
          <w:sz w:val="24"/>
          <w:szCs w:val="24"/>
        </w:rPr>
        <w:t>1、本协议作为设备购置合同附件与合同同时生效。</w:t>
      </w:r>
    </w:p>
    <w:p w14:paraId="7FE3B9DA">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color w:val="000000"/>
          <w:sz w:val="24"/>
          <w:szCs w:val="24"/>
        </w:rPr>
      </w:pPr>
      <w:r>
        <w:rPr>
          <w:color w:val="000000"/>
          <w:sz w:val="24"/>
          <w:szCs w:val="24"/>
        </w:rPr>
        <w:t>2、本协议一式七份，甲方五份，乙方一份，代理机构一份，经甲、乙双方签字盖章后生效。</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58"/>
        <w:gridCol w:w="4829"/>
      </w:tblGrid>
      <w:tr w14:paraId="47D72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25ECA90F">
            <w:pPr>
              <w:keepNext w:val="0"/>
              <w:keepLines w:val="0"/>
              <w:pageBreakBefore w:val="0"/>
              <w:widowControl w:val="0"/>
              <w:kinsoku/>
              <w:wordWrap/>
              <w:overflowPunct/>
              <w:topLinePunct w:val="0"/>
              <w:autoSpaceDE/>
              <w:autoSpaceDN/>
              <w:bidi w:val="0"/>
              <w:adjustRightInd/>
              <w:snapToGrid/>
              <w:spacing w:line="440" w:lineRule="exact"/>
              <w:textAlignment w:val="auto"/>
              <w:rPr>
                <w:color w:val="000000"/>
                <w:sz w:val="24"/>
                <w:szCs w:val="24"/>
              </w:rPr>
            </w:pPr>
            <w:r>
              <w:rPr>
                <w:color w:val="000000"/>
                <w:sz w:val="24"/>
                <w:szCs w:val="24"/>
              </w:rPr>
              <w:t>甲  方</w:t>
            </w:r>
          </w:p>
        </w:tc>
        <w:tc>
          <w:tcPr>
            <w:tcW w:w="4829" w:type="dxa"/>
            <w:tcBorders>
              <w:top w:val="nil"/>
              <w:left w:val="nil"/>
              <w:bottom w:val="nil"/>
              <w:right w:val="nil"/>
            </w:tcBorders>
            <w:vAlign w:val="center"/>
          </w:tcPr>
          <w:p w14:paraId="5B096320">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color w:val="000000"/>
                <w:sz w:val="24"/>
                <w:szCs w:val="24"/>
              </w:rPr>
            </w:pPr>
            <w:r>
              <w:rPr>
                <w:color w:val="000000"/>
                <w:sz w:val="24"/>
                <w:szCs w:val="24"/>
              </w:rPr>
              <w:t>乙  方</w:t>
            </w:r>
          </w:p>
        </w:tc>
      </w:tr>
      <w:tr w14:paraId="3AF94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66CF6C1F">
            <w:pPr>
              <w:keepNext w:val="0"/>
              <w:keepLines w:val="0"/>
              <w:pageBreakBefore w:val="0"/>
              <w:widowControl w:val="0"/>
              <w:kinsoku/>
              <w:wordWrap/>
              <w:overflowPunct/>
              <w:topLinePunct w:val="0"/>
              <w:autoSpaceDE/>
              <w:autoSpaceDN/>
              <w:bidi w:val="0"/>
              <w:adjustRightInd/>
              <w:snapToGrid/>
              <w:spacing w:line="440" w:lineRule="exact"/>
              <w:textAlignment w:val="auto"/>
              <w:rPr>
                <w:color w:val="000000"/>
                <w:sz w:val="24"/>
                <w:szCs w:val="24"/>
              </w:rPr>
            </w:pPr>
            <w:r>
              <w:rPr>
                <w:color w:val="000000"/>
                <w:sz w:val="24"/>
                <w:szCs w:val="24"/>
              </w:rPr>
              <w:t>单位名称：西安石油大学XXXX（部门）</w:t>
            </w:r>
          </w:p>
        </w:tc>
        <w:tc>
          <w:tcPr>
            <w:tcW w:w="4829" w:type="dxa"/>
            <w:tcBorders>
              <w:top w:val="nil"/>
              <w:left w:val="nil"/>
              <w:bottom w:val="nil"/>
              <w:right w:val="nil"/>
            </w:tcBorders>
            <w:vAlign w:val="center"/>
          </w:tcPr>
          <w:p w14:paraId="01978215">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color w:val="000000"/>
                <w:sz w:val="24"/>
                <w:szCs w:val="24"/>
              </w:rPr>
            </w:pPr>
            <w:r>
              <w:rPr>
                <w:color w:val="000000"/>
                <w:sz w:val="24"/>
                <w:szCs w:val="24"/>
              </w:rPr>
              <w:t>单位名称：××公司</w:t>
            </w:r>
          </w:p>
        </w:tc>
      </w:tr>
      <w:tr w14:paraId="59F62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26A997AF">
            <w:pPr>
              <w:keepNext w:val="0"/>
              <w:keepLines w:val="0"/>
              <w:pageBreakBefore w:val="0"/>
              <w:widowControl w:val="0"/>
              <w:kinsoku/>
              <w:wordWrap/>
              <w:overflowPunct/>
              <w:topLinePunct w:val="0"/>
              <w:autoSpaceDE/>
              <w:autoSpaceDN/>
              <w:bidi w:val="0"/>
              <w:adjustRightInd/>
              <w:snapToGrid/>
              <w:spacing w:line="440" w:lineRule="exact"/>
              <w:textAlignment w:val="auto"/>
              <w:rPr>
                <w:color w:val="000000"/>
                <w:sz w:val="24"/>
                <w:szCs w:val="24"/>
              </w:rPr>
            </w:pPr>
            <w:r>
              <w:rPr>
                <w:color w:val="000000"/>
                <w:sz w:val="24"/>
                <w:szCs w:val="24"/>
              </w:rPr>
              <w:t>地    址：西安市电子二路18号</w:t>
            </w:r>
          </w:p>
        </w:tc>
        <w:tc>
          <w:tcPr>
            <w:tcW w:w="4829" w:type="dxa"/>
            <w:tcBorders>
              <w:top w:val="nil"/>
              <w:left w:val="nil"/>
              <w:bottom w:val="nil"/>
              <w:right w:val="nil"/>
            </w:tcBorders>
            <w:vAlign w:val="center"/>
          </w:tcPr>
          <w:p w14:paraId="4D2163A3">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color w:val="000000"/>
                <w:sz w:val="24"/>
                <w:szCs w:val="24"/>
              </w:rPr>
            </w:pPr>
            <w:r>
              <w:rPr>
                <w:color w:val="000000"/>
                <w:sz w:val="24"/>
                <w:szCs w:val="24"/>
              </w:rPr>
              <w:t xml:space="preserve">地    址： </w:t>
            </w:r>
          </w:p>
        </w:tc>
      </w:tr>
      <w:tr w14:paraId="7709F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7DC0DF9A">
            <w:pPr>
              <w:keepNext w:val="0"/>
              <w:keepLines w:val="0"/>
              <w:pageBreakBefore w:val="0"/>
              <w:widowControl w:val="0"/>
              <w:kinsoku/>
              <w:wordWrap/>
              <w:overflowPunct/>
              <w:topLinePunct w:val="0"/>
              <w:autoSpaceDE/>
              <w:autoSpaceDN/>
              <w:bidi w:val="0"/>
              <w:adjustRightInd/>
              <w:snapToGrid/>
              <w:spacing w:line="440" w:lineRule="exact"/>
              <w:textAlignment w:val="auto"/>
              <w:rPr>
                <w:color w:val="000000"/>
                <w:sz w:val="24"/>
                <w:szCs w:val="24"/>
              </w:rPr>
            </w:pPr>
            <w:r>
              <w:rPr>
                <w:color w:val="000000"/>
                <w:sz w:val="24"/>
                <w:szCs w:val="24"/>
              </w:rPr>
              <w:t>代表人：</w:t>
            </w:r>
          </w:p>
        </w:tc>
        <w:tc>
          <w:tcPr>
            <w:tcW w:w="4829" w:type="dxa"/>
            <w:tcBorders>
              <w:top w:val="nil"/>
              <w:left w:val="nil"/>
              <w:bottom w:val="nil"/>
              <w:right w:val="nil"/>
            </w:tcBorders>
            <w:vAlign w:val="center"/>
          </w:tcPr>
          <w:p w14:paraId="7CA62261">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color w:val="000000"/>
                <w:sz w:val="24"/>
                <w:szCs w:val="24"/>
              </w:rPr>
            </w:pPr>
            <w:r>
              <w:rPr>
                <w:color w:val="000000"/>
                <w:sz w:val="24"/>
                <w:szCs w:val="24"/>
              </w:rPr>
              <w:t xml:space="preserve">代表人： </w:t>
            </w:r>
          </w:p>
        </w:tc>
      </w:tr>
      <w:tr w14:paraId="78FCD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5E9225F0">
            <w:pPr>
              <w:keepNext w:val="0"/>
              <w:keepLines w:val="0"/>
              <w:pageBreakBefore w:val="0"/>
              <w:widowControl w:val="0"/>
              <w:kinsoku/>
              <w:wordWrap/>
              <w:overflowPunct/>
              <w:topLinePunct w:val="0"/>
              <w:autoSpaceDE/>
              <w:autoSpaceDN/>
              <w:bidi w:val="0"/>
              <w:adjustRightInd/>
              <w:snapToGrid/>
              <w:spacing w:line="440" w:lineRule="exact"/>
              <w:textAlignment w:val="auto"/>
              <w:rPr>
                <w:color w:val="000000"/>
                <w:sz w:val="24"/>
                <w:szCs w:val="24"/>
              </w:rPr>
            </w:pPr>
            <w:r>
              <w:rPr>
                <w:color w:val="000000"/>
                <w:sz w:val="24"/>
                <w:szCs w:val="24"/>
              </w:rPr>
              <w:t>联系电话：029—88382337</w:t>
            </w:r>
          </w:p>
        </w:tc>
        <w:tc>
          <w:tcPr>
            <w:tcW w:w="4829" w:type="dxa"/>
            <w:tcBorders>
              <w:top w:val="nil"/>
              <w:left w:val="nil"/>
              <w:bottom w:val="nil"/>
              <w:right w:val="nil"/>
            </w:tcBorders>
            <w:vAlign w:val="center"/>
          </w:tcPr>
          <w:p w14:paraId="344108C0">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color w:val="000000"/>
                <w:sz w:val="24"/>
                <w:szCs w:val="24"/>
              </w:rPr>
            </w:pPr>
            <w:r>
              <w:rPr>
                <w:color w:val="000000"/>
                <w:sz w:val="24"/>
                <w:szCs w:val="24"/>
              </w:rPr>
              <w:t>联系电话：</w:t>
            </w:r>
          </w:p>
        </w:tc>
      </w:tr>
      <w:tr w14:paraId="136A8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39CDFB8E">
            <w:pPr>
              <w:keepNext w:val="0"/>
              <w:keepLines w:val="0"/>
              <w:pageBreakBefore w:val="0"/>
              <w:widowControl w:val="0"/>
              <w:kinsoku/>
              <w:wordWrap/>
              <w:overflowPunct/>
              <w:topLinePunct w:val="0"/>
              <w:autoSpaceDE/>
              <w:autoSpaceDN/>
              <w:bidi w:val="0"/>
              <w:adjustRightInd/>
              <w:snapToGrid/>
              <w:spacing w:line="440" w:lineRule="exact"/>
              <w:textAlignment w:val="auto"/>
              <w:rPr>
                <w:color w:val="000000"/>
                <w:sz w:val="24"/>
                <w:szCs w:val="24"/>
              </w:rPr>
            </w:pPr>
            <w:r>
              <w:rPr>
                <w:color w:val="000000"/>
                <w:sz w:val="24"/>
                <w:szCs w:val="24"/>
              </w:rPr>
              <w:t>20</w:t>
            </w:r>
            <w:r>
              <w:rPr>
                <w:rFonts w:hint="eastAsia"/>
                <w:color w:val="000000"/>
                <w:sz w:val="24"/>
                <w:szCs w:val="24"/>
                <w:lang w:val="en-US" w:eastAsia="zh-CN"/>
              </w:rPr>
              <w:t>25</w:t>
            </w:r>
            <w:r>
              <w:rPr>
                <w:color w:val="000000"/>
                <w:sz w:val="24"/>
                <w:szCs w:val="24"/>
              </w:rPr>
              <w:t xml:space="preserve">  年    月    日</w:t>
            </w:r>
          </w:p>
        </w:tc>
        <w:tc>
          <w:tcPr>
            <w:tcW w:w="4829" w:type="dxa"/>
            <w:tcBorders>
              <w:top w:val="nil"/>
              <w:left w:val="nil"/>
              <w:bottom w:val="nil"/>
              <w:right w:val="nil"/>
            </w:tcBorders>
            <w:vAlign w:val="center"/>
          </w:tcPr>
          <w:p w14:paraId="252F5CA7">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color w:val="000000"/>
                <w:sz w:val="24"/>
                <w:szCs w:val="24"/>
              </w:rPr>
            </w:pPr>
            <w:r>
              <w:rPr>
                <w:color w:val="000000"/>
                <w:sz w:val="24"/>
                <w:szCs w:val="24"/>
              </w:rPr>
              <w:t>20</w:t>
            </w:r>
            <w:r>
              <w:rPr>
                <w:rFonts w:hint="eastAsia"/>
                <w:color w:val="000000"/>
                <w:sz w:val="24"/>
                <w:szCs w:val="24"/>
                <w:lang w:val="en-US" w:eastAsia="zh-CN"/>
              </w:rPr>
              <w:t>25</w:t>
            </w:r>
            <w:r>
              <w:rPr>
                <w:color w:val="000000"/>
                <w:sz w:val="24"/>
                <w:szCs w:val="24"/>
              </w:rPr>
              <w:t>年   月    日</w:t>
            </w:r>
          </w:p>
        </w:tc>
      </w:tr>
    </w:tbl>
    <w:p w14:paraId="0554E101">
      <w:pPr>
        <w:pStyle w:val="5"/>
        <w:rPr>
          <w:rFonts w:hint="eastAsia"/>
          <w:lang w:val="en-US" w:eastAsia="zh-Hans"/>
        </w:rPr>
      </w:pPr>
    </w:p>
    <w:p w14:paraId="4707DF7C">
      <w:bookmarkStart w:id="0" w:name="_GoBack"/>
      <w:bookmarkEnd w:id="0"/>
    </w:p>
    <w:sectPr>
      <w:head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2B4045">
    <w:pPr>
      <w:pStyle w:val="2"/>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AD2F5C"/>
    <w:rsid w:val="0EAD2F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2025-08-22T10:45:00Z</dcterms:created>
  <dc:creator>十五</dc:creator>
  <cp:lastModifiedBy>十五</cp:lastModifiedBy>
  <dcterms:modified xsi:type="dcterms:W3CDTF">2025-08-22T10:46:04Z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880D4426C6544123997CFA0629BF074B_11</vt:lpwstr>
  </property>
  <property fmtid="{D5CDD505-2E9C-101B-9397-08002B2CF9AE}" pid="4" name="KSOTemplateDocerSaveRecord">
    <vt:lpwstr>eyJoZGlkIjoiMzg2MWM3NDRiODFjMTY5ZjQ3NWVkNzIxZDU3YTBhY2IiLCJ1c2VySWQiOiI0NzM2OTcxODIifQ==</vt:lpwstr>
  </property>
</Properties>
</file>