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版本号：GHZC2025-07-01320250903002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业务应用系统等保测评及密码测评项目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GHZC2025-07-013</w:t>
      </w:r>
      <w:r>
        <w:br/>
      </w:r>
      <w:r>
        <w:br/>
      </w:r>
      <w:r>
        <w:br/>
      </w:r>
    </w:p>
    <w:p>
      <w:pPr>
        <w:pStyle w:val="null3"/>
        <w:jc w:val="center"/>
        <w:outlineLvl w:val="2"/>
      </w:pPr>
      <w:r>
        <w:rPr>
          <w:rFonts w:ascii="仿宋_GB2312" w:hAnsi="仿宋_GB2312" w:cs="仿宋_GB2312" w:eastAsia="仿宋_GB2312"/>
          <w:sz w:val="28"/>
          <w:b/>
        </w:rPr>
        <w:t>陕西省公安厅交通警察总队</w:t>
      </w:r>
    </w:p>
    <w:p>
      <w:pPr>
        <w:pStyle w:val="null3"/>
        <w:jc w:val="center"/>
        <w:outlineLvl w:val="2"/>
      </w:pPr>
      <w:r>
        <w:rPr>
          <w:rFonts w:ascii="仿宋_GB2312" w:hAnsi="仿宋_GB2312" w:cs="仿宋_GB2312" w:eastAsia="仿宋_GB2312"/>
          <w:sz w:val="28"/>
          <w:b/>
        </w:rPr>
        <w:t>陕西国华项目管理有限公司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陕西国华项目管理有限公司</w:t>
      </w:r>
      <w:r>
        <w:rPr>
          <w:rFonts w:ascii="仿宋_GB2312" w:hAnsi="仿宋_GB2312" w:cs="仿宋_GB2312" w:eastAsia="仿宋_GB2312"/>
        </w:rPr>
        <w:t>（以下简称“代理机构”）受</w:t>
      </w:r>
      <w:r>
        <w:rPr>
          <w:rFonts w:ascii="仿宋_GB2312" w:hAnsi="仿宋_GB2312" w:cs="仿宋_GB2312" w:eastAsia="仿宋_GB2312"/>
        </w:rPr>
        <w:t>陕西省公安厅交通警察总队</w:t>
      </w:r>
      <w:r>
        <w:rPr>
          <w:rFonts w:ascii="仿宋_GB2312" w:hAnsi="仿宋_GB2312" w:cs="仿宋_GB2312" w:eastAsia="仿宋_GB2312"/>
        </w:rPr>
        <w:t>委托，拟对</w:t>
      </w:r>
      <w:r>
        <w:rPr>
          <w:rFonts w:ascii="仿宋_GB2312" w:hAnsi="仿宋_GB2312" w:cs="仿宋_GB2312" w:eastAsia="仿宋_GB2312"/>
        </w:rPr>
        <w:t>业务应用系统等保测评及密码测评项目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GHZC2025-07-013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业务应用系统等保测评及密码测评项目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公安厅交通警察总队业务应用系统等保测评及密码测评项目，共分为2个采购包，其中采购包1：陕西省公安厅交通警察总队等保测评，具体内容详见招标文件第三部分，简要技术要求、用途：等保测评。采购包2：陕西省公安厅交通警察总队密码测评，具体内容详见招标文件第三部分，简要技术要求、用途：密码测评。</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采购包1（陕西省公安厅交通警察总队等保测评）：属于专门面向中小企业采购。</w:t>
      </w:r>
    </w:p>
    <w:p>
      <w:pPr>
        <w:pStyle w:val="null3"/>
      </w:pPr>
      <w:r>
        <w:rPr>
          <w:rFonts w:ascii="仿宋_GB2312" w:hAnsi="仿宋_GB2312" w:cs="仿宋_GB2312" w:eastAsia="仿宋_GB2312"/>
        </w:rPr>
        <w:t>采购包2（陕西省公安厅交通警察总队密码测评）：属于专门面向中小企业采购。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2025年01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4、社会保障资金缴存证明：提供2025年01月至今已缴存的至少一个月的社会保障资金缴存单据或社保机构开具的社会保险参保缴费情况证明，依法不需要缴存社会保障资金的单位应提供相关证明材料。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6、具有履行合同所必需的设备和专业技术能力的承诺函：提供具有履行合同所必需的设备和专业技术能力的承诺函。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7、法定代表人授权书：法定代表人授权书及被授权人身份证明。（法定代表人直接投标只须提交其身份证明）</w:t>
      </w:r>
    </w:p>
    <w:p>
      <w:pPr>
        <w:pStyle w:val="null3"/>
      </w:pPr>
      <w:r>
        <w:rPr>
          <w:rFonts w:ascii="仿宋_GB2312" w:hAnsi="仿宋_GB2312" w:cs="仿宋_GB2312" w:eastAsia="仿宋_GB2312"/>
        </w:rPr>
        <w:t>8、投标人须具有《网络安全等级测评与检测评估机构服务认证证书》：投标人须具有《网络安全等级测评与检测评估机构服务认证证书》,投标人提供证书复印件并加盖公章。</w:t>
      </w:r>
    </w:p>
    <w:p>
      <w:pPr>
        <w:pStyle w:val="null3"/>
      </w:pPr>
      <w:r>
        <w:rPr>
          <w:rFonts w:ascii="仿宋_GB2312" w:hAnsi="仿宋_GB2312" w:cs="仿宋_GB2312" w:eastAsia="仿宋_GB2312"/>
        </w:rPr>
        <w:t>9、本项目不接受联合体投标：本项目不接受联合体投标。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p>
      <w:pPr>
        <w:pStyle w:val="null3"/>
      </w:pPr>
      <w:r>
        <w:rPr>
          <w:rFonts w:ascii="仿宋_GB2312" w:hAnsi="仿宋_GB2312" w:cs="仿宋_GB2312" w:eastAsia="仿宋_GB2312"/>
        </w:rPr>
        <w:t>3、税收缴纳证明：提供2025年01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4、社会保障资金缴存证明：提供2025年01月至今已缴存的至少一个月的社会保障资金缴存单据或社保机构开具的社会保险参保缴费情况证明，依法不需要缴存社会保障资金的单位应提供相关证明材料。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6、具有履行合同所必需的设备和专业技术能力的承诺函：提供具有履行合同所必需的设备和专业技术能力的承诺函。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7、法定代表人授权书：法定代表人授权书及被授权人身份证明。（法定代表人直接投标只须提交其身份证明）</w:t>
      </w:r>
    </w:p>
    <w:p>
      <w:pPr>
        <w:pStyle w:val="null3"/>
      </w:pPr>
      <w:r>
        <w:rPr>
          <w:rFonts w:ascii="仿宋_GB2312" w:hAnsi="仿宋_GB2312" w:cs="仿宋_GB2312" w:eastAsia="仿宋_GB2312"/>
        </w:rPr>
        <w:t>8、投标人须具备国家密码管理部门同意其开展商用密码应用安全性评估的证明资料：投标人须具备、商用密码应用安全性评估业务资质，即供应商在国家密码管理局公告（49号）的《商用密码检测机构（商用密码应用安全性评估业务）目录》内，投标人提供证明资料复印件并加盖公章。</w:t>
      </w:r>
    </w:p>
    <w:p>
      <w:pPr>
        <w:pStyle w:val="null3"/>
      </w:pPr>
      <w:r>
        <w:rPr>
          <w:rFonts w:ascii="仿宋_GB2312" w:hAnsi="仿宋_GB2312" w:cs="仿宋_GB2312" w:eastAsia="仿宋_GB2312"/>
        </w:rPr>
        <w:t>9、本项目不接受联合体投标：本项目不接受联合体投标。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陕西省公安厅交通警察总队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西安市雁塔区长安南路123号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029-87680153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陕西省西安市经济技术开发区凤城七路长和国际A座26楼02-01室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赵仲康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029-86269925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采购包1：796,300.00元</w:t>
            </w:r>
          </w:p>
          <w:p>
            <w:pPr>
              <w:pStyle w:val="null3"/>
            </w:pPr>
            <w:r>
              <w:rPr>
                <w:rFonts w:ascii="仿宋_GB2312" w:hAnsi="仿宋_GB2312" w:cs="仿宋_GB2312" w:eastAsia="仿宋_GB2312"/>
              </w:rPr>
              <w:t>采购包2：1,541,600.00元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开户名称：陕西国华项目管理有限公司</w:t>
            </w:r>
          </w:p>
          <w:p>
            <w:pPr>
              <w:pStyle w:val="null3"/>
            </w:pPr>
            <w:r>
              <w:rPr>
                <w:rFonts w:ascii="仿宋_GB2312" w:hAnsi="仿宋_GB2312" w:cs="仿宋_GB2312" w:eastAsia="仿宋_GB2312"/>
              </w:rPr>
              <w:t>开户银行：陕西秦农农村商业银行股份有限公司丈八支行</w:t>
            </w:r>
          </w:p>
          <w:p>
            <w:pPr>
              <w:pStyle w:val="null3"/>
            </w:pPr>
            <w:r>
              <w:rPr>
                <w:rFonts w:ascii="仿宋_GB2312" w:hAnsi="仿宋_GB2312" w:cs="仿宋_GB2312" w:eastAsia="仿宋_GB2312"/>
              </w:rPr>
              <w:t>银行账号：2701020201201000091385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代理服务费收费标准：1、依据计价格价格『2002』1980号）及发改办价格『2003』857号文件规定的服务类收取代理服务费；银行户名：陕西国华项目管理有限公司 开户银行：陕西秦农农村商业银行股份有限公司丈八支行 账 号：2701020201201000091385 转账事由：GHZC2025-07-013 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陕西省公安厅交通警察总队</w:t>
      </w:r>
      <w:r>
        <w:rPr>
          <w:rFonts w:ascii="仿宋_GB2312" w:hAnsi="仿宋_GB2312" w:cs="仿宋_GB2312" w:eastAsia="仿宋_GB2312"/>
        </w:rPr>
        <w:t>和</w:t>
      </w:r>
      <w:r>
        <w:rPr>
          <w:rFonts w:ascii="仿宋_GB2312" w:hAnsi="仿宋_GB2312" w:cs="仿宋_GB2312" w:eastAsia="仿宋_GB2312"/>
        </w:rPr>
        <w:t>陕西国华项目管理有限公司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陕西省公安厅交通警察总队</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陕西省公安厅交通警察总队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政府采购合同的履行、违约责任和解决争议的方法等适用《中华人民共和国民法典》。采购人按照政府采购合同规定的技术、服务、安全标准组织对供应商履约情况进行验收，并出具验收书。</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联系人：赵仲康</w:t>
      </w:r>
    </w:p>
    <w:p>
      <w:pPr>
        <w:pStyle w:val="null3"/>
      </w:pPr>
      <w:r>
        <w:rPr>
          <w:rFonts w:ascii="仿宋_GB2312" w:hAnsi="仿宋_GB2312" w:cs="仿宋_GB2312" w:eastAsia="仿宋_GB2312"/>
        </w:rPr>
        <w:t>联系电话：029-86269925</w:t>
      </w:r>
    </w:p>
    <w:p>
      <w:pPr>
        <w:pStyle w:val="null3"/>
      </w:pPr>
      <w:r>
        <w:rPr>
          <w:rFonts w:ascii="仿宋_GB2312" w:hAnsi="仿宋_GB2312" w:cs="仿宋_GB2312" w:eastAsia="仿宋_GB2312"/>
        </w:rPr>
        <w:t>地址：陕西省西安市经济技术开发区凤城七路长和国际A座26楼02-01室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采购包1：陕西省公安厅交通警察总队等保测评，预算金额：79.63万，具体内容详见服务要求，简要技术要求、用途：等保测评。 采购包2：陕西省公安厅交通警察总队密码测评，预算金额：154.16万，具体内容详见服务要求，简要技术要求、用途：密码测评。</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796,300.00</w:t>
      </w:r>
    </w:p>
    <w:p>
      <w:pPr>
        <w:pStyle w:val="null3"/>
      </w:pPr>
      <w:r>
        <w:rPr>
          <w:rFonts w:ascii="仿宋_GB2312" w:hAnsi="仿宋_GB2312" w:cs="仿宋_GB2312" w:eastAsia="仿宋_GB2312"/>
        </w:rPr>
        <w:t>采购包最高限价（元）: 796,300.00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网络安全等级保护测评费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796,300.00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1,541,600.00</w:t>
      </w:r>
    </w:p>
    <w:p>
      <w:pPr>
        <w:pStyle w:val="null3"/>
      </w:pPr>
      <w:r>
        <w:rPr>
          <w:rFonts w:ascii="仿宋_GB2312" w:hAnsi="仿宋_GB2312" w:cs="仿宋_GB2312" w:eastAsia="仿宋_GB2312"/>
        </w:rPr>
        <w:t>采购包最高限价（元）: 1,541,600.00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网络应用安全性评估费</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1,541,600.00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标的名称：网络安全等级保护测评费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35"/>
              <w:ind w:left="1920"/>
              <w:jc w:val="both"/>
              <w:outlineLvl w:val="4"/>
            </w:pP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等保系统清单</w:t>
            </w:r>
          </w:p>
          <w:tbl>
            <w:tblPr>
              <w:tblInd w:type="dxa" w:w="135"/>
              <w:tblBorders>
                <w:top w:val="none" w:color="000000" w:sz="4"/>
                <w:left w:val="none" w:color="000000" w:sz="4"/>
                <w:bottom w:val="none" w:color="000000" w:sz="4"/>
                <w:right w:val="none" w:color="000000" w:sz="4"/>
                <w:insideH w:val="none"/>
                <w:insideV w:val="none"/>
              </w:tblBorders>
            </w:tblPr>
            <w:tblGrid>
              <w:gridCol w:w="145"/>
              <w:gridCol w:w="890"/>
              <w:gridCol w:w="262"/>
              <w:gridCol w:w="204"/>
              <w:gridCol w:w="486"/>
              <w:gridCol w:w="308"/>
              <w:gridCol w:w="257"/>
            </w:tblGrid>
            <w:tr>
              <w:tc>
                <w:tcPr>
                  <w:tcW w:type="dxa" w:w="1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w:t>
                  </w:r>
                </w:p>
                <w:p>
                  <w:pPr>
                    <w:pStyle w:val="null3"/>
                    <w:jc w:val="center"/>
                  </w:pPr>
                  <w:r>
                    <w:rPr>
                      <w:rFonts w:ascii="仿宋_GB2312" w:hAnsi="仿宋_GB2312" w:cs="仿宋_GB2312" w:eastAsia="仿宋_GB2312"/>
                      <w:sz w:val="20"/>
                    </w:rPr>
                    <w:t>名称</w:t>
                  </w:r>
                </w:p>
              </w:tc>
              <w:tc>
                <w:tcPr>
                  <w:tcW w:type="dxa" w:w="26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所属</w:t>
                  </w:r>
                </w:p>
                <w:p>
                  <w:pPr>
                    <w:pStyle w:val="null3"/>
                    <w:jc w:val="center"/>
                  </w:pPr>
                  <w:r>
                    <w:rPr>
                      <w:rFonts w:ascii="仿宋_GB2312" w:hAnsi="仿宋_GB2312" w:cs="仿宋_GB2312" w:eastAsia="仿宋_GB2312"/>
                      <w:sz w:val="20"/>
                    </w:rPr>
                    <w:t>网络</w:t>
                  </w:r>
                </w:p>
              </w:tc>
              <w:tc>
                <w:tcPr>
                  <w:tcW w:type="dxa" w:w="2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建设单位</w:t>
                  </w:r>
                </w:p>
              </w:tc>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部署</w:t>
                  </w:r>
                </w:p>
                <w:p>
                  <w:pPr>
                    <w:pStyle w:val="null3"/>
                    <w:jc w:val="center"/>
                  </w:pPr>
                  <w:r>
                    <w:rPr>
                      <w:rFonts w:ascii="仿宋_GB2312" w:hAnsi="仿宋_GB2312" w:cs="仿宋_GB2312" w:eastAsia="仿宋_GB2312"/>
                      <w:sz w:val="20"/>
                    </w:rPr>
                    <w:t>位置</w:t>
                  </w:r>
                </w:p>
              </w:tc>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等保测评定级</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p>
                  <w:pPr>
                    <w:pStyle w:val="null3"/>
                    <w:jc w:val="center"/>
                  </w:pPr>
                  <w:r>
                    <w:rPr>
                      <w:rFonts w:ascii="仿宋_GB2312" w:hAnsi="仿宋_GB2312" w:cs="仿宋_GB2312" w:eastAsia="仿宋_GB2312"/>
                      <w:sz w:val="20"/>
                    </w:rPr>
                    <w:t>名称</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互联网交通安全综</w:t>
                  </w:r>
                </w:p>
                <w:p>
                  <w:pPr>
                    <w:pStyle w:val="null3"/>
                    <w:jc w:val="center"/>
                  </w:pPr>
                  <w:r>
                    <w:rPr>
                      <w:rFonts w:ascii="仿宋_GB2312" w:hAnsi="仿宋_GB2312" w:cs="仿宋_GB2312" w:eastAsia="仿宋_GB2312"/>
                      <w:sz w:val="20"/>
                    </w:rPr>
                    <w:t>合服务管理平台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互联网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3F </w:t>
                  </w:r>
                  <w:r>
                    <w:rPr>
                      <w:rFonts w:ascii="仿宋_GB2312" w:hAnsi="仿宋_GB2312" w:cs="仿宋_GB2312" w:eastAsia="仿宋_GB2312"/>
                      <w:sz w:val="20"/>
                    </w:rPr>
                    <w:t>数据</w:t>
                  </w:r>
                </w:p>
                <w:p>
                  <w:pPr>
                    <w:pStyle w:val="null3"/>
                    <w:jc w:val="center"/>
                  </w:pPr>
                  <w:r>
                    <w:rPr>
                      <w:rFonts w:ascii="仿宋_GB2312" w:hAnsi="仿宋_GB2312" w:cs="仿宋_GB2312" w:eastAsia="仿宋_GB2312"/>
                      <w:sz w:val="20"/>
                    </w:rPr>
                    <w:t>中心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科技处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公安交通管理</w:t>
                  </w:r>
                </w:p>
                <w:p>
                  <w:pPr>
                    <w:pStyle w:val="null3"/>
                    <w:jc w:val="center"/>
                  </w:pPr>
                  <w:r>
                    <w:rPr>
                      <w:rFonts w:ascii="仿宋_GB2312" w:hAnsi="仿宋_GB2312" w:cs="仿宋_GB2312" w:eastAsia="仿宋_GB2312"/>
                      <w:sz w:val="20"/>
                    </w:rPr>
                    <w:t>综合应用平台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3F </w:t>
                  </w:r>
                  <w:r>
                    <w:rPr>
                      <w:rFonts w:ascii="仿宋_GB2312" w:hAnsi="仿宋_GB2312" w:cs="仿宋_GB2312" w:eastAsia="仿宋_GB2312"/>
                      <w:sz w:val="20"/>
                    </w:rPr>
                    <w:t>数据</w:t>
                  </w:r>
                </w:p>
                <w:p>
                  <w:pPr>
                    <w:pStyle w:val="null3"/>
                    <w:jc w:val="center"/>
                  </w:pPr>
                  <w:r>
                    <w:rPr>
                      <w:rFonts w:ascii="仿宋_GB2312" w:hAnsi="仿宋_GB2312" w:cs="仿宋_GB2312" w:eastAsia="仿宋_GB2312"/>
                      <w:sz w:val="20"/>
                    </w:rPr>
                    <w:t>中心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科技处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公安交通集成</w:t>
                  </w:r>
                </w:p>
                <w:p>
                  <w:pPr>
                    <w:pStyle w:val="null3"/>
                    <w:jc w:val="center"/>
                  </w:pPr>
                  <w:r>
                    <w:rPr>
                      <w:rFonts w:ascii="仿宋_GB2312" w:hAnsi="仿宋_GB2312" w:cs="仿宋_GB2312" w:eastAsia="仿宋_GB2312"/>
                      <w:sz w:val="20"/>
                    </w:rPr>
                    <w:t>指挥平台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3F </w:t>
                  </w:r>
                  <w:r>
                    <w:rPr>
                      <w:rFonts w:ascii="仿宋_GB2312" w:hAnsi="仿宋_GB2312" w:cs="仿宋_GB2312" w:eastAsia="仿宋_GB2312"/>
                      <w:sz w:val="20"/>
                    </w:rPr>
                    <w:t>数据</w:t>
                  </w:r>
                </w:p>
                <w:p>
                  <w:pPr>
                    <w:pStyle w:val="null3"/>
                    <w:jc w:val="center"/>
                  </w:pPr>
                  <w:r>
                    <w:rPr>
                      <w:rFonts w:ascii="仿宋_GB2312" w:hAnsi="仿宋_GB2312" w:cs="仿宋_GB2312" w:eastAsia="仿宋_GB2312"/>
                      <w:sz w:val="20"/>
                    </w:rPr>
                    <w:t>中心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科技处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数据中台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3F数据中心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科技处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实战指挥平台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3F数据</w:t>
                  </w:r>
                </w:p>
                <w:p>
                  <w:pPr>
                    <w:pStyle w:val="null3"/>
                    <w:jc w:val="center"/>
                  </w:pPr>
                  <w:r>
                    <w:rPr>
                      <w:rFonts w:ascii="仿宋_GB2312" w:hAnsi="仿宋_GB2312" w:cs="仿宋_GB2312" w:eastAsia="仿宋_GB2312"/>
                      <w:sz w:val="20"/>
                    </w:rPr>
                    <w:t>中心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科技处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全省视频会议</w:t>
                  </w:r>
                </w:p>
                <w:p>
                  <w:pPr>
                    <w:pStyle w:val="null3"/>
                    <w:jc w:val="center"/>
                  </w:pPr>
                  <w:r>
                    <w:rPr>
                      <w:rFonts w:ascii="仿宋_GB2312" w:hAnsi="仿宋_GB2312" w:cs="仿宋_GB2312" w:eastAsia="仿宋_GB2312"/>
                      <w:sz w:val="20"/>
                    </w:rPr>
                    <w:t>研判系统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3F </w:t>
                  </w:r>
                  <w:r>
                    <w:rPr>
                      <w:rFonts w:ascii="仿宋_GB2312" w:hAnsi="仿宋_GB2312" w:cs="仿宋_GB2312" w:eastAsia="仿宋_GB2312"/>
                      <w:sz w:val="20"/>
                    </w:rPr>
                    <w:t>数据</w:t>
                  </w:r>
                </w:p>
                <w:p>
                  <w:pPr>
                    <w:pStyle w:val="null3"/>
                    <w:jc w:val="center"/>
                  </w:pPr>
                  <w:r>
                    <w:rPr>
                      <w:rFonts w:ascii="仿宋_GB2312" w:hAnsi="仿宋_GB2312" w:cs="仿宋_GB2312" w:eastAsia="仿宋_GB2312"/>
                      <w:sz w:val="20"/>
                    </w:rPr>
                    <w:t>中心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办公室</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总队内网网站</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省厅三秦</w:t>
                  </w:r>
                </w:p>
                <w:p>
                  <w:pPr>
                    <w:pStyle w:val="null3"/>
                    <w:jc w:val="center"/>
                  </w:pPr>
                  <w:r>
                    <w:rPr>
                      <w:rFonts w:ascii="仿宋_GB2312" w:hAnsi="仿宋_GB2312" w:cs="仿宋_GB2312" w:eastAsia="仿宋_GB2312"/>
                      <w:sz w:val="20"/>
                    </w:rPr>
                    <w:t>警务云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办公室</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全省交通违法缴款</w:t>
                  </w:r>
                </w:p>
                <w:p>
                  <w:pPr>
                    <w:pStyle w:val="null3"/>
                    <w:jc w:val="center"/>
                  </w:pPr>
                  <w:r>
                    <w:rPr>
                      <w:rFonts w:ascii="仿宋_GB2312" w:hAnsi="仿宋_GB2312" w:cs="仿宋_GB2312" w:eastAsia="仿宋_GB2312"/>
                      <w:sz w:val="20"/>
                    </w:rPr>
                    <w:t>二次对账系统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省厅三秦</w:t>
                  </w:r>
                </w:p>
                <w:p>
                  <w:pPr>
                    <w:pStyle w:val="null3"/>
                    <w:jc w:val="center"/>
                  </w:pPr>
                  <w:r>
                    <w:rPr>
                      <w:rFonts w:ascii="仿宋_GB2312" w:hAnsi="仿宋_GB2312" w:cs="仿宋_GB2312" w:eastAsia="仿宋_GB2312"/>
                      <w:sz w:val="20"/>
                    </w:rPr>
                    <w:t>警务云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全省交通违法</w:t>
                  </w:r>
                </w:p>
                <w:p>
                  <w:pPr>
                    <w:pStyle w:val="null3"/>
                    <w:jc w:val="center"/>
                  </w:pPr>
                  <w:r>
                    <w:rPr>
                      <w:rFonts w:ascii="仿宋_GB2312" w:hAnsi="仿宋_GB2312" w:cs="仿宋_GB2312" w:eastAsia="仿宋_GB2312"/>
                      <w:sz w:val="20"/>
                    </w:rPr>
                    <w:t>分析研判系统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省厅三秦</w:t>
                  </w:r>
                </w:p>
                <w:p>
                  <w:pPr>
                    <w:pStyle w:val="null3"/>
                    <w:jc w:val="center"/>
                  </w:pPr>
                  <w:r>
                    <w:rPr>
                      <w:rFonts w:ascii="仿宋_GB2312" w:hAnsi="仿宋_GB2312" w:cs="仿宋_GB2312" w:eastAsia="仿宋_GB2312"/>
                      <w:sz w:val="20"/>
                    </w:rPr>
                    <w:t>警务云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w:t>
                  </w:r>
                  <w:r>
                    <w:rPr>
                      <w:rFonts w:ascii="仿宋_GB2312" w:hAnsi="仿宋_GB2312" w:cs="仿宋_GB2312" w:eastAsia="仿宋_GB2312"/>
                      <w:sz w:val="20"/>
                    </w:rPr>
                    <w:t>“三客两危一隧道”智能管理服务平台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省级政</w:t>
                  </w:r>
                </w:p>
                <w:p>
                  <w:pPr>
                    <w:pStyle w:val="null3"/>
                    <w:jc w:val="center"/>
                  </w:pPr>
                  <w:r>
                    <w:rPr>
                      <w:rFonts w:ascii="仿宋_GB2312" w:hAnsi="仿宋_GB2312" w:cs="仿宋_GB2312" w:eastAsia="仿宋_GB2312"/>
                      <w:sz w:val="20"/>
                    </w:rPr>
                    <w:t>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全省公安交警</w:t>
                  </w:r>
                </w:p>
                <w:p>
                  <w:pPr>
                    <w:pStyle w:val="null3"/>
                    <w:jc w:val="center"/>
                  </w:pPr>
                  <w:r>
                    <w:rPr>
                      <w:rFonts w:ascii="仿宋_GB2312" w:hAnsi="仿宋_GB2312" w:cs="仿宋_GB2312" w:eastAsia="仿宋_GB2312"/>
                      <w:sz w:val="20"/>
                    </w:rPr>
                    <w:t>警务通系统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省厅三秦</w:t>
                  </w:r>
                </w:p>
                <w:p>
                  <w:pPr>
                    <w:pStyle w:val="null3"/>
                    <w:jc w:val="center"/>
                  </w:pPr>
                  <w:r>
                    <w:rPr>
                      <w:rFonts w:ascii="仿宋_GB2312" w:hAnsi="仿宋_GB2312" w:cs="仿宋_GB2312" w:eastAsia="仿宋_GB2312"/>
                      <w:sz w:val="20"/>
                    </w:rPr>
                    <w:t>警务云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全省交通事故分析</w:t>
                  </w:r>
                </w:p>
                <w:p>
                  <w:pPr>
                    <w:pStyle w:val="null3"/>
                    <w:jc w:val="center"/>
                  </w:pPr>
                  <w:r>
                    <w:rPr>
                      <w:rFonts w:ascii="仿宋_GB2312" w:hAnsi="仿宋_GB2312" w:cs="仿宋_GB2312" w:eastAsia="仿宋_GB2312"/>
                      <w:sz w:val="20"/>
                    </w:rPr>
                    <w:t>研判系统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省厅三秦</w:t>
                  </w:r>
                </w:p>
                <w:p>
                  <w:pPr>
                    <w:pStyle w:val="null3"/>
                    <w:jc w:val="center"/>
                  </w:pPr>
                  <w:r>
                    <w:rPr>
                      <w:rFonts w:ascii="仿宋_GB2312" w:hAnsi="仿宋_GB2312" w:cs="仿宋_GB2312" w:eastAsia="仿宋_GB2312"/>
                      <w:sz w:val="20"/>
                    </w:rPr>
                    <w:t>警务云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事故处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陕西省公安交警</w:t>
                  </w:r>
                </w:p>
                <w:p>
                  <w:pPr>
                    <w:pStyle w:val="null3"/>
                    <w:jc w:val="center"/>
                  </w:pPr>
                  <w:r>
                    <w:rPr>
                      <w:rFonts w:ascii="仿宋_GB2312" w:hAnsi="仿宋_GB2312" w:cs="仿宋_GB2312" w:eastAsia="仿宋_GB2312"/>
                      <w:sz w:val="20"/>
                    </w:rPr>
                    <w:t>行政事业收费</w:t>
                  </w:r>
                </w:p>
                <w:p>
                  <w:pPr>
                    <w:pStyle w:val="null3"/>
                    <w:jc w:val="center"/>
                  </w:pPr>
                  <w:r>
                    <w:rPr>
                      <w:rFonts w:ascii="仿宋_GB2312" w:hAnsi="仿宋_GB2312" w:cs="仿宋_GB2312" w:eastAsia="仿宋_GB2312"/>
                      <w:sz w:val="20"/>
                    </w:rPr>
                    <w:t>管理系统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省厅三秦</w:t>
                  </w:r>
                </w:p>
                <w:p>
                  <w:pPr>
                    <w:pStyle w:val="null3"/>
                    <w:jc w:val="center"/>
                  </w:pPr>
                  <w:r>
                    <w:rPr>
                      <w:rFonts w:ascii="仿宋_GB2312" w:hAnsi="仿宋_GB2312" w:cs="仿宋_GB2312" w:eastAsia="仿宋_GB2312"/>
                      <w:sz w:val="20"/>
                    </w:rPr>
                    <w:t>警务云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特勤</w:t>
                  </w:r>
                </w:p>
                <w:p>
                  <w:pPr>
                    <w:pStyle w:val="null3"/>
                    <w:jc w:val="center"/>
                  </w:pPr>
                  <w:r>
                    <w:rPr>
                      <w:rFonts w:ascii="仿宋_GB2312" w:hAnsi="仿宋_GB2312" w:cs="仿宋_GB2312" w:eastAsia="仿宋_GB2312"/>
                      <w:sz w:val="20"/>
                    </w:rPr>
                    <w:t>支队</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全省机动车号牌</w:t>
                  </w:r>
                </w:p>
                <w:p>
                  <w:pPr>
                    <w:pStyle w:val="null3"/>
                    <w:jc w:val="center"/>
                  </w:pPr>
                  <w:r>
                    <w:rPr>
                      <w:rFonts w:ascii="仿宋_GB2312" w:hAnsi="仿宋_GB2312" w:cs="仿宋_GB2312" w:eastAsia="仿宋_GB2312"/>
                      <w:sz w:val="20"/>
                    </w:rPr>
                    <w:t>管理系统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省厅三秦警务云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特勤</w:t>
                  </w:r>
                </w:p>
                <w:p>
                  <w:pPr>
                    <w:pStyle w:val="null3"/>
                    <w:jc w:val="center"/>
                  </w:pPr>
                  <w:r>
                    <w:rPr>
                      <w:rFonts w:ascii="仿宋_GB2312" w:hAnsi="仿宋_GB2312" w:cs="仿宋_GB2312" w:eastAsia="仿宋_GB2312"/>
                      <w:sz w:val="20"/>
                    </w:rPr>
                    <w:t>支队</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情指行一体化平台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 xml:space="preserve">4F </w:t>
                  </w:r>
                  <w:r>
                    <w:rPr>
                      <w:rFonts w:ascii="仿宋_GB2312" w:hAnsi="仿宋_GB2312" w:cs="仿宋_GB2312" w:eastAsia="仿宋_GB2312"/>
                      <w:sz w:val="20"/>
                    </w:rPr>
                    <w:t>信息机房</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指挥</w:t>
                  </w:r>
                </w:p>
                <w:p>
                  <w:pPr>
                    <w:pStyle w:val="null3"/>
                    <w:jc w:val="center"/>
                  </w:pPr>
                  <w:r>
                    <w:rPr>
                      <w:rFonts w:ascii="仿宋_GB2312" w:hAnsi="仿宋_GB2312" w:cs="仿宋_GB2312" w:eastAsia="仿宋_GB2312"/>
                      <w:sz w:val="20"/>
                    </w:rPr>
                    <w:t>中心</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陕西省电动自</w:t>
                  </w:r>
                </w:p>
                <w:p>
                  <w:pPr>
                    <w:pStyle w:val="null3"/>
                    <w:jc w:val="center"/>
                  </w:pPr>
                  <w:r>
                    <w:rPr>
                      <w:rFonts w:ascii="仿宋_GB2312" w:hAnsi="仿宋_GB2312" w:cs="仿宋_GB2312" w:eastAsia="仿宋_GB2312"/>
                      <w:sz w:val="20"/>
                    </w:rPr>
                    <w:t>行车管理平台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省级政</w:t>
                  </w:r>
                </w:p>
                <w:p>
                  <w:pPr>
                    <w:pStyle w:val="null3"/>
                    <w:jc w:val="center"/>
                  </w:pPr>
                  <w:r>
                    <w:rPr>
                      <w:rFonts w:ascii="仿宋_GB2312" w:hAnsi="仿宋_GB2312" w:cs="仿宋_GB2312" w:eastAsia="仿宋_GB2312"/>
                      <w:sz w:val="20"/>
                    </w:rPr>
                    <w:t>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车管处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全省公安大数据人像比对</w:t>
                  </w:r>
                </w:p>
                <w:p>
                  <w:pPr>
                    <w:pStyle w:val="null3"/>
                    <w:jc w:val="center"/>
                  </w:pPr>
                  <w:r>
                    <w:rPr>
                      <w:rFonts w:ascii="仿宋_GB2312" w:hAnsi="仿宋_GB2312" w:cs="仿宋_GB2312" w:eastAsia="仿宋_GB2312"/>
                      <w:sz w:val="20"/>
                    </w:rPr>
                    <w:t>多算法平台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公安网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省厅三秦</w:t>
                  </w:r>
                </w:p>
                <w:p>
                  <w:pPr>
                    <w:pStyle w:val="null3"/>
                    <w:jc w:val="center"/>
                  </w:pPr>
                  <w:r>
                    <w:rPr>
                      <w:rFonts w:ascii="仿宋_GB2312" w:hAnsi="仿宋_GB2312" w:cs="仿宋_GB2312" w:eastAsia="仿宋_GB2312"/>
                      <w:sz w:val="20"/>
                    </w:rPr>
                    <w:t>警务云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秩序处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满分学习教育平台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三秦政务云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公有云</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车管处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大货车安全管理平台</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电子政</w:t>
                  </w:r>
                </w:p>
                <w:p>
                  <w:pPr>
                    <w:pStyle w:val="null3"/>
                    <w:jc w:val="center"/>
                  </w:pPr>
                  <w:r>
                    <w:rPr>
                      <w:rFonts w:ascii="仿宋_GB2312" w:hAnsi="仿宋_GB2312" w:cs="仿宋_GB2312" w:eastAsia="仿宋_GB2312"/>
                      <w:sz w:val="20"/>
                    </w:rPr>
                    <w:t>务外网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1F数据</w:t>
                  </w:r>
                </w:p>
                <w:p>
                  <w:pPr>
                    <w:pStyle w:val="null3"/>
                    <w:jc w:val="center"/>
                  </w:pPr>
                  <w:r>
                    <w:rPr>
                      <w:rFonts w:ascii="仿宋_GB2312" w:hAnsi="仿宋_GB2312" w:cs="仿宋_GB2312" w:eastAsia="仿宋_GB2312"/>
                      <w:sz w:val="20"/>
                    </w:rPr>
                    <w:t>中心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车管处</w:t>
                  </w:r>
                </w:p>
              </w:tc>
            </w:tr>
            <w:tr>
              <w:tc>
                <w:tcPr>
                  <w:tcW w:type="dxa" w:w="1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8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其他总队自建信息化系统</w:t>
                  </w:r>
                </w:p>
              </w:tc>
              <w:tc>
                <w:tcPr>
                  <w:tcW w:type="dxa" w:w="2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电子政</w:t>
                  </w:r>
                </w:p>
                <w:p>
                  <w:pPr>
                    <w:pStyle w:val="null3"/>
                    <w:jc w:val="center"/>
                  </w:pPr>
                  <w:r>
                    <w:rPr>
                      <w:rFonts w:ascii="仿宋_GB2312" w:hAnsi="仿宋_GB2312" w:cs="仿宋_GB2312" w:eastAsia="仿宋_GB2312"/>
                      <w:sz w:val="20"/>
                    </w:rPr>
                    <w:t>务外网</w:t>
                  </w:r>
                </w:p>
              </w:tc>
              <w:tc>
                <w:tcPr>
                  <w:tcW w:type="dxa" w:w="2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自建</w:t>
                  </w:r>
                </w:p>
              </w:tc>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1F数据</w:t>
                  </w:r>
                </w:p>
                <w:p>
                  <w:pPr>
                    <w:pStyle w:val="null3"/>
                    <w:jc w:val="center"/>
                  </w:pPr>
                  <w:r>
                    <w:rPr>
                      <w:rFonts w:ascii="仿宋_GB2312" w:hAnsi="仿宋_GB2312" w:cs="仿宋_GB2312" w:eastAsia="仿宋_GB2312"/>
                      <w:sz w:val="20"/>
                    </w:rPr>
                    <w:t>中心</w:t>
                  </w:r>
                </w:p>
              </w:tc>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车管处</w:t>
                  </w:r>
                </w:p>
              </w:tc>
            </w:tr>
          </w:tbl>
          <w:p>
            <w:pPr>
              <w:pStyle w:val="null3"/>
              <w:spacing w:before="285" w:after="285"/>
              <w:ind w:left="1920"/>
              <w:jc w:val="both"/>
              <w:outlineLvl w:val="4"/>
            </w:pPr>
            <w:r>
              <w:rPr>
                <w:rFonts w:ascii="仿宋_GB2312" w:hAnsi="仿宋_GB2312" w:cs="仿宋_GB2312" w:eastAsia="仿宋_GB2312"/>
                <w:sz w:val="20"/>
                <w:b/>
              </w:rPr>
              <w:t>二、</w:t>
            </w:r>
            <w:r>
              <w:rPr>
                <w:rFonts w:ascii="仿宋_GB2312" w:hAnsi="仿宋_GB2312" w:cs="仿宋_GB2312" w:eastAsia="仿宋_GB2312"/>
                <w:sz w:val="20"/>
                <w:b/>
              </w:rPr>
              <w:t>等保主要内容</w:t>
            </w:r>
          </w:p>
          <w:p>
            <w:pPr>
              <w:pStyle w:val="null3"/>
              <w:ind w:firstLine="482"/>
            </w:pPr>
            <w:r>
              <w:rPr>
                <w:rFonts w:ascii="仿宋_GB2312" w:hAnsi="仿宋_GB2312" w:cs="仿宋_GB2312" w:eastAsia="仿宋_GB2312"/>
                <w:sz w:val="20"/>
                <w:b/>
              </w:rPr>
              <w:t>(一)总体要求</w:t>
            </w:r>
          </w:p>
          <w:p>
            <w:pPr>
              <w:pStyle w:val="null3"/>
              <w:ind w:firstLine="480"/>
            </w:pPr>
            <w:r>
              <w:rPr>
                <w:rFonts w:ascii="仿宋_GB2312" w:hAnsi="仿宋_GB2312" w:cs="仿宋_GB2312" w:eastAsia="仿宋_GB2312"/>
                <w:sz w:val="20"/>
              </w:rPr>
              <w:t>根据国家《信息安全等级保护管理办法》</w:t>
            </w:r>
            <w:r>
              <w:rPr>
                <w:rFonts w:ascii="仿宋_GB2312" w:hAnsi="仿宋_GB2312" w:cs="仿宋_GB2312" w:eastAsia="仿宋_GB2312"/>
                <w:sz w:val="20"/>
              </w:rPr>
              <w:t>(公通字〔2007〕43号)与《信息安全技术 网络安全等级保护基本要求》GB/T22239-2019要求，等级测评工作须覆盖安全物理环境、安全通信网络、安全区域边界、安全计算环境、安全管理中心、安全管理制度、安全管理机构、安全管理人员、安全建设管理、安全运维管理等方面的内容，并根据现场实际情况完成风险分析工作,最终为完善等级保护安全防护体系提供指导依据。</w:t>
            </w:r>
          </w:p>
          <w:p>
            <w:pPr>
              <w:pStyle w:val="null3"/>
              <w:ind w:firstLine="482"/>
            </w:pPr>
            <w:r>
              <w:rPr>
                <w:rFonts w:ascii="仿宋_GB2312" w:hAnsi="仿宋_GB2312" w:cs="仿宋_GB2312" w:eastAsia="仿宋_GB2312"/>
                <w:sz w:val="20"/>
                <w:b/>
              </w:rPr>
              <w:t>(二)第一阶段：等级保护</w:t>
            </w:r>
          </w:p>
          <w:p>
            <w:pPr>
              <w:pStyle w:val="null3"/>
              <w:ind w:firstLine="480"/>
            </w:pPr>
            <w:r>
              <w:rPr>
                <w:rFonts w:ascii="仿宋_GB2312" w:hAnsi="仿宋_GB2312" w:cs="仿宋_GB2312" w:eastAsia="仿宋_GB2312"/>
                <w:sz w:val="20"/>
              </w:rPr>
              <w:t>信息安全等级保护工作共分为五步，分别是：</w:t>
            </w:r>
            <w:r>
              <w:rPr>
                <w:rFonts w:ascii="仿宋_GB2312" w:hAnsi="仿宋_GB2312" w:cs="仿宋_GB2312" w:eastAsia="仿宋_GB2312"/>
                <w:sz w:val="20"/>
              </w:rPr>
              <w:t>“定级、备案、建设整改、等级测评、监督检查”。该项目主要完成系统的安全测评工作，依据安全技术和安全管理两个方面的测评要求，分别从安全物理环境、安全通信网络、安全区域边界、安全计算环境、安全管理中心、安全管理制度、安全管理机构、安全管理人员、安全建设管理、安全运维管理十个安全类别进行安全测评。</w:t>
            </w:r>
          </w:p>
          <w:p>
            <w:pPr>
              <w:pStyle w:val="null3"/>
              <w:ind w:firstLine="480"/>
            </w:pPr>
            <w:r>
              <w:rPr>
                <w:rFonts w:ascii="仿宋_GB2312" w:hAnsi="仿宋_GB2312" w:cs="仿宋_GB2312" w:eastAsia="仿宋_GB2312"/>
                <w:sz w:val="20"/>
              </w:rPr>
              <w:t>1.定级要求：</w:t>
            </w:r>
          </w:p>
          <w:p>
            <w:pPr>
              <w:pStyle w:val="null3"/>
              <w:ind w:firstLine="480"/>
            </w:pPr>
            <w:r>
              <w:rPr>
                <w:rFonts w:ascii="仿宋_GB2312" w:hAnsi="仿宋_GB2312" w:cs="仿宋_GB2312" w:eastAsia="仿宋_GB2312"/>
                <w:sz w:val="20"/>
              </w:rPr>
              <w:t>该项工作开展的主要依据是《网络安全等级保护定级指南》（</w:t>
            </w:r>
            <w:r>
              <w:rPr>
                <w:rFonts w:ascii="仿宋_GB2312" w:hAnsi="仿宋_GB2312" w:cs="仿宋_GB2312" w:eastAsia="仿宋_GB2312"/>
                <w:sz w:val="20"/>
              </w:rPr>
              <w:t>GB/T 22240-2020）确定系统等级。</w:t>
            </w:r>
          </w:p>
          <w:p>
            <w:pPr>
              <w:pStyle w:val="null3"/>
              <w:ind w:firstLine="480"/>
            </w:pPr>
            <w:r>
              <w:rPr>
                <w:rFonts w:ascii="仿宋_GB2312" w:hAnsi="仿宋_GB2312" w:cs="仿宋_GB2312" w:eastAsia="仿宋_GB2312"/>
                <w:sz w:val="20"/>
              </w:rPr>
              <w:t>2.备案：</w:t>
            </w:r>
          </w:p>
          <w:p>
            <w:pPr>
              <w:pStyle w:val="null3"/>
              <w:ind w:firstLine="480"/>
            </w:pPr>
            <w:r>
              <w:rPr>
                <w:rFonts w:ascii="仿宋_GB2312" w:hAnsi="仿宋_GB2312" w:cs="仿宋_GB2312" w:eastAsia="仿宋_GB2312"/>
                <w:sz w:val="20"/>
              </w:rPr>
              <w:t>信息系统的安全保护等级确定后，二级以上（含二级）信息系统的运营使用单位或主管部门应到属地公安机关办理备案手续。按照国家政策要求，跨省或者全国统一联网运行的信息系统在各地运行、应用的分支系统，向当地设区的市级以上公安机关备案。该项目系统应向归属地网络安全监察支队申请重要信息系统备案。</w:t>
            </w:r>
          </w:p>
          <w:p>
            <w:pPr>
              <w:pStyle w:val="null3"/>
              <w:ind w:firstLine="480"/>
            </w:pPr>
            <w:r>
              <w:rPr>
                <w:rFonts w:ascii="仿宋_GB2312" w:hAnsi="仿宋_GB2312" w:cs="仿宋_GB2312" w:eastAsia="仿宋_GB2312"/>
                <w:sz w:val="20"/>
              </w:rPr>
              <w:t>完成备案的信息系统，将获得公安机关颁发的《信息系统安全等级保护备案证明》。</w:t>
            </w:r>
          </w:p>
          <w:p>
            <w:pPr>
              <w:pStyle w:val="null3"/>
              <w:ind w:firstLine="480"/>
            </w:pPr>
            <w:r>
              <w:rPr>
                <w:rFonts w:ascii="仿宋_GB2312" w:hAnsi="仿宋_GB2312" w:cs="仿宋_GB2312" w:eastAsia="仿宋_GB2312"/>
                <w:sz w:val="20"/>
              </w:rPr>
              <w:t>3.等级保护测评要求：</w:t>
            </w:r>
          </w:p>
          <w:p>
            <w:pPr>
              <w:pStyle w:val="null3"/>
              <w:ind w:firstLine="480"/>
            </w:pPr>
            <w:r>
              <w:rPr>
                <w:rFonts w:ascii="仿宋_GB2312" w:hAnsi="仿宋_GB2312" w:cs="仿宋_GB2312" w:eastAsia="仿宋_GB2312"/>
                <w:sz w:val="20"/>
              </w:rPr>
              <w:t>供应商在测评过程中要求按照《计算机信息系统安全保护等级划分准则》（</w:t>
            </w:r>
            <w:r>
              <w:rPr>
                <w:rFonts w:ascii="仿宋_GB2312" w:hAnsi="仿宋_GB2312" w:cs="仿宋_GB2312" w:eastAsia="仿宋_GB2312"/>
                <w:sz w:val="20"/>
              </w:rPr>
              <w:t>GB17859-1999）、《信息安全技术 网络安全等级保护实施指南》（GB/T25058-2019）、《信息安全技术 网络安全等级保护基本要求》（GB/T22239-2019）、《信息安全技术 网络安全等级保护测评要求》（GB/T28448-2019）、《信息安全技术 网络安全等级保护测评过程指南》（GB/T28449-2018）等相关的标准规范开展等级测评工作，对系统的安全物理环境、安全通信网络、安全区域边界、安全计算环境、安全管理中心、安全管理制度、安全管理机构、安全管理人员、安全建设管理、安全运维管理共10个层面进行安全等级保护测评。测评指标如下：</w:t>
            </w:r>
          </w:p>
          <w:p>
            <w:pPr>
              <w:pStyle w:val="null3"/>
              <w:jc w:val="center"/>
            </w:pPr>
            <w:r>
              <w:rPr>
                <w:rFonts w:ascii="仿宋_GB2312" w:hAnsi="仿宋_GB2312" w:cs="仿宋_GB2312" w:eastAsia="仿宋_GB2312"/>
                <w:sz w:val="20"/>
              </w:rPr>
              <w:t>第三级：系统测评指标表</w:t>
            </w:r>
          </w:p>
          <w:tbl>
            <w:tblPr>
              <w:tblBorders>
                <w:top w:val="none" w:color="000000" w:sz="4"/>
                <w:left w:val="none" w:color="000000" w:sz="4"/>
                <w:bottom w:val="none" w:color="000000" w:sz="4"/>
                <w:right w:val="none" w:color="000000" w:sz="4"/>
                <w:insideH w:val="none"/>
                <w:insideV w:val="none"/>
              </w:tblBorders>
            </w:tblPr>
            <w:tblGrid>
              <w:gridCol w:w="375"/>
              <w:gridCol w:w="752"/>
              <w:gridCol w:w="220"/>
              <w:gridCol w:w="224"/>
              <w:gridCol w:w="229"/>
              <w:gridCol w:w="334"/>
              <w:gridCol w:w="420"/>
            </w:tblGrid>
            <w:tr>
              <w:tc>
                <w:tcPr>
                  <w:tcW w:type="dxa" w:w="2554"/>
                  <w:gridSpan w:val="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测评指标</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技术管理</w:t>
                  </w:r>
                </w:p>
              </w:tc>
              <w:tc>
                <w:tcPr>
                  <w:tcW w:type="dxa" w:w="75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安全类</w:t>
                  </w:r>
                </w:p>
              </w:tc>
              <w:tc>
                <w:tcPr>
                  <w:tcW w:type="dxa" w:w="1007"/>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安全控制点数量</w:t>
                  </w:r>
                </w:p>
              </w:tc>
              <w:tc>
                <w:tcPr>
                  <w:tcW w:type="dxa" w:w="420"/>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测评项数量</w:t>
                  </w:r>
                </w:p>
              </w:tc>
            </w:tr>
            <w:tr>
              <w:tc>
                <w:tcPr>
                  <w:tcW w:type="dxa" w:w="375"/>
                  <w:vMerge/>
                  <w:tcBorders>
                    <w:top w:val="none" w:color="000000" w:sz="4"/>
                    <w:left w:val="single" w:color="000000" w:sz="4"/>
                    <w:bottom w:val="single" w:color="000000" w:sz="4"/>
                    <w:right w:val="single" w:color="000000" w:sz="4"/>
                  </w:tcBorders>
                </w:tcPr>
                <w:p/>
              </w:tc>
              <w:tc>
                <w:tcPr>
                  <w:tcW w:type="dxa" w:w="752"/>
                  <w:vMerge/>
                  <w:tcBorders>
                    <w:top w:val="single" w:color="000000" w:sz="4"/>
                    <w:left w:val="none" w:color="000000" w:sz="4"/>
                    <w:bottom w:val="single" w:color="000000" w:sz="4"/>
                    <w:right w:val="single" w:color="000000" w:sz="4"/>
                  </w:tcBorders>
                </w:tcP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w:t>
                  </w:r>
                </w:p>
              </w:tc>
              <w:tc>
                <w:tcPr>
                  <w:tcW w:type="dxa" w:w="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w:t>
                  </w: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小计</w:t>
                  </w:r>
                </w:p>
              </w:tc>
              <w:tc>
                <w:tcPr>
                  <w:tcW w:type="dxa" w:w="420"/>
                  <w:vMerge/>
                  <w:tcBorders>
                    <w:top w:val="single" w:color="000000" w:sz="4"/>
                    <w:left w:val="none" w:color="000000" w:sz="4"/>
                    <w:bottom w:val="single" w:color="000000" w:sz="4"/>
                    <w:right w:val="single" w:color="000000" w:sz="4"/>
                  </w:tcBorders>
                </w:tcP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安全技术要求</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安全物理环境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r>
            <w:tr>
              <w:tc>
                <w:tcPr>
                  <w:tcW w:type="dxa" w:w="375"/>
                  <w:vMerge/>
                  <w:tcBorders>
                    <w:top w:val="none" w:color="000000" w:sz="4"/>
                    <w:left w:val="singl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安全通信网络</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r>
            <w:tr>
              <w:tc>
                <w:tcPr>
                  <w:tcW w:type="dxa" w:w="375"/>
                  <w:vMerge/>
                  <w:tcBorders>
                    <w:top w:val="none" w:color="000000" w:sz="4"/>
                    <w:left w:val="singl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安全区域边界</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r>
            <w:tr>
              <w:tc>
                <w:tcPr>
                  <w:tcW w:type="dxa" w:w="375"/>
                  <w:vMerge/>
                  <w:tcBorders>
                    <w:top w:val="none" w:color="000000" w:sz="4"/>
                    <w:left w:val="singl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安全计算环境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r>
            <w:tr>
              <w:tc>
                <w:tcPr>
                  <w:tcW w:type="dxa" w:w="375"/>
                  <w:vMerge/>
                  <w:tcBorders>
                    <w:top w:val="none" w:color="000000" w:sz="4"/>
                    <w:left w:val="singl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安全管理中心</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37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安全管理要求</w:t>
                  </w: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安全管理制度</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375"/>
                  <w:vMerge/>
                  <w:tcBorders>
                    <w:top w:val="none" w:color="000000" w:sz="4"/>
                    <w:left w:val="singl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安全管理机构</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r>
            <w:tr>
              <w:tc>
                <w:tcPr>
                  <w:tcW w:type="dxa" w:w="375"/>
                  <w:vMerge/>
                  <w:tcBorders>
                    <w:top w:val="none" w:color="000000" w:sz="4"/>
                    <w:left w:val="singl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安全管理人员</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r>
            <w:tr>
              <w:tc>
                <w:tcPr>
                  <w:tcW w:type="dxa" w:w="375"/>
                  <w:vMerge/>
                  <w:tcBorders>
                    <w:top w:val="none" w:color="000000" w:sz="4"/>
                    <w:left w:val="singl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安全建设管理</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r>
            <w:tr>
              <w:tc>
                <w:tcPr>
                  <w:tcW w:type="dxa" w:w="375"/>
                  <w:vMerge/>
                  <w:tcBorders>
                    <w:top w:val="none" w:color="000000" w:sz="4"/>
                    <w:left w:val="single" w:color="000000" w:sz="4"/>
                    <w:bottom w:val="single" w:color="000000" w:sz="4"/>
                    <w:right w:val="single" w:color="000000" w:sz="4"/>
                  </w:tcBorders>
                </w:tcPr>
                <w:p/>
              </w:tc>
              <w:tc>
                <w:tcPr>
                  <w:tcW w:type="dxa" w:w="7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安全运维管理</w:t>
                  </w:r>
                </w:p>
              </w:tc>
              <w:tc>
                <w:tcPr>
                  <w:tcW w:type="dxa" w:w="2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0</w:t>
                  </w:r>
                </w:p>
              </w:tc>
              <w:tc>
                <w:tcPr>
                  <w:tcW w:type="dxa" w:w="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r>
            <w:tr>
              <w:tc>
                <w:tcPr>
                  <w:tcW w:type="dxa" w:w="180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4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211</w:t>
                  </w:r>
                </w:p>
              </w:tc>
            </w:tr>
          </w:tbl>
          <w:p>
            <w:pPr>
              <w:pStyle w:val="null3"/>
              <w:jc w:val="center"/>
            </w:pPr>
            <w:r>
              <w:rPr>
                <w:rFonts w:ascii="仿宋_GB2312" w:hAnsi="仿宋_GB2312" w:cs="仿宋_GB2312" w:eastAsia="仿宋_GB2312"/>
                <w:sz w:val="20"/>
              </w:rPr>
              <w:t>第三级：系统测评指标要求项表</w:t>
            </w:r>
          </w:p>
          <w:tbl>
            <w:tblPr>
              <w:tblBorders>
                <w:top w:val="none" w:color="000000" w:sz="4"/>
                <w:left w:val="none" w:color="000000" w:sz="4"/>
                <w:bottom w:val="none" w:color="000000" w:sz="4"/>
                <w:right w:val="none" w:color="000000" w:sz="4"/>
                <w:insideH w:val="none"/>
                <w:insideV w:val="none"/>
              </w:tblBorders>
            </w:tblPr>
            <w:tblGrid>
              <w:gridCol w:w="710"/>
              <w:gridCol w:w="1140"/>
              <w:gridCol w:w="697"/>
            </w:tblGrid>
            <w:tr>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安全类</w:t>
                  </w:r>
                </w:p>
              </w:tc>
              <w:tc>
                <w:tcPr>
                  <w:tcW w:type="dxa" w:w="11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安全控制点</w:t>
                  </w:r>
                </w:p>
              </w:tc>
              <w:tc>
                <w:tcPr>
                  <w:tcW w:type="dxa" w:w="6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测评项数</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安全物理环境</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物理位置的选择（</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物理访问控制（</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防盗窃和防破坏（</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防雷击（</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防火（</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防水和防潮（</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防静电（</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温湿度控制（</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电力供应（</w:t>
                  </w:r>
                  <w:r>
                    <w:rPr>
                      <w:rFonts w:ascii="仿宋_GB2312" w:hAnsi="仿宋_GB2312" w:cs="仿宋_GB2312" w:eastAsia="仿宋_GB2312"/>
                      <w:sz w:val="20"/>
                    </w:rPr>
                    <w:t>A3）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电磁防护（</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安全通信网络</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网络架构（</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通信传输（</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可信验证（</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安全区域边界</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边界防护（</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访问控制（</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入侵防范（</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可信验证（</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恶意代码防范（</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安全审计（</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安全计算环境</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身份鉴别（</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访问控制（</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安全审计（</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可信验证（</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入侵防范（</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恶意代码防范（</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数据完整性（</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数据保密性（</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数据备份恢复（</w:t>
                  </w:r>
                  <w:r>
                    <w:rPr>
                      <w:rFonts w:ascii="仿宋_GB2312" w:hAnsi="仿宋_GB2312" w:cs="仿宋_GB2312" w:eastAsia="仿宋_GB2312"/>
                      <w:sz w:val="20"/>
                    </w:rPr>
                    <w:t>A3）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剩余信息保护（</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个人信息保护（</w:t>
                  </w:r>
                  <w:r>
                    <w:rPr>
                      <w:rFonts w:ascii="仿宋_GB2312" w:hAnsi="仿宋_GB2312" w:cs="仿宋_GB2312" w:eastAsia="仿宋_GB2312"/>
                      <w:sz w:val="20"/>
                    </w:rPr>
                    <w:t>S3）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安全管理中心</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审计管理（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集中管控（</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安全管理制度</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安全策略（</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管理制度（</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制定和发布（</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评审和修订（</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安全管理机构</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岗位设置（</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人员配备（</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授权和审批（</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沟通和合作（</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审核和检查（</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安全管理人员</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人员录用（</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人员离岗（</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安全意识教育和培训（</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外部人员访问管理（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安全建设管理</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定级和备案（</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安全方案设计（</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产品采购和使用（</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自行软件开发（</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外包软件开发（</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工程实施（</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测试验收（</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系统交付（</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等级测评（</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服务供应商管理（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安全运维管理</w:t>
                  </w: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环境管理（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资产管理（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介质管理（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设备维护管理（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漏洞和风险管理（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网络与系统安全管理（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恶意代码防范管理（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配置管理（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密码管理（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变更管理（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备份与恢复管理（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安全事件处置（</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应急预案管理（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r>
              <w:tc>
                <w:tcPr>
                  <w:tcW w:type="dxa" w:w="710"/>
                  <w:vMerge/>
                  <w:tcBorders>
                    <w:top w:val="none" w:color="000000" w:sz="4"/>
                    <w:left w:val="single" w:color="000000" w:sz="4"/>
                    <w:bottom w:val="single" w:color="000000" w:sz="4"/>
                    <w:right w:val="single" w:color="000000" w:sz="4"/>
                  </w:tcBorders>
                </w:tcPr>
                <w:p/>
              </w:tc>
              <w:tc>
                <w:tcPr>
                  <w:tcW w:type="dxa" w:w="11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外包运维管理（</w:t>
                  </w:r>
                  <w:r>
                    <w:rPr>
                      <w:rFonts w:ascii="仿宋_GB2312" w:hAnsi="仿宋_GB2312" w:cs="仿宋_GB2312" w:eastAsia="仿宋_GB2312"/>
                      <w:sz w:val="20"/>
                    </w:rPr>
                    <w:t>G3）</w:t>
                  </w:r>
                </w:p>
              </w:tc>
              <w:tc>
                <w:tcPr>
                  <w:tcW w:type="dxa" w:w="6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r>
          </w:tbl>
          <w:p>
            <w:pPr>
              <w:pStyle w:val="null3"/>
              <w:spacing w:before="435" w:after="435"/>
              <w:ind w:left="420"/>
              <w:jc w:val="left"/>
            </w:pPr>
            <w:r>
              <w:rPr>
                <w:rFonts w:ascii="仿宋_GB2312" w:hAnsi="仿宋_GB2312" w:cs="仿宋_GB2312" w:eastAsia="仿宋_GB2312"/>
                <w:sz w:val="20"/>
                <w:b/>
              </w:rPr>
              <w:t>(三)第二阶段：渗透测试</w:t>
            </w:r>
            <w:r>
              <w:rPr>
                <w:rFonts w:ascii="仿宋_GB2312" w:hAnsi="仿宋_GB2312" w:cs="仿宋_GB2312" w:eastAsia="仿宋_GB2312"/>
                <w:sz w:val="20"/>
                <w:b/>
              </w:rPr>
              <w:t>（三级）</w:t>
            </w:r>
          </w:p>
          <w:p>
            <w:pPr>
              <w:pStyle w:val="null3"/>
              <w:ind w:firstLine="480"/>
            </w:pPr>
            <w:r>
              <w:rPr>
                <w:rFonts w:ascii="仿宋_GB2312" w:hAnsi="仿宋_GB2312" w:cs="仿宋_GB2312" w:eastAsia="仿宋_GB2312"/>
                <w:sz w:val="20"/>
              </w:rPr>
              <w:t>渗透测试是通过模拟恶意黑客的攻击方法，来对计算机网络的安全性进行检测评估的过程。对系统和网络进行非破坏性质的攻击性测试，尝试侵入系统，获取系统控制权并将入侵的过程和细节产生报告给</w:t>
            </w:r>
            <w:r>
              <w:rPr>
                <w:rFonts w:ascii="仿宋_GB2312" w:hAnsi="仿宋_GB2312" w:cs="仿宋_GB2312" w:eastAsia="仿宋_GB2312"/>
                <w:sz w:val="20"/>
              </w:rPr>
              <w:t>建设单位</w:t>
            </w:r>
            <w:r>
              <w:rPr>
                <w:rFonts w:ascii="仿宋_GB2312" w:hAnsi="仿宋_GB2312" w:cs="仿宋_GB2312" w:eastAsia="仿宋_GB2312"/>
                <w:sz w:val="20"/>
              </w:rPr>
              <w:t>，由此证实</w:t>
            </w:r>
            <w:r>
              <w:rPr>
                <w:rFonts w:ascii="仿宋_GB2312" w:hAnsi="仿宋_GB2312" w:cs="仿宋_GB2312" w:eastAsia="仿宋_GB2312"/>
                <w:sz w:val="20"/>
              </w:rPr>
              <w:t>建设单位</w:t>
            </w:r>
            <w:r>
              <w:rPr>
                <w:rFonts w:ascii="仿宋_GB2312" w:hAnsi="仿宋_GB2312" w:cs="仿宋_GB2312" w:eastAsia="仿宋_GB2312"/>
                <w:sz w:val="20"/>
              </w:rPr>
              <w:t>所存在的安全威胁和风险，及时提示开发人员修复安全漏洞，提醒安全管理员完善安全策略，提升系统安全防护能力。通过这种方法，可以发现系统面临和暴露的安全问题，同时渗透测试也是对安全措施有效性的重要验证。</w:t>
            </w:r>
          </w:p>
          <w:p>
            <w:pPr>
              <w:pStyle w:val="null3"/>
              <w:ind w:firstLine="482"/>
            </w:pPr>
            <w:r>
              <w:rPr>
                <w:rFonts w:ascii="仿宋_GB2312" w:hAnsi="仿宋_GB2312" w:cs="仿宋_GB2312" w:eastAsia="仿宋_GB2312"/>
                <w:sz w:val="20"/>
                <w:b/>
              </w:rPr>
              <w:t>(四)第三阶段：建设整改咨询及安全加固（不涉及硬件）</w:t>
            </w:r>
          </w:p>
          <w:p>
            <w:pPr>
              <w:pStyle w:val="null3"/>
              <w:ind w:firstLine="480"/>
            </w:pPr>
            <w:r>
              <w:rPr>
                <w:rFonts w:ascii="仿宋_GB2312" w:hAnsi="仿宋_GB2312" w:cs="仿宋_GB2312" w:eastAsia="仿宋_GB2312"/>
                <w:sz w:val="20"/>
              </w:rPr>
              <w:t>建设整改咨询工作以等级测评和渗透检测发现的安全问题为工作重点，编写《信息系统安全建设整改建议》；将信息系统的安全建设整改需求落实到可操作的安全技术和管理上，提出能够实现的技术参数或制度及其具体规范。</w:t>
            </w:r>
          </w:p>
          <w:p>
            <w:pPr>
              <w:pStyle w:val="null3"/>
              <w:ind w:firstLine="480"/>
            </w:pPr>
            <w:r>
              <w:rPr>
                <w:rFonts w:ascii="仿宋_GB2312" w:hAnsi="仿宋_GB2312" w:cs="仿宋_GB2312" w:eastAsia="仿宋_GB2312"/>
                <w:sz w:val="20"/>
              </w:rPr>
              <w:t>建设单位</w:t>
            </w:r>
            <w:r>
              <w:rPr>
                <w:rFonts w:ascii="仿宋_GB2312" w:hAnsi="仿宋_GB2312" w:cs="仿宋_GB2312" w:eastAsia="仿宋_GB2312"/>
                <w:sz w:val="20"/>
              </w:rPr>
              <w:t>依据相关《信息系统安全建设整改建议》开展建设整改工作时，供应商将提供建设整改过程中的与建设整改相关的咨询服务。</w:t>
            </w:r>
          </w:p>
          <w:p>
            <w:pPr>
              <w:pStyle w:val="null3"/>
              <w:ind w:firstLine="480"/>
            </w:pPr>
            <w:r>
              <w:rPr>
                <w:rFonts w:ascii="仿宋_GB2312" w:hAnsi="仿宋_GB2312" w:cs="仿宋_GB2312" w:eastAsia="仿宋_GB2312"/>
                <w:sz w:val="20"/>
              </w:rPr>
              <w:t>对信息系统安全整改建议进行确认，并依照建议，</w:t>
            </w:r>
            <w:r>
              <w:rPr>
                <w:rFonts w:ascii="仿宋_GB2312" w:hAnsi="仿宋_GB2312" w:cs="仿宋_GB2312" w:eastAsia="仿宋_GB2312"/>
                <w:sz w:val="20"/>
              </w:rPr>
              <w:t>配合</w:t>
            </w:r>
            <w:r>
              <w:rPr>
                <w:rFonts w:ascii="仿宋_GB2312" w:hAnsi="仿宋_GB2312" w:cs="仿宋_GB2312" w:eastAsia="仿宋_GB2312"/>
                <w:sz w:val="20"/>
              </w:rPr>
              <w:t>采购单位进行漏洞修复</w:t>
            </w:r>
            <w:r>
              <w:rPr>
                <w:rFonts w:ascii="仿宋_GB2312" w:hAnsi="仿宋_GB2312" w:cs="仿宋_GB2312" w:eastAsia="仿宋_GB2312"/>
                <w:sz w:val="20"/>
              </w:rPr>
              <w:t>等工作。</w:t>
            </w:r>
          </w:p>
          <w:p>
            <w:pPr>
              <w:pStyle w:val="null3"/>
              <w:ind w:firstLine="482"/>
            </w:pPr>
            <w:r>
              <w:rPr>
                <w:rFonts w:ascii="仿宋_GB2312" w:hAnsi="仿宋_GB2312" w:cs="仿宋_GB2312" w:eastAsia="仿宋_GB2312"/>
                <w:sz w:val="20"/>
                <w:b/>
              </w:rPr>
              <w:t>(五)第四阶段：售后服务</w:t>
            </w:r>
          </w:p>
          <w:p>
            <w:pPr>
              <w:pStyle w:val="null3"/>
              <w:ind w:firstLine="480"/>
            </w:pPr>
            <w:r>
              <w:rPr>
                <w:rFonts w:ascii="仿宋_GB2312" w:hAnsi="仿宋_GB2312" w:cs="仿宋_GB2312" w:eastAsia="仿宋_GB2312"/>
                <w:sz w:val="20"/>
              </w:rPr>
              <w:t>为期一年的售后服务工作中，供应商将向</w:t>
            </w:r>
            <w:r>
              <w:rPr>
                <w:rFonts w:ascii="仿宋_GB2312" w:hAnsi="仿宋_GB2312" w:cs="仿宋_GB2312" w:eastAsia="仿宋_GB2312"/>
                <w:sz w:val="20"/>
              </w:rPr>
              <w:t>建设单位</w:t>
            </w:r>
            <w:r>
              <w:rPr>
                <w:rFonts w:ascii="仿宋_GB2312" w:hAnsi="仿宋_GB2312" w:cs="仿宋_GB2312" w:eastAsia="仿宋_GB2312"/>
                <w:sz w:val="20"/>
              </w:rPr>
              <w:t>提供包括应急响应、安全监测、配合检查、电话支持、安全咨询等服务在内的安全服务。具体服务内容如下：</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1）应急响应服务</w:t>
            </w:r>
          </w:p>
          <w:p>
            <w:pPr>
              <w:pStyle w:val="null3"/>
              <w:ind w:firstLine="480"/>
            </w:pPr>
            <w:r>
              <w:rPr>
                <w:rFonts w:ascii="仿宋_GB2312" w:hAnsi="仿宋_GB2312" w:cs="仿宋_GB2312" w:eastAsia="仿宋_GB2312"/>
                <w:sz w:val="20"/>
              </w:rPr>
              <w:t>针对本次项目，服务方提供</w:t>
            </w:r>
            <w:r>
              <w:rPr>
                <w:rFonts w:ascii="仿宋_GB2312" w:hAnsi="仿宋_GB2312" w:cs="仿宋_GB2312" w:eastAsia="仿宋_GB2312"/>
                <w:sz w:val="20"/>
              </w:rPr>
              <w:t>7*24的常规应急响应及灾难恢复专家服务。在接到用户故障报修电话10分钟内响应。对客户信息网络应用系统突发的信息安全事件进行响应、处理、恢复、取证、跟踪、事后分析的方法及过程。</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2）配合检查服务</w:t>
            </w:r>
          </w:p>
          <w:p>
            <w:pPr>
              <w:pStyle w:val="null3"/>
              <w:ind w:firstLine="480"/>
            </w:pPr>
            <w:r>
              <w:rPr>
                <w:rFonts w:ascii="仿宋_GB2312" w:hAnsi="仿宋_GB2312" w:cs="仿宋_GB2312" w:eastAsia="仿宋_GB2312"/>
                <w:sz w:val="20"/>
              </w:rPr>
              <w:t>供应商协助</w:t>
            </w:r>
            <w:r>
              <w:rPr>
                <w:rFonts w:ascii="仿宋_GB2312" w:hAnsi="仿宋_GB2312" w:cs="仿宋_GB2312" w:eastAsia="仿宋_GB2312"/>
                <w:sz w:val="20"/>
              </w:rPr>
              <w:t>建设单位</w:t>
            </w:r>
            <w:r>
              <w:rPr>
                <w:rFonts w:ascii="仿宋_GB2312" w:hAnsi="仿宋_GB2312" w:cs="仿宋_GB2312" w:eastAsia="仿宋_GB2312"/>
                <w:sz w:val="20"/>
              </w:rPr>
              <w:t>响应</w:t>
            </w:r>
            <w:r>
              <w:rPr>
                <w:rFonts w:ascii="仿宋_GB2312" w:hAnsi="仿宋_GB2312" w:cs="仿宋_GB2312" w:eastAsia="仿宋_GB2312"/>
                <w:sz w:val="20"/>
              </w:rPr>
              <w:t>上级单位</w:t>
            </w:r>
            <w:r>
              <w:rPr>
                <w:rFonts w:ascii="仿宋_GB2312" w:hAnsi="仿宋_GB2312" w:cs="仿宋_GB2312" w:eastAsia="仿宋_GB2312"/>
                <w:sz w:val="20"/>
              </w:rPr>
              <w:t>、单位内部以及第三方机构针对信息系统安全等级保护工作的检查工作。服务内容包括协助</w:t>
            </w:r>
            <w:r>
              <w:rPr>
                <w:rFonts w:ascii="仿宋_GB2312" w:hAnsi="仿宋_GB2312" w:cs="仿宋_GB2312" w:eastAsia="仿宋_GB2312"/>
                <w:sz w:val="20"/>
              </w:rPr>
              <w:t>建设单位</w:t>
            </w:r>
            <w:r>
              <w:rPr>
                <w:rFonts w:ascii="仿宋_GB2312" w:hAnsi="仿宋_GB2312" w:cs="仿宋_GB2312" w:eastAsia="仿宋_GB2312"/>
                <w:sz w:val="20"/>
              </w:rPr>
              <w:t>准备、完善各类资料文档，配合检查过程中的答疑及技术支持及其他现场检查的响应。</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3）电话支持服务</w:t>
            </w:r>
          </w:p>
          <w:p>
            <w:pPr>
              <w:pStyle w:val="null3"/>
              <w:ind w:firstLine="480"/>
            </w:pPr>
            <w:r>
              <w:rPr>
                <w:rFonts w:ascii="仿宋_GB2312" w:hAnsi="仿宋_GB2312" w:cs="仿宋_GB2312" w:eastAsia="仿宋_GB2312"/>
                <w:sz w:val="20"/>
              </w:rPr>
              <w:t>每周</w:t>
            </w:r>
            <w:r>
              <w:rPr>
                <w:rFonts w:ascii="仿宋_GB2312" w:hAnsi="仿宋_GB2312" w:cs="仿宋_GB2312" w:eastAsia="仿宋_GB2312"/>
                <w:sz w:val="20"/>
              </w:rPr>
              <w:t>7天/每天24小时不间断的电话支持服务，解答</w:t>
            </w:r>
            <w:r>
              <w:rPr>
                <w:rFonts w:ascii="仿宋_GB2312" w:hAnsi="仿宋_GB2312" w:cs="仿宋_GB2312" w:eastAsia="仿宋_GB2312"/>
                <w:sz w:val="20"/>
              </w:rPr>
              <w:t>建设单位</w:t>
            </w:r>
            <w:r>
              <w:rPr>
                <w:rFonts w:ascii="仿宋_GB2312" w:hAnsi="仿宋_GB2312" w:cs="仿宋_GB2312" w:eastAsia="仿宋_GB2312"/>
                <w:sz w:val="20"/>
              </w:rPr>
              <w:t>在使用过程中遇到的问题，及时提出解决问题的建议和操作方法。电话响应时间不超过</w:t>
            </w:r>
            <w:r>
              <w:rPr>
                <w:rFonts w:ascii="仿宋_GB2312" w:hAnsi="仿宋_GB2312" w:cs="仿宋_GB2312" w:eastAsia="仿宋_GB2312"/>
                <w:sz w:val="20"/>
              </w:rPr>
              <w:t>10分钟，到达现场时间不超过2小时，解决问题不超过24小时。</w:t>
            </w:r>
          </w:p>
          <w:p>
            <w:pPr>
              <w:pStyle w:val="null3"/>
              <w:ind w:firstLine="480"/>
            </w:pPr>
            <w:r>
              <w:rPr>
                <w:rFonts w:ascii="仿宋_GB2312" w:hAnsi="仿宋_GB2312" w:cs="仿宋_GB2312" w:eastAsia="仿宋_GB2312"/>
                <w:sz w:val="20"/>
              </w:rPr>
              <w:t>（</w:t>
            </w:r>
            <w:r>
              <w:rPr>
                <w:rFonts w:ascii="仿宋_GB2312" w:hAnsi="仿宋_GB2312" w:cs="仿宋_GB2312" w:eastAsia="仿宋_GB2312"/>
                <w:sz w:val="20"/>
              </w:rPr>
              <w:t>4）安全咨询服务</w:t>
            </w:r>
          </w:p>
          <w:p>
            <w:pPr>
              <w:pStyle w:val="null3"/>
              <w:ind w:firstLine="480"/>
            </w:pPr>
            <w:r>
              <w:rPr>
                <w:rFonts w:ascii="仿宋_GB2312" w:hAnsi="仿宋_GB2312" w:cs="仿宋_GB2312" w:eastAsia="仿宋_GB2312"/>
                <w:sz w:val="20"/>
              </w:rPr>
              <w:t>供应商为</w:t>
            </w:r>
            <w:r>
              <w:rPr>
                <w:rFonts w:ascii="仿宋_GB2312" w:hAnsi="仿宋_GB2312" w:cs="仿宋_GB2312" w:eastAsia="仿宋_GB2312"/>
                <w:sz w:val="20"/>
              </w:rPr>
              <w:t>建设单位</w:t>
            </w:r>
            <w:r>
              <w:rPr>
                <w:rFonts w:ascii="仿宋_GB2312" w:hAnsi="仿宋_GB2312" w:cs="仿宋_GB2312" w:eastAsia="仿宋_GB2312"/>
                <w:sz w:val="20"/>
              </w:rPr>
              <w:t>提供一年技术咨询服务，包括信息系统整改建设咨询服务以及其他相关安全咨询服务，一旦接到用户的服务请求，技术服务工程师将立即开始提供服务，帮助客户解决信息安全相关技术问题，全面配合</w:t>
            </w:r>
            <w:r>
              <w:rPr>
                <w:rFonts w:ascii="仿宋_GB2312" w:hAnsi="仿宋_GB2312" w:cs="仿宋_GB2312" w:eastAsia="仿宋_GB2312"/>
                <w:sz w:val="20"/>
              </w:rPr>
              <w:t>建设单位</w:t>
            </w:r>
            <w:r>
              <w:rPr>
                <w:rFonts w:ascii="仿宋_GB2312" w:hAnsi="仿宋_GB2312" w:cs="仿宋_GB2312" w:eastAsia="仿宋_GB2312"/>
                <w:sz w:val="20"/>
              </w:rPr>
              <w:t>做好业务系统全保障工作。</w:t>
            </w:r>
          </w:p>
          <w:p>
            <w:pPr>
              <w:pStyle w:val="null3"/>
              <w:ind w:firstLine="482"/>
            </w:pPr>
            <w:r>
              <w:rPr>
                <w:rFonts w:ascii="仿宋_GB2312" w:hAnsi="仿宋_GB2312" w:cs="仿宋_GB2312" w:eastAsia="仿宋_GB2312"/>
                <w:sz w:val="20"/>
                <w:b/>
              </w:rPr>
              <w:t>(</w:t>
            </w:r>
            <w:r>
              <w:rPr>
                <w:rFonts w:ascii="仿宋_GB2312" w:hAnsi="仿宋_GB2312" w:cs="仿宋_GB2312" w:eastAsia="仿宋_GB2312"/>
                <w:sz w:val="20"/>
                <w:b/>
              </w:rPr>
              <w:t>六</w:t>
            </w:r>
            <w:r>
              <w:rPr>
                <w:rFonts w:ascii="仿宋_GB2312" w:hAnsi="仿宋_GB2312" w:cs="仿宋_GB2312" w:eastAsia="仿宋_GB2312"/>
                <w:sz w:val="20"/>
                <w:b/>
              </w:rPr>
              <w:t>)</w:t>
            </w:r>
            <w:r>
              <w:rPr>
                <w:rFonts w:ascii="仿宋_GB2312" w:hAnsi="仿宋_GB2312" w:cs="仿宋_GB2312" w:eastAsia="仿宋_GB2312"/>
                <w:sz w:val="20"/>
                <w:b/>
              </w:rPr>
              <w:t>交付内容</w:t>
            </w:r>
          </w:p>
          <w:p>
            <w:pPr>
              <w:pStyle w:val="null3"/>
              <w:ind w:firstLine="480"/>
            </w:pPr>
            <w:r>
              <w:rPr>
                <w:rFonts w:ascii="仿宋_GB2312" w:hAnsi="仿宋_GB2312" w:cs="仿宋_GB2312" w:eastAsia="仿宋_GB2312"/>
                <w:sz w:val="20"/>
              </w:rPr>
              <w:t>1.《信息系统安全等级保护定级备案证明》；</w:t>
            </w:r>
          </w:p>
          <w:p>
            <w:pPr>
              <w:pStyle w:val="null3"/>
              <w:ind w:firstLine="480"/>
            </w:pPr>
            <w:r>
              <w:rPr>
                <w:rFonts w:ascii="仿宋_GB2312" w:hAnsi="仿宋_GB2312" w:cs="仿宋_GB2312" w:eastAsia="仿宋_GB2312"/>
                <w:sz w:val="20"/>
              </w:rPr>
              <w:t>2.《信息系统测评方案》；</w:t>
            </w:r>
          </w:p>
          <w:p>
            <w:pPr>
              <w:pStyle w:val="null3"/>
              <w:ind w:firstLine="480"/>
            </w:pPr>
            <w:r>
              <w:rPr>
                <w:rFonts w:ascii="仿宋_GB2312" w:hAnsi="仿宋_GB2312" w:cs="仿宋_GB2312" w:eastAsia="仿宋_GB2312"/>
                <w:sz w:val="20"/>
              </w:rPr>
              <w:t>3.《信息系统整改建议书》；</w:t>
            </w:r>
          </w:p>
          <w:p>
            <w:pPr>
              <w:pStyle w:val="null3"/>
              <w:ind w:firstLine="480"/>
            </w:pPr>
            <w:r>
              <w:rPr>
                <w:rFonts w:ascii="仿宋_GB2312" w:hAnsi="仿宋_GB2312" w:cs="仿宋_GB2312" w:eastAsia="仿宋_GB2312"/>
                <w:sz w:val="20"/>
              </w:rPr>
              <w:t>4.《信息系统渗透测试报告》；</w:t>
            </w:r>
          </w:p>
          <w:p>
            <w:pPr>
              <w:pStyle w:val="null3"/>
              <w:ind w:firstLine="480"/>
            </w:pPr>
            <w:r>
              <w:rPr>
                <w:rFonts w:ascii="仿宋_GB2312" w:hAnsi="仿宋_GB2312" w:cs="仿宋_GB2312" w:eastAsia="仿宋_GB2312"/>
                <w:sz w:val="20"/>
              </w:rPr>
              <w:t>5.《</w:t>
            </w:r>
            <w:r>
              <w:rPr>
                <w:rFonts w:ascii="仿宋_GB2312" w:hAnsi="仿宋_GB2312" w:cs="仿宋_GB2312" w:eastAsia="仿宋_GB2312"/>
                <w:sz w:val="20"/>
              </w:rPr>
              <w:t>网络安全等级保护</w:t>
            </w:r>
            <w:r>
              <w:rPr>
                <w:rFonts w:ascii="仿宋_GB2312" w:hAnsi="仿宋_GB2312" w:cs="仿宋_GB2312" w:eastAsia="仿宋_GB2312"/>
                <w:sz w:val="20"/>
              </w:rPr>
              <w:t>等级测评报告》。</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标的名称：网络应用安全性评估费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85" w:after="285"/>
              <w:ind w:left="1920"/>
              <w:jc w:val="both"/>
              <w:outlineLvl w:val="4"/>
            </w:pPr>
            <w:r>
              <w:rPr>
                <w:rFonts w:ascii="仿宋_GB2312" w:hAnsi="仿宋_GB2312" w:cs="仿宋_GB2312" w:eastAsia="仿宋_GB2312"/>
                <w:sz w:val="20"/>
                <w:b/>
              </w:rPr>
              <w:t>一</w:t>
            </w:r>
            <w:r>
              <w:rPr>
                <w:rFonts w:ascii="仿宋_GB2312" w:hAnsi="仿宋_GB2312" w:cs="仿宋_GB2312" w:eastAsia="仿宋_GB2312"/>
                <w:sz w:val="20"/>
                <w:b/>
              </w:rPr>
              <w:t>.</w:t>
            </w:r>
            <w:r>
              <w:rPr>
                <w:rFonts w:ascii="仿宋_GB2312" w:hAnsi="仿宋_GB2312" w:cs="仿宋_GB2312" w:eastAsia="仿宋_GB2312"/>
                <w:sz w:val="20"/>
                <w:b/>
              </w:rPr>
              <w:t>密评系统清单</w:t>
            </w:r>
          </w:p>
          <w:tbl>
            <w:tblPr>
              <w:tblInd w:type="dxa" w:w="120"/>
              <w:tblBorders>
                <w:top w:val="none" w:color="000000" w:sz="4"/>
                <w:left w:val="none" w:color="000000" w:sz="4"/>
                <w:bottom w:val="none" w:color="000000" w:sz="4"/>
                <w:right w:val="none" w:color="000000" w:sz="4"/>
                <w:insideH w:val="none"/>
                <w:insideV w:val="none"/>
              </w:tblBorders>
            </w:tblPr>
            <w:tblGrid>
              <w:gridCol w:w="221"/>
              <w:gridCol w:w="1526"/>
              <w:gridCol w:w="390"/>
              <w:gridCol w:w="416"/>
            </w:tblGrid>
            <w:tr>
              <w:tc>
                <w:tcPr>
                  <w:tcW w:type="dxa" w:w="2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15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系统名称</w:t>
                  </w:r>
                </w:p>
              </w:tc>
              <w:tc>
                <w:tcPr>
                  <w:tcW w:type="dxa" w:w="39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系统等级</w:t>
                  </w:r>
                </w:p>
              </w:tc>
              <w:tc>
                <w:tcPr>
                  <w:tcW w:type="dxa" w:w="4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备注</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互联网交通安全综合服务管理平台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部署在本地机房</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2</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公安交通管理综合应用平台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3</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公安交通集成指挥平台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4</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总队数据中台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5</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总队实战指挥平台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6</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情指行一体化平台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7</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驾驶人和机动车等其他社会化管理系统</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8</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全省大货车管理平台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9</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陕西省</w:t>
                  </w:r>
                  <w:r>
                    <w:rPr>
                      <w:rFonts w:ascii="仿宋_GB2312" w:hAnsi="仿宋_GB2312" w:cs="仿宋_GB2312" w:eastAsia="仿宋_GB2312"/>
                      <w:sz w:val="20"/>
                    </w:rPr>
                    <w:t>“三客两危一隧道”智能管理服务平台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部署在省政务云</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10</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陕西省电动自行车管理平台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11</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省总队内网网站、</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部署在三秦警务云</w:t>
                  </w: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12</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全省交通违法缴款二次对账系统</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13</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全省交通违法分析研判系统</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14</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全省公安大数据人像比对多算法平台</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15</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全省公安交警警务通系统</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16</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全省交通事故分析研判系统</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17</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陕西省公安交警行政事业收费管理系统</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r>
              <w:tc>
                <w:tcPr>
                  <w:tcW w:type="dxa" w:w="2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18</w:t>
                  </w:r>
                </w:p>
              </w:tc>
              <w:tc>
                <w:tcPr>
                  <w:tcW w:type="dxa" w:w="15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全省机动车号牌管理系统</w:t>
                  </w:r>
                </w:p>
              </w:tc>
              <w:tc>
                <w:tcPr>
                  <w:tcW w:type="dxa" w:w="3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三级</w:t>
                  </w:r>
                </w:p>
              </w:tc>
              <w:tc>
                <w:tcPr>
                  <w:tcW w:type="dxa" w:w="416"/>
                  <w:vMerge/>
                  <w:tcBorders>
                    <w:top w:val="none" w:color="000000" w:sz="4"/>
                    <w:left w:val="single" w:color="000000" w:sz="4"/>
                    <w:bottom w:val="single" w:color="000000" w:sz="4"/>
                    <w:right w:val="single" w:color="000000" w:sz="4"/>
                  </w:tcBorders>
                </w:tcPr>
                <w:p/>
              </w:tc>
            </w:tr>
          </w:tbl>
          <w:p>
            <w:pPr>
              <w:pStyle w:val="null3"/>
              <w:numPr>
                <w:ilvl w:val="4"/>
                <w:numId w:val="1"/>
              </w:numPr>
            </w:pPr>
            <w:r>
              <w:rPr>
                <w:rFonts w:ascii="仿宋_GB2312" w:hAnsi="仿宋_GB2312" w:cs="仿宋_GB2312" w:eastAsia="仿宋_GB2312"/>
                <w:sz w:val="20"/>
                <w:b/>
              </w:rPr>
              <w:t>密评主要内容</w:t>
            </w:r>
          </w:p>
          <w:p>
            <w:pPr>
              <w:pStyle w:val="null3"/>
              <w:ind w:firstLine="600"/>
              <w:jc w:val="both"/>
            </w:pPr>
            <w:r>
              <w:rPr>
                <w:rFonts w:ascii="仿宋_GB2312" w:hAnsi="仿宋_GB2312" w:cs="仿宋_GB2312" w:eastAsia="仿宋_GB2312"/>
                <w:sz w:val="20"/>
              </w:rPr>
              <w:t>依据《信息安全技术</w:t>
            </w:r>
            <w:r>
              <w:rPr>
                <w:rFonts w:ascii="仿宋_GB2312" w:hAnsi="仿宋_GB2312" w:cs="仿宋_GB2312" w:eastAsia="仿宋_GB2312"/>
                <w:sz w:val="20"/>
              </w:rPr>
              <w:t xml:space="preserve"> </w:t>
            </w:r>
            <w:r>
              <w:rPr>
                <w:rFonts w:ascii="仿宋_GB2312" w:hAnsi="仿宋_GB2312" w:cs="仿宋_GB2312" w:eastAsia="仿宋_GB2312"/>
                <w:sz w:val="20"/>
              </w:rPr>
              <w:t>信息系统密码应用基本要求》</w:t>
            </w:r>
            <w:r>
              <w:rPr>
                <w:rFonts w:ascii="仿宋_GB2312" w:hAnsi="仿宋_GB2312" w:cs="仿宋_GB2312" w:eastAsia="仿宋_GB2312"/>
                <w:sz w:val="20"/>
              </w:rPr>
              <w:t>（</w:t>
            </w:r>
            <w:r>
              <w:rPr>
                <w:rFonts w:ascii="仿宋_GB2312" w:hAnsi="仿宋_GB2312" w:cs="仿宋_GB2312" w:eastAsia="仿宋_GB2312"/>
                <w:sz w:val="20"/>
              </w:rPr>
              <w:t>GB/T39786-2021</w:t>
            </w:r>
            <w:r>
              <w:rPr>
                <w:rFonts w:ascii="仿宋_GB2312" w:hAnsi="仿宋_GB2312" w:cs="仿宋_GB2312" w:eastAsia="仿宋_GB2312"/>
                <w:sz w:val="20"/>
              </w:rPr>
              <w:t>）、《信息系统密码测评要求》、《信息系统密码应用测评过程指南》、《信息系统密码应用高风险判定指引》、《商用密码应用安全性评估量化评估规则》等技术</w:t>
            </w:r>
            <w:r>
              <w:rPr>
                <w:rFonts w:ascii="仿宋_GB2312" w:hAnsi="仿宋_GB2312" w:cs="仿宋_GB2312" w:eastAsia="仿宋_GB2312"/>
                <w:sz w:val="20"/>
              </w:rPr>
              <w:t>要</w:t>
            </w:r>
            <w:r>
              <w:rPr>
                <w:rFonts w:ascii="仿宋_GB2312" w:hAnsi="仿宋_GB2312" w:cs="仿宋_GB2312" w:eastAsia="仿宋_GB2312"/>
                <w:sz w:val="20"/>
              </w:rPr>
              <w:t>求，</w:t>
            </w:r>
            <w:r>
              <w:rPr>
                <w:rFonts w:ascii="仿宋_GB2312" w:hAnsi="仿宋_GB2312" w:cs="仿宋_GB2312" w:eastAsia="仿宋_GB2312"/>
                <w:sz w:val="20"/>
              </w:rPr>
              <w:t>逐一对信息系统进行密码应用的合规性、正确性、有效性进行安全性评估</w:t>
            </w:r>
            <w:r>
              <w:rPr>
                <w:rFonts w:ascii="仿宋_GB2312" w:hAnsi="仿宋_GB2312" w:cs="仿宋_GB2312" w:eastAsia="仿宋_GB2312"/>
                <w:sz w:val="20"/>
              </w:rPr>
              <w:t>，</w:t>
            </w:r>
            <w:r>
              <w:rPr>
                <w:rFonts w:ascii="仿宋_GB2312" w:hAnsi="仿宋_GB2312" w:cs="仿宋_GB2312" w:eastAsia="仿宋_GB2312"/>
                <w:sz w:val="20"/>
              </w:rPr>
              <w:t>通过商用密码应用安全性评估深入查找密码应用的薄弱环节和安全隐患，分析面临的风险，为提升信息系统安全奠定基础。</w:t>
            </w:r>
          </w:p>
          <w:p>
            <w:pPr>
              <w:pStyle w:val="null3"/>
              <w:ind w:firstLine="480"/>
              <w:jc w:val="both"/>
            </w:pPr>
            <w:r>
              <w:rPr>
                <w:rFonts w:ascii="仿宋_GB2312" w:hAnsi="仿宋_GB2312" w:cs="仿宋_GB2312" w:eastAsia="仿宋_GB2312"/>
                <w:sz w:val="20"/>
              </w:rPr>
              <w:t>测评的内容包括但不限于以下内容：</w:t>
            </w:r>
          </w:p>
          <w:p>
            <w:pPr>
              <w:pStyle w:val="null3"/>
              <w:numPr>
                <w:ilvl w:val="0"/>
                <w:numId w:val="1"/>
              </w:numPr>
              <w:ind w:left="300"/>
            </w:pPr>
            <w:r>
              <w:rPr>
                <w:rFonts w:ascii="仿宋_GB2312" w:hAnsi="仿宋_GB2312" w:cs="仿宋_GB2312" w:eastAsia="仿宋_GB2312"/>
                <w:sz w:val="20"/>
                <w:b/>
              </w:rPr>
              <w:t>安全技术测评：包括物理和环境安全、</w:t>
            </w:r>
            <w:r>
              <w:rPr>
                <w:rFonts w:ascii="仿宋_GB2312" w:hAnsi="仿宋_GB2312" w:cs="仿宋_GB2312" w:eastAsia="仿宋_GB2312"/>
                <w:sz w:val="20"/>
                <w:b/>
              </w:rPr>
              <w:t>网络和通信安全、</w:t>
            </w:r>
            <w:r>
              <w:rPr>
                <w:rFonts w:ascii="仿宋_GB2312" w:hAnsi="仿宋_GB2312" w:cs="仿宋_GB2312" w:eastAsia="仿宋_GB2312"/>
                <w:sz w:val="20"/>
                <w:b/>
              </w:rPr>
              <w:t>设备和计算安全、</w:t>
            </w:r>
            <w:r>
              <w:rPr>
                <w:rFonts w:ascii="仿宋_GB2312" w:hAnsi="仿宋_GB2312" w:cs="仿宋_GB2312" w:eastAsia="仿宋_GB2312"/>
                <w:sz w:val="20"/>
                <w:b/>
              </w:rPr>
              <w:t>应用和数据安</w:t>
            </w:r>
            <w:r>
              <w:rPr>
                <w:rFonts w:ascii="仿宋_GB2312" w:hAnsi="仿宋_GB2312" w:cs="仿宋_GB2312" w:eastAsia="仿宋_GB2312"/>
                <w:sz w:val="20"/>
                <w:b/>
              </w:rPr>
              <w:t>全等四个方面的安全测评。</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1）物理和环境安全</w:t>
            </w:r>
          </w:p>
          <w:tbl>
            <w:tblPr>
              <w:tblInd w:type="dxa" w:w="120"/>
              <w:tblBorders>
                <w:top w:val="none" w:color="000000" w:sz="4"/>
                <w:left w:val="none" w:color="000000" w:sz="4"/>
                <w:bottom w:val="none" w:color="000000" w:sz="4"/>
                <w:right w:val="none" w:color="000000" w:sz="4"/>
                <w:insideH w:val="none"/>
                <w:insideV w:val="none"/>
              </w:tblBorders>
            </w:tblPr>
            <w:tblGrid>
              <w:gridCol w:w="781"/>
              <w:gridCol w:w="1772"/>
            </w:tblGrid>
            <w:tr>
              <w:tc>
                <w:tcPr>
                  <w:tcW w:type="dxa" w:w="7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0"/>
                      <w:b/>
                    </w:rPr>
                    <w:t>测评类别</w:t>
                  </w:r>
                </w:p>
              </w:tc>
              <w:tc>
                <w:tcPr>
                  <w:tcW w:type="dxa" w:w="1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测评单元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安全技术测评</w:t>
                  </w:r>
                  <w:r>
                    <w:rPr>
                      <w:rFonts w:ascii="仿宋_GB2312" w:hAnsi="仿宋_GB2312" w:cs="仿宋_GB2312" w:eastAsia="仿宋_GB2312"/>
                      <w:sz w:val="20"/>
                    </w:rPr>
                    <w:t>-物理和环境安全</w:t>
                  </w: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身份鉴别</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电子门禁记录数据完整性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视频记录数据完整性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密码产品</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密码服务</w:t>
                  </w:r>
                </w:p>
              </w:tc>
            </w:tr>
          </w:tbl>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2）网络和通信安全</w:t>
            </w:r>
          </w:p>
          <w:tbl>
            <w:tblPr>
              <w:tblInd w:type="dxa" w:w="120"/>
              <w:tblBorders>
                <w:top w:val="none" w:color="000000" w:sz="4"/>
                <w:left w:val="none" w:color="000000" w:sz="4"/>
                <w:bottom w:val="none" w:color="000000" w:sz="4"/>
                <w:right w:val="none" w:color="000000" w:sz="4"/>
                <w:insideH w:val="none"/>
                <w:insideV w:val="none"/>
              </w:tblBorders>
            </w:tblPr>
            <w:tblGrid>
              <w:gridCol w:w="781"/>
              <w:gridCol w:w="1772"/>
            </w:tblGrid>
            <w:tr>
              <w:tc>
                <w:tcPr>
                  <w:tcW w:type="dxa" w:w="7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0"/>
                      <w:b/>
                    </w:rPr>
                    <w:t>测评类别</w:t>
                  </w:r>
                </w:p>
              </w:tc>
              <w:tc>
                <w:tcPr>
                  <w:tcW w:type="dxa" w:w="1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测评单元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安全技术测评</w:t>
                  </w:r>
                  <w:r>
                    <w:rPr>
                      <w:rFonts w:ascii="仿宋_GB2312" w:hAnsi="仿宋_GB2312" w:cs="仿宋_GB2312" w:eastAsia="仿宋_GB2312"/>
                      <w:sz w:val="20"/>
                    </w:rPr>
                    <w:t>-网络和通信安全</w:t>
                  </w: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实体鉴别</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通信数据完整性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敏感信息或通信报文机密性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网络边界访问控制信息完整性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安全接入认证</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密码产品</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密码服务</w:t>
                  </w:r>
                </w:p>
              </w:tc>
            </w:tr>
          </w:tbl>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3）设备和计算安全</w:t>
            </w:r>
          </w:p>
          <w:tbl>
            <w:tblPr>
              <w:tblInd w:type="dxa" w:w="120"/>
              <w:tblBorders>
                <w:top w:val="none" w:color="000000" w:sz="4"/>
                <w:left w:val="none" w:color="000000" w:sz="4"/>
                <w:bottom w:val="none" w:color="000000" w:sz="4"/>
                <w:right w:val="none" w:color="000000" w:sz="4"/>
                <w:insideH w:val="none"/>
                <w:insideV w:val="none"/>
              </w:tblBorders>
            </w:tblPr>
            <w:tblGrid>
              <w:gridCol w:w="781"/>
              <w:gridCol w:w="1772"/>
            </w:tblGrid>
            <w:tr>
              <w:tc>
                <w:tcPr>
                  <w:tcW w:type="dxa" w:w="7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0"/>
                      <w:b/>
                    </w:rPr>
                    <w:t>测评类别</w:t>
                  </w:r>
                </w:p>
              </w:tc>
              <w:tc>
                <w:tcPr>
                  <w:tcW w:type="dxa" w:w="1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测评单元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安全技术测评</w:t>
                  </w:r>
                  <w:r>
                    <w:rPr>
                      <w:rFonts w:ascii="仿宋_GB2312" w:hAnsi="仿宋_GB2312" w:cs="仿宋_GB2312" w:eastAsia="仿宋_GB2312"/>
                      <w:sz w:val="20"/>
                    </w:rPr>
                    <w:t>-设备和计算安全</w:t>
                  </w: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实体鉴别</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安全的信息传输通道</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系统资源访问控制信息完整性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重要信息资源安全标记完整性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日志记录完整性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重要程序或文件完整性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密码产品</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密码服务</w:t>
                  </w:r>
                </w:p>
              </w:tc>
            </w:tr>
          </w:tbl>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4）应用和数据安全</w:t>
            </w:r>
          </w:p>
          <w:tbl>
            <w:tblPr>
              <w:tblInd w:type="dxa" w:w="120"/>
              <w:tblBorders>
                <w:top w:val="none" w:color="000000" w:sz="4"/>
                <w:left w:val="none" w:color="000000" w:sz="4"/>
                <w:bottom w:val="none" w:color="000000" w:sz="4"/>
                <w:right w:val="none" w:color="000000" w:sz="4"/>
                <w:insideH w:val="none"/>
                <w:insideV w:val="none"/>
              </w:tblBorders>
            </w:tblPr>
            <w:tblGrid>
              <w:gridCol w:w="781"/>
              <w:gridCol w:w="1772"/>
            </w:tblGrid>
            <w:tr>
              <w:tc>
                <w:tcPr>
                  <w:tcW w:type="dxa" w:w="7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0"/>
                      <w:b/>
                    </w:rPr>
                    <w:t>测评类别</w:t>
                  </w:r>
                </w:p>
              </w:tc>
              <w:tc>
                <w:tcPr>
                  <w:tcW w:type="dxa" w:w="1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测评单元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安全技术测评</w:t>
                  </w:r>
                  <w:r>
                    <w:rPr>
                      <w:rFonts w:ascii="仿宋_GB2312" w:hAnsi="仿宋_GB2312" w:cs="仿宋_GB2312" w:eastAsia="仿宋_GB2312"/>
                      <w:sz w:val="20"/>
                    </w:rPr>
                    <w:t>-应用和数据安全</w:t>
                  </w: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实体鉴别</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访问控制</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重要信息资源安全标记完整性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数据传输机密性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数据存储机密性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数据传输完整性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数据存储完整性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不可否认性</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密码产品</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密码服务</w:t>
                  </w:r>
                </w:p>
              </w:tc>
            </w:tr>
          </w:tbl>
          <w:p>
            <w:pPr>
              <w:pStyle w:val="null3"/>
              <w:numPr>
                <w:ilvl w:val="0"/>
                <w:numId w:val="1"/>
              </w:numPr>
              <w:ind w:firstLine="480"/>
              <w:jc w:val="both"/>
            </w:pPr>
            <w:r>
              <w:rPr>
                <w:rFonts w:ascii="仿宋_GB2312" w:hAnsi="仿宋_GB2312" w:cs="仿宋_GB2312" w:eastAsia="仿宋_GB2312"/>
                <w:sz w:val="20"/>
                <w:b/>
              </w:rPr>
              <w:t>安全管理测评：包括安全管理（分为制度、人员、建设和应急四个子模块）</w:t>
            </w:r>
            <w:r>
              <w:rPr>
                <w:rFonts w:ascii="仿宋_GB2312" w:hAnsi="仿宋_GB2312" w:cs="仿宋_GB2312" w:eastAsia="仿宋_GB2312"/>
                <w:sz w:val="20"/>
                <w:b/>
              </w:rPr>
              <w:t>的安全测评。</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1）管理制度</w:t>
            </w:r>
          </w:p>
          <w:tbl>
            <w:tblPr>
              <w:tblInd w:type="dxa" w:w="120"/>
              <w:tblBorders>
                <w:top w:val="none" w:color="000000" w:sz="4"/>
                <w:left w:val="none" w:color="000000" w:sz="4"/>
                <w:bottom w:val="none" w:color="000000" w:sz="4"/>
                <w:right w:val="none" w:color="000000" w:sz="4"/>
                <w:insideH w:val="none"/>
                <w:insideV w:val="none"/>
              </w:tblBorders>
            </w:tblPr>
            <w:tblGrid>
              <w:gridCol w:w="781"/>
              <w:gridCol w:w="1772"/>
            </w:tblGrid>
            <w:tr>
              <w:tc>
                <w:tcPr>
                  <w:tcW w:type="dxa" w:w="7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0"/>
                      <w:b/>
                    </w:rPr>
                    <w:t>测评类别</w:t>
                  </w:r>
                </w:p>
              </w:tc>
              <w:tc>
                <w:tcPr>
                  <w:tcW w:type="dxa" w:w="1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测评单元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安全管理测评</w:t>
                  </w:r>
                  <w:r>
                    <w:rPr>
                      <w:rFonts w:ascii="仿宋_GB2312" w:hAnsi="仿宋_GB2312" w:cs="仿宋_GB2312" w:eastAsia="仿宋_GB2312"/>
                      <w:sz w:val="20"/>
                    </w:rPr>
                    <w:t>-管理制度</w:t>
                  </w: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具备密码应用安全管理制度</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密钥管理规则</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建立操作规程</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定期修订安全管理制度</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明确管理</w:t>
                  </w:r>
                  <w:r>
                    <w:rPr>
                      <w:rFonts w:ascii="仿宋_GB2312" w:hAnsi="仿宋_GB2312" w:cs="仿宋_GB2312" w:eastAsia="仿宋_GB2312"/>
                      <w:sz w:val="20"/>
                    </w:rPr>
                    <w:t>制度发布流程</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制度执行过程记录留存</w:t>
                  </w:r>
                </w:p>
              </w:tc>
            </w:tr>
          </w:tbl>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人员管理</w:t>
            </w:r>
          </w:p>
          <w:tbl>
            <w:tblPr>
              <w:tblInd w:type="dxa" w:w="120"/>
              <w:tblBorders>
                <w:top w:val="none" w:color="000000" w:sz="4"/>
                <w:left w:val="none" w:color="000000" w:sz="4"/>
                <w:bottom w:val="none" w:color="000000" w:sz="4"/>
                <w:right w:val="none" w:color="000000" w:sz="4"/>
                <w:insideH w:val="none"/>
                <w:insideV w:val="none"/>
              </w:tblBorders>
            </w:tblPr>
            <w:tblGrid>
              <w:gridCol w:w="781"/>
              <w:gridCol w:w="1772"/>
            </w:tblGrid>
            <w:tr>
              <w:tc>
                <w:tcPr>
                  <w:tcW w:type="dxa" w:w="7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0"/>
                      <w:b/>
                    </w:rPr>
                    <w:t>测评类别</w:t>
                  </w:r>
                </w:p>
              </w:tc>
              <w:tc>
                <w:tcPr>
                  <w:tcW w:type="dxa" w:w="1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测评单元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安全管理测评</w:t>
                  </w:r>
                  <w:r>
                    <w:rPr>
                      <w:rFonts w:ascii="仿宋_GB2312" w:hAnsi="仿宋_GB2312" w:cs="仿宋_GB2312" w:eastAsia="仿宋_GB2312"/>
                      <w:sz w:val="20"/>
                    </w:rPr>
                    <w:t>-人员管理度</w:t>
                  </w: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了解并遵守密码相关法律法规和密码管理制度</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建立密码应用岗位责任制度</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建立上岗人员培训制度</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定期进行安全岗位人员考核</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建立关键岗位人员保密制度和调离制度</w:t>
                  </w:r>
                </w:p>
              </w:tc>
            </w:tr>
          </w:tbl>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建设运行</w:t>
            </w:r>
          </w:p>
          <w:tbl>
            <w:tblPr>
              <w:tblInd w:type="dxa" w:w="120"/>
              <w:tblBorders>
                <w:top w:val="none" w:color="000000" w:sz="4"/>
                <w:left w:val="none" w:color="000000" w:sz="4"/>
                <w:bottom w:val="none" w:color="000000" w:sz="4"/>
                <w:right w:val="none" w:color="000000" w:sz="4"/>
                <w:insideH w:val="none"/>
                <w:insideV w:val="none"/>
              </w:tblBorders>
            </w:tblPr>
            <w:tblGrid>
              <w:gridCol w:w="781"/>
              <w:gridCol w:w="1772"/>
            </w:tblGrid>
            <w:tr>
              <w:tc>
                <w:tcPr>
                  <w:tcW w:type="dxa" w:w="7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0"/>
                      <w:b/>
                    </w:rPr>
                    <w:t>测评类别</w:t>
                  </w:r>
                </w:p>
              </w:tc>
              <w:tc>
                <w:tcPr>
                  <w:tcW w:type="dxa" w:w="1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测评单元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安全管理测评</w:t>
                  </w:r>
                  <w:r>
                    <w:rPr>
                      <w:rFonts w:ascii="仿宋_GB2312" w:hAnsi="仿宋_GB2312" w:cs="仿宋_GB2312" w:eastAsia="仿宋_GB2312"/>
                      <w:sz w:val="20"/>
                    </w:rPr>
                    <w:t>-建设运行</w:t>
                  </w: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制定密码应用方案</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制定密钥安全管理策略</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制定实施方案</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投入运行前进行密码应用安全性评估</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定期开展密码应用安全性评估及攻防对抗演习</w:t>
                  </w:r>
                </w:p>
              </w:tc>
            </w:tr>
          </w:tbl>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应急处置</w:t>
            </w:r>
          </w:p>
          <w:tbl>
            <w:tblPr>
              <w:tblInd w:type="dxa" w:w="120"/>
              <w:tblBorders>
                <w:top w:val="none" w:color="000000" w:sz="4"/>
                <w:left w:val="none" w:color="000000" w:sz="4"/>
                <w:bottom w:val="none" w:color="000000" w:sz="4"/>
                <w:right w:val="none" w:color="000000" w:sz="4"/>
                <w:insideH w:val="none"/>
                <w:insideV w:val="none"/>
              </w:tblBorders>
            </w:tblPr>
            <w:tblGrid>
              <w:gridCol w:w="781"/>
              <w:gridCol w:w="1772"/>
            </w:tblGrid>
            <w:tr>
              <w:tc>
                <w:tcPr>
                  <w:tcW w:type="dxa" w:w="781"/>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2"/>
                    <w:jc w:val="both"/>
                  </w:pPr>
                  <w:r>
                    <w:rPr>
                      <w:rFonts w:ascii="仿宋_GB2312" w:hAnsi="仿宋_GB2312" w:cs="仿宋_GB2312" w:eastAsia="仿宋_GB2312"/>
                      <w:sz w:val="20"/>
                      <w:b/>
                    </w:rPr>
                    <w:t>测评类别</w:t>
                  </w:r>
                </w:p>
              </w:tc>
              <w:tc>
                <w:tcPr>
                  <w:tcW w:type="dxa" w:w="1772"/>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82"/>
                    <w:jc w:val="both"/>
                  </w:pPr>
                  <w:r>
                    <w:rPr>
                      <w:rFonts w:ascii="仿宋_GB2312" w:hAnsi="仿宋_GB2312" w:cs="仿宋_GB2312" w:eastAsia="仿宋_GB2312"/>
                      <w:sz w:val="20"/>
                      <w:b/>
                    </w:rPr>
                    <w:t>测评单元</w:t>
                  </w:r>
                </w:p>
              </w:tc>
            </w:tr>
            <w:tr>
              <w:tc>
                <w:tcPr>
                  <w:tcW w:type="dxa" w:w="781"/>
                  <w:vMerge w:val="restart"/>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0"/>
                    </w:rPr>
                    <w:t>安全管理测评</w:t>
                  </w:r>
                  <w:r>
                    <w:rPr>
                      <w:rFonts w:ascii="仿宋_GB2312" w:hAnsi="仿宋_GB2312" w:cs="仿宋_GB2312" w:eastAsia="仿宋_GB2312"/>
                      <w:sz w:val="20"/>
                    </w:rPr>
                    <w:t>-应急处置</w:t>
                  </w: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应急策略</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事件处置</w:t>
                  </w:r>
                </w:p>
              </w:tc>
            </w:tr>
            <w:tr>
              <w:tc>
                <w:tcPr>
                  <w:tcW w:type="dxa" w:w="781"/>
                  <w:vMerge/>
                  <w:tcBorders>
                    <w:top w:val="none" w:color="000000" w:sz="4"/>
                    <w:left w:val="single" w:color="000000" w:sz="4"/>
                    <w:bottom w:val="single" w:color="000000" w:sz="4"/>
                    <w:right w:val="single" w:color="000000" w:sz="4"/>
                  </w:tcBorders>
                </w:tcPr>
                <w:p/>
              </w:tc>
              <w:tc>
                <w:tcPr>
                  <w:tcW w:type="dxa" w:w="1772"/>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ind w:firstLine="480"/>
                    <w:jc w:val="both"/>
                  </w:pPr>
                  <w:r>
                    <w:rPr>
                      <w:rFonts w:ascii="仿宋_GB2312" w:hAnsi="仿宋_GB2312" w:cs="仿宋_GB2312" w:eastAsia="仿宋_GB2312"/>
                      <w:sz w:val="20"/>
                    </w:rPr>
                    <w:t>向有关主管部门上报处置情况</w:t>
                  </w:r>
                </w:p>
              </w:tc>
            </w:tr>
          </w:tbl>
          <w:p>
            <w:pPr>
              <w:pStyle w:val="null3"/>
              <w:spacing w:before="285" w:after="285"/>
              <w:ind w:left="1920"/>
              <w:jc w:val="both"/>
              <w:outlineLvl w:val="4"/>
            </w:pPr>
            <w:r>
              <w:rPr>
                <w:rFonts w:ascii="仿宋_GB2312" w:hAnsi="仿宋_GB2312" w:cs="仿宋_GB2312" w:eastAsia="仿宋_GB2312"/>
                <w:sz w:val="20"/>
                <w:b/>
              </w:rPr>
              <w:t>二</w:t>
            </w:r>
            <w:r>
              <w:rPr>
                <w:rFonts w:ascii="仿宋_GB2312" w:hAnsi="仿宋_GB2312" w:cs="仿宋_GB2312" w:eastAsia="仿宋_GB2312"/>
                <w:sz w:val="20"/>
                <w:b/>
              </w:rPr>
              <w:t>.</w:t>
            </w:r>
            <w:r>
              <w:rPr>
                <w:rFonts w:ascii="仿宋_GB2312" w:hAnsi="仿宋_GB2312" w:cs="仿宋_GB2312" w:eastAsia="仿宋_GB2312"/>
                <w:sz w:val="20"/>
                <w:b/>
              </w:rPr>
              <w:t>密评服务要求</w:t>
            </w:r>
          </w:p>
          <w:p>
            <w:pPr>
              <w:pStyle w:val="null3"/>
              <w:numPr>
                <w:ilvl w:val="0"/>
                <w:numId w:val="1"/>
              </w:numPr>
              <w:ind w:left="300"/>
            </w:pPr>
            <w:r>
              <w:rPr>
                <w:rFonts w:ascii="仿宋_GB2312" w:hAnsi="仿宋_GB2312" w:cs="仿宋_GB2312" w:eastAsia="仿宋_GB2312"/>
                <w:sz w:val="20"/>
                <w:b/>
              </w:rPr>
              <w:t>密评工作原则</w:t>
            </w:r>
          </w:p>
          <w:p>
            <w:pPr>
              <w:pStyle w:val="null3"/>
              <w:ind w:firstLine="480"/>
              <w:jc w:val="both"/>
            </w:pPr>
            <w:r>
              <w:rPr>
                <w:rFonts w:ascii="仿宋_GB2312" w:hAnsi="仿宋_GB2312" w:cs="仿宋_GB2312" w:eastAsia="仿宋_GB2312"/>
                <w:sz w:val="20"/>
              </w:rPr>
              <w:t>遵循以下若干原则，</w:t>
            </w:r>
            <w:r>
              <w:rPr>
                <w:rFonts w:ascii="仿宋_GB2312" w:hAnsi="仿宋_GB2312" w:cs="仿宋_GB2312" w:eastAsia="仿宋_GB2312"/>
                <w:sz w:val="20"/>
              </w:rPr>
              <w:t>是评估结论真实、准确、可信的基础，也是评估组在独立实施评估时，在相</w:t>
            </w:r>
            <w:r>
              <w:rPr>
                <w:rFonts w:ascii="仿宋_GB2312" w:hAnsi="仿宋_GB2312" w:cs="仿宋_GB2312" w:eastAsia="仿宋_GB2312"/>
                <w:sz w:val="20"/>
              </w:rPr>
              <w:t>似的情况下得出相似结论的前提。</w:t>
            </w:r>
            <w:r>
              <w:rPr>
                <w:rFonts w:ascii="仿宋_GB2312" w:hAnsi="仿宋_GB2312" w:cs="仿宋_GB2312" w:eastAsia="仿宋_GB2312"/>
                <w:sz w:val="20"/>
              </w:rPr>
              <w:t>本次商用密码应用安全性测评实施方案设计与具体实施应满足以下</w:t>
            </w:r>
            <w:r>
              <w:rPr>
                <w:rFonts w:ascii="仿宋_GB2312" w:hAnsi="仿宋_GB2312" w:cs="仿宋_GB2312" w:eastAsia="仿宋_GB2312"/>
                <w:sz w:val="20"/>
              </w:rPr>
              <w:t>原则：</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1）客观公正原则</w:t>
            </w:r>
            <w:r>
              <w:rPr>
                <w:rFonts w:ascii="仿宋_GB2312" w:hAnsi="仿宋_GB2312" w:cs="仿宋_GB2312" w:eastAsia="仿宋_GB2312"/>
                <w:sz w:val="20"/>
              </w:rPr>
              <w:t>：</w:t>
            </w:r>
            <w:r>
              <w:rPr>
                <w:rFonts w:ascii="仿宋_GB2312" w:hAnsi="仿宋_GB2312" w:cs="仿宋_GB2312" w:eastAsia="仿宋_GB2312"/>
                <w:sz w:val="20"/>
              </w:rPr>
              <w:t>评估实施过程中评估人员应保证在最小主观判断情形下，按照评估双方认</w:t>
            </w:r>
            <w:r>
              <w:rPr>
                <w:rFonts w:ascii="仿宋_GB2312" w:hAnsi="仿宋_GB2312" w:cs="仿宋_GB2312" w:eastAsia="仿宋_GB2312"/>
                <w:sz w:val="20"/>
              </w:rPr>
              <w:t>可的评估方案，</w:t>
            </w:r>
            <w:r>
              <w:rPr>
                <w:rFonts w:ascii="仿宋_GB2312" w:hAnsi="仿宋_GB2312" w:cs="仿宋_GB2312" w:eastAsia="仿宋_GB2312"/>
                <w:sz w:val="20"/>
              </w:rPr>
              <w:t>基于明确定义的评估方式和解释</w:t>
            </w:r>
            <w:r>
              <w:rPr>
                <w:rFonts w:ascii="仿宋_GB2312" w:hAnsi="仿宋_GB2312" w:cs="仿宋_GB2312" w:eastAsia="仿宋_GB2312"/>
                <w:sz w:val="20"/>
              </w:rPr>
              <w:t>，</w:t>
            </w:r>
            <w:r>
              <w:rPr>
                <w:rFonts w:ascii="仿宋_GB2312" w:hAnsi="仿宋_GB2312" w:cs="仿宋_GB2312" w:eastAsia="仿宋_GB2312"/>
                <w:sz w:val="20"/>
              </w:rPr>
              <w:t>实施评估活动。</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2）经济性和可重用性原则：评估工作可重用已有评估结果，包括商用密码应用安全性评估结</w:t>
            </w:r>
            <w:r>
              <w:rPr>
                <w:rFonts w:ascii="仿宋_GB2312" w:hAnsi="仿宋_GB2312" w:cs="仿宋_GB2312" w:eastAsia="仿宋_GB2312"/>
                <w:sz w:val="20"/>
              </w:rPr>
              <w:t>果。</w:t>
            </w:r>
            <w:r>
              <w:rPr>
                <w:rFonts w:ascii="仿宋_GB2312" w:hAnsi="仿宋_GB2312" w:cs="仿宋_GB2312" w:eastAsia="仿宋_GB2312"/>
                <w:sz w:val="20"/>
              </w:rPr>
              <w:t>所有重用结果都应以结果适用于待评估系统为前提</w:t>
            </w:r>
            <w:r>
              <w:rPr>
                <w:rFonts w:ascii="仿宋_GB2312" w:hAnsi="仿宋_GB2312" w:cs="仿宋_GB2312" w:eastAsia="仿宋_GB2312"/>
                <w:sz w:val="20"/>
              </w:rPr>
              <w:t>，</w:t>
            </w:r>
            <w:r>
              <w:rPr>
                <w:rFonts w:ascii="仿宋_GB2312" w:hAnsi="仿宋_GB2312" w:cs="仿宋_GB2312" w:eastAsia="仿宋_GB2312"/>
                <w:sz w:val="20"/>
              </w:rPr>
              <w:t>并能够客观反映目前系统的安全状态。</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3）可重复性和可再现性原则：依照同样的要求</w:t>
            </w:r>
            <w:r>
              <w:rPr>
                <w:rFonts w:ascii="仿宋_GB2312" w:hAnsi="仿宋_GB2312" w:cs="仿宋_GB2312" w:eastAsia="仿宋_GB2312"/>
                <w:sz w:val="20"/>
              </w:rPr>
              <w:t>，</w:t>
            </w:r>
            <w:r>
              <w:rPr>
                <w:rFonts w:ascii="仿宋_GB2312" w:hAnsi="仿宋_GB2312" w:cs="仿宋_GB2312" w:eastAsia="仿宋_GB2312"/>
                <w:sz w:val="20"/>
              </w:rPr>
              <w:t>使用同样的评估方法</w:t>
            </w:r>
            <w:r>
              <w:rPr>
                <w:rFonts w:ascii="仿宋_GB2312" w:hAnsi="仿宋_GB2312" w:cs="仿宋_GB2312" w:eastAsia="仿宋_GB2312"/>
                <w:sz w:val="20"/>
              </w:rPr>
              <w:t>，</w:t>
            </w:r>
            <w:r>
              <w:rPr>
                <w:rFonts w:ascii="仿宋_GB2312" w:hAnsi="仿宋_GB2312" w:cs="仿宋_GB2312" w:eastAsia="仿宋_GB2312"/>
                <w:sz w:val="20"/>
              </w:rPr>
              <w:t>不同的评估机构对每</w:t>
            </w:r>
            <w:r>
              <w:rPr>
                <w:rFonts w:ascii="仿宋_GB2312" w:hAnsi="仿宋_GB2312" w:cs="仿宋_GB2312" w:eastAsia="仿宋_GB2312"/>
                <w:sz w:val="20"/>
              </w:rPr>
              <w:t>个评估实施过程的重复执行应得到同样的结果。</w:t>
            </w:r>
            <w:r>
              <w:rPr>
                <w:rFonts w:ascii="仿宋_GB2312" w:hAnsi="仿宋_GB2312" w:cs="仿宋_GB2312" w:eastAsia="仿宋_GB2312"/>
                <w:sz w:val="20"/>
              </w:rPr>
              <w:t>可再现性和可重复性的区别在于，前者关注不同评估</w:t>
            </w:r>
            <w:r>
              <w:rPr>
                <w:rFonts w:ascii="仿宋_GB2312" w:hAnsi="仿宋_GB2312" w:cs="仿宋_GB2312" w:eastAsia="仿宋_GB2312"/>
                <w:sz w:val="20"/>
              </w:rPr>
              <w:t>者评估结果的一致性，</w:t>
            </w:r>
            <w:r>
              <w:rPr>
                <w:rFonts w:ascii="仿宋_GB2312" w:hAnsi="仿宋_GB2312" w:cs="仿宋_GB2312" w:eastAsia="仿宋_GB2312"/>
                <w:sz w:val="20"/>
              </w:rPr>
              <w:t>后者则与同一评估者评估结果的一致性有关。</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 xml:space="preserve">4）结果完善性原则：在正确理解《GB/T39786-2021 </w:t>
            </w:r>
            <w:r>
              <w:rPr>
                <w:rFonts w:ascii="仿宋_GB2312" w:hAnsi="仿宋_GB2312" w:cs="仿宋_GB2312" w:eastAsia="仿宋_GB2312"/>
                <w:sz w:val="20"/>
              </w:rPr>
              <w:t>信息安全技术</w:t>
            </w:r>
            <w:r>
              <w:rPr>
                <w:rFonts w:ascii="仿宋_GB2312" w:hAnsi="仿宋_GB2312" w:cs="仿宋_GB2312" w:eastAsia="仿宋_GB2312"/>
                <w:sz w:val="20"/>
              </w:rPr>
              <w:t>信息系统密码应用基本要求》各个要求项内容</w:t>
            </w:r>
            <w:r>
              <w:rPr>
                <w:rFonts w:ascii="仿宋_GB2312" w:hAnsi="仿宋_GB2312" w:cs="仿宋_GB2312" w:eastAsia="仿宋_GB2312"/>
                <w:sz w:val="20"/>
              </w:rPr>
              <w:t>的基础之上，</w:t>
            </w:r>
            <w:r>
              <w:rPr>
                <w:rFonts w:ascii="仿宋_GB2312" w:hAnsi="仿宋_GB2312" w:cs="仿宋_GB2312" w:eastAsia="仿宋_GB2312"/>
                <w:sz w:val="20"/>
              </w:rPr>
              <w:t>检测所产生的结果应客观反映系统的运行状态。评估过程和结果应服从正确的评估方法，</w:t>
            </w:r>
            <w:r>
              <w:rPr>
                <w:rFonts w:ascii="仿宋_GB2312" w:hAnsi="仿宋_GB2312" w:cs="仿宋_GB2312" w:eastAsia="仿宋_GB2312"/>
                <w:sz w:val="20"/>
              </w:rPr>
              <w:t>确保其满足要求。</w:t>
            </w:r>
          </w:p>
          <w:p>
            <w:pPr>
              <w:pStyle w:val="null3"/>
              <w:numPr>
                <w:ilvl w:val="0"/>
                <w:numId w:val="1"/>
              </w:numPr>
              <w:ind w:left="300"/>
            </w:pPr>
            <w:r>
              <w:rPr>
                <w:rFonts w:ascii="仿宋_GB2312" w:hAnsi="仿宋_GB2312" w:cs="仿宋_GB2312" w:eastAsia="仿宋_GB2312"/>
                <w:sz w:val="20"/>
                <w:b/>
              </w:rPr>
              <w:t>密评服务总体</w:t>
            </w:r>
            <w:r>
              <w:rPr>
                <w:rFonts w:ascii="仿宋_GB2312" w:hAnsi="仿宋_GB2312" w:cs="仿宋_GB2312" w:eastAsia="仿宋_GB2312"/>
                <w:sz w:val="20"/>
                <w:b/>
              </w:rPr>
              <w:t>要求</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1）供应商应详细描述本次项目的整体实施方案，包括项目概述、密评方案、测试过程中需使</w:t>
            </w:r>
            <w:r>
              <w:rPr>
                <w:rFonts w:ascii="仿宋_GB2312" w:hAnsi="仿宋_GB2312" w:cs="仿宋_GB2312" w:eastAsia="仿宋_GB2312"/>
                <w:sz w:val="20"/>
              </w:rPr>
              <w:t>用测试设备清单、</w:t>
            </w:r>
            <w:r>
              <w:rPr>
                <w:rFonts w:ascii="仿宋_GB2312" w:hAnsi="仿宋_GB2312" w:cs="仿宋_GB2312" w:eastAsia="仿宋_GB2312"/>
                <w:sz w:val="20"/>
              </w:rPr>
              <w:t>时间安排</w:t>
            </w:r>
            <w:r>
              <w:rPr>
                <w:rFonts w:ascii="仿宋_GB2312" w:hAnsi="仿宋_GB2312" w:cs="仿宋_GB2312" w:eastAsia="仿宋_GB2312"/>
                <w:sz w:val="20"/>
              </w:rPr>
              <w:t>、</w:t>
            </w:r>
            <w:r>
              <w:rPr>
                <w:rFonts w:ascii="仿宋_GB2312" w:hAnsi="仿宋_GB2312" w:cs="仿宋_GB2312" w:eastAsia="仿宋_GB2312"/>
                <w:sz w:val="20"/>
              </w:rPr>
              <w:t>阶段性文档提交和验收标准等。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2）供应商应详细描述实施人员的组成、资质及各自职责的划分。供应商应配置有经验的技术</w:t>
            </w:r>
            <w:r>
              <w:rPr>
                <w:rFonts w:ascii="仿宋_GB2312" w:hAnsi="仿宋_GB2312" w:cs="仿宋_GB2312" w:eastAsia="仿宋_GB2312"/>
                <w:sz w:val="20"/>
              </w:rPr>
              <w:t>人员进行本次项目</w:t>
            </w:r>
            <w:r>
              <w:rPr>
                <w:rFonts w:ascii="仿宋_GB2312" w:hAnsi="仿宋_GB2312" w:cs="仿宋_GB2312" w:eastAsia="仿宋_GB2312"/>
                <w:sz w:val="20"/>
              </w:rPr>
              <w:t>实施。</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3）本次项目实施过程中所使用到的各种工具软件由供应商推荐</w:t>
            </w:r>
            <w:r>
              <w:rPr>
                <w:rFonts w:ascii="仿宋_GB2312" w:hAnsi="仿宋_GB2312" w:cs="仿宋_GB2312" w:eastAsia="仿宋_GB2312"/>
                <w:sz w:val="20"/>
              </w:rPr>
              <w:t>，</w:t>
            </w:r>
            <w:r>
              <w:rPr>
                <w:rFonts w:ascii="仿宋_GB2312" w:hAnsi="仿宋_GB2312" w:cs="仿宋_GB2312" w:eastAsia="仿宋_GB2312"/>
                <w:sz w:val="20"/>
              </w:rPr>
              <w:t>经采购人确认后由供应商提</w:t>
            </w:r>
            <w:r>
              <w:rPr>
                <w:rFonts w:ascii="仿宋_GB2312" w:hAnsi="仿宋_GB2312" w:cs="仿宋_GB2312" w:eastAsia="仿宋_GB2312"/>
                <w:sz w:val="20"/>
              </w:rPr>
              <w:t>供并在项目中使用。</w:t>
            </w:r>
            <w:r>
              <w:rPr>
                <w:rFonts w:ascii="仿宋_GB2312" w:hAnsi="仿宋_GB2312" w:cs="仿宋_GB2312" w:eastAsia="仿宋_GB2312"/>
                <w:sz w:val="20"/>
              </w:rPr>
              <w:t>在响应文件中应详细描述所使用的安全技术工具（软硬件型号、功能和性能描述）、</w:t>
            </w:r>
            <w:r>
              <w:rPr>
                <w:rFonts w:ascii="仿宋_GB2312" w:hAnsi="仿宋_GB2312" w:cs="仿宋_GB2312" w:eastAsia="仿宋_GB2312"/>
                <w:sz w:val="20"/>
              </w:rPr>
              <w:t>使用的方式和时间、</w:t>
            </w:r>
            <w:r>
              <w:rPr>
                <w:rFonts w:ascii="仿宋_GB2312" w:hAnsi="仿宋_GB2312" w:cs="仿宋_GB2312" w:eastAsia="仿宋_GB2312"/>
                <w:sz w:val="20"/>
              </w:rPr>
              <w:t>对环境和平台的要求以及使用可能对系统造成的风险等。</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本次项目实施过程中所使用到的测评工具，应包括</w:t>
            </w:r>
            <w:r>
              <w:rPr>
                <w:rFonts w:ascii="仿宋_GB2312" w:hAnsi="仿宋_GB2312" w:cs="仿宋_GB2312" w:eastAsia="仿宋_GB2312"/>
                <w:sz w:val="20"/>
              </w:rPr>
              <w:t>自主</w:t>
            </w:r>
            <w:r>
              <w:rPr>
                <w:rFonts w:ascii="仿宋_GB2312" w:hAnsi="仿宋_GB2312" w:cs="仿宋_GB2312" w:eastAsia="仿宋_GB2312"/>
                <w:sz w:val="20"/>
              </w:rPr>
              <w:t>密码专用检测工具、</w:t>
            </w:r>
            <w:r>
              <w:rPr>
                <w:rFonts w:ascii="仿宋_GB2312" w:hAnsi="仿宋_GB2312" w:cs="仿宋_GB2312" w:eastAsia="仿宋_GB2312"/>
                <w:sz w:val="20"/>
              </w:rPr>
              <w:t>漏洞</w:t>
            </w:r>
            <w:r>
              <w:rPr>
                <w:rFonts w:ascii="仿宋_GB2312" w:hAnsi="仿宋_GB2312" w:cs="仿宋_GB2312" w:eastAsia="仿宋_GB2312"/>
                <w:sz w:val="20"/>
              </w:rPr>
              <w:t>扫描工具等获得许可的检测工具，</w:t>
            </w:r>
            <w:r>
              <w:rPr>
                <w:rFonts w:ascii="仿宋_GB2312" w:hAnsi="仿宋_GB2312" w:cs="仿宋_GB2312" w:eastAsia="仿宋_GB2312"/>
                <w:sz w:val="20"/>
              </w:rPr>
              <w:t>对系统数据进行分析，并以分析结果辅证评估报告。</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5）安全技术工具软件运行可能需要的硬件平台（如笔记本电脑、PC、工作站等） 和操作系统</w:t>
            </w:r>
            <w:r>
              <w:rPr>
                <w:rFonts w:ascii="仿宋_GB2312" w:hAnsi="仿宋_GB2312" w:cs="仿宋_GB2312" w:eastAsia="仿宋_GB2312"/>
                <w:sz w:val="20"/>
              </w:rPr>
              <w:t>软件等由供应商推荐，</w:t>
            </w:r>
            <w:r>
              <w:rPr>
                <w:rFonts w:ascii="仿宋_GB2312" w:hAnsi="仿宋_GB2312" w:cs="仿宋_GB2312" w:eastAsia="仿宋_GB2312"/>
                <w:sz w:val="20"/>
              </w:rPr>
              <w:t>经采购人确认后由供应商提供并在项目中使用。</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6）项目实施需要的运行环境（如场地</w:t>
            </w:r>
            <w:r>
              <w:rPr>
                <w:rFonts w:ascii="仿宋_GB2312" w:hAnsi="仿宋_GB2312" w:cs="仿宋_GB2312" w:eastAsia="仿宋_GB2312"/>
                <w:sz w:val="20"/>
              </w:rPr>
              <w:t>、</w:t>
            </w:r>
            <w:r>
              <w:rPr>
                <w:rFonts w:ascii="仿宋_GB2312" w:hAnsi="仿宋_GB2312" w:cs="仿宋_GB2312" w:eastAsia="仿宋_GB2312"/>
                <w:sz w:val="20"/>
              </w:rPr>
              <w:t>网络环境等）由采购人提供，供应商应详细描述需要</w:t>
            </w:r>
            <w:r>
              <w:rPr>
                <w:rFonts w:ascii="仿宋_GB2312" w:hAnsi="仿宋_GB2312" w:cs="仿宋_GB2312" w:eastAsia="仿宋_GB2312"/>
                <w:sz w:val="20"/>
              </w:rPr>
              <w:t>的运行环境的具体要求。</w:t>
            </w:r>
          </w:p>
          <w:p>
            <w:pPr>
              <w:pStyle w:val="null3"/>
              <w:numPr>
                <w:ilvl w:val="0"/>
                <w:numId w:val="1"/>
              </w:numPr>
              <w:ind w:left="300"/>
            </w:pPr>
            <w:r>
              <w:rPr>
                <w:rFonts w:ascii="仿宋_GB2312" w:hAnsi="仿宋_GB2312" w:cs="仿宋_GB2312" w:eastAsia="仿宋_GB2312"/>
                <w:sz w:val="20"/>
                <w:b/>
              </w:rPr>
              <w:t>密评服务过程及实施要求</w:t>
            </w:r>
          </w:p>
          <w:p>
            <w:pPr>
              <w:pStyle w:val="null3"/>
              <w:ind w:firstLine="480"/>
              <w:jc w:val="both"/>
            </w:pPr>
            <w:r>
              <w:rPr>
                <w:rFonts w:ascii="仿宋_GB2312" w:hAnsi="仿宋_GB2312" w:cs="仿宋_GB2312" w:eastAsia="仿宋_GB2312"/>
                <w:sz w:val="20"/>
              </w:rPr>
              <w:t>密评服务过程包括四项基本测评活动：测评准备活动、方案编制活动、现场测评活动、分析与报告编制活动。测评机构与建设单位之间的沟通与洽谈应贯穿整个测评过程。</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1）测评准备活动</w:t>
            </w:r>
          </w:p>
          <w:p>
            <w:pPr>
              <w:pStyle w:val="null3"/>
              <w:ind w:firstLine="480"/>
              <w:jc w:val="both"/>
            </w:pPr>
            <w:r>
              <w:rPr>
                <w:rFonts w:ascii="仿宋_GB2312" w:hAnsi="仿宋_GB2312" w:cs="仿宋_GB2312" w:eastAsia="仿宋_GB2312"/>
                <w:sz w:val="20"/>
              </w:rPr>
              <w:t>本活动是开展测评工作的前提和基础，主要任务是掌握被测信息系统的详细情况，准备测评工具，为编制密评方案做好准备。</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2）方案编制活动</w:t>
            </w:r>
          </w:p>
          <w:p>
            <w:pPr>
              <w:pStyle w:val="null3"/>
              <w:ind w:firstLine="480"/>
              <w:jc w:val="both"/>
            </w:pPr>
            <w:r>
              <w:rPr>
                <w:rFonts w:ascii="仿宋_GB2312" w:hAnsi="仿宋_GB2312" w:cs="仿宋_GB2312" w:eastAsia="仿宋_GB2312"/>
                <w:sz w:val="20"/>
              </w:rPr>
              <w:t>本活动是开展测评工作的关键活动，主要任务是确定与被测信息系统相适应的测评对象、测评指标、测评检查点及测评内容等，形成密评方案，为实施现场测评提供依据。</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3）现场测评活动</w:t>
            </w:r>
          </w:p>
          <w:p>
            <w:pPr>
              <w:pStyle w:val="null3"/>
              <w:ind w:firstLine="480"/>
              <w:jc w:val="both"/>
            </w:pPr>
            <w:r>
              <w:rPr>
                <w:rFonts w:ascii="仿宋_GB2312" w:hAnsi="仿宋_GB2312" w:cs="仿宋_GB2312" w:eastAsia="仿宋_GB2312"/>
                <w:sz w:val="20"/>
              </w:rPr>
              <w:t>本活动是开展测评工作的核心活动，主要任务是根据密评方案分步实施所有测评项目，以了解被测信息系统真实的密码应用现状，获取足够的证据，发现其存在的密码应用安全性问题。</w:t>
            </w:r>
            <w:r>
              <w:rPr>
                <w:rFonts w:ascii="仿宋_GB2312" w:hAnsi="仿宋_GB2312" w:cs="仿宋_GB2312" w:eastAsia="仿宋_GB2312"/>
                <w:sz w:val="24"/>
              </w:rPr>
              <w:t xml:space="preserve"> </w:t>
            </w:r>
          </w:p>
          <w:p>
            <w:pPr>
              <w:pStyle w:val="null3"/>
              <w:ind w:firstLine="480"/>
              <w:jc w:val="both"/>
            </w:pPr>
            <w:r>
              <w:rPr>
                <w:rFonts w:ascii="仿宋_GB2312" w:hAnsi="仿宋_GB2312" w:cs="仿宋_GB2312" w:eastAsia="仿宋_GB2312"/>
                <w:sz w:val="20"/>
              </w:rPr>
              <w:t>（</w:t>
            </w:r>
            <w:r>
              <w:rPr>
                <w:rFonts w:ascii="仿宋_GB2312" w:hAnsi="仿宋_GB2312" w:cs="仿宋_GB2312" w:eastAsia="仿宋_GB2312"/>
                <w:sz w:val="20"/>
              </w:rPr>
              <w:t>4）分析与报告编制活动</w:t>
            </w:r>
          </w:p>
          <w:p>
            <w:pPr>
              <w:pStyle w:val="null3"/>
              <w:ind w:firstLine="480"/>
              <w:jc w:val="both"/>
            </w:pPr>
            <w:r>
              <w:rPr>
                <w:rFonts w:ascii="仿宋_GB2312" w:hAnsi="仿宋_GB2312" w:cs="仿宋_GB2312" w:eastAsia="仿宋_GB2312"/>
                <w:sz w:val="20"/>
              </w:rPr>
              <w:t>本活动是给出测评工作结果的活动，主要任务是根据</w:t>
            </w:r>
            <w:r>
              <w:rPr>
                <w:rFonts w:ascii="仿宋_GB2312" w:hAnsi="仿宋_GB2312" w:cs="仿宋_GB2312" w:eastAsia="仿宋_GB2312"/>
                <w:sz w:val="20"/>
              </w:rPr>
              <w:t>GB/T 39786-2021《信息安全技术 信息系统密码应用基本要求》的有关要求，通过单元测评、整体测评、量化评估和风险分析等方法，找出被测信息系统密码应用的安全保护现状与相应等级的保护要求之间的差距，并分析这些差距可能导致的被测信息系统所面临的风险，从而给出各个测评对象的测评结果和被测信息系统的评估结论，形成密评报告。</w:t>
            </w:r>
          </w:p>
          <w:p>
            <w:pPr>
              <w:pStyle w:val="null3"/>
              <w:ind w:firstLine="480"/>
              <w:jc w:val="both"/>
            </w:pPr>
            <w:r>
              <w:rPr>
                <w:rFonts w:ascii="仿宋_GB2312" w:hAnsi="仿宋_GB2312" w:cs="仿宋_GB2312" w:eastAsia="仿宋_GB2312"/>
                <w:sz w:val="20"/>
              </w:rPr>
              <w:t>密评各阶段详细的服务内容如下表：</w:t>
            </w:r>
          </w:p>
          <w:tbl>
            <w:tblPr>
              <w:tblInd w:type="dxa" w:w="120"/>
              <w:tblBorders>
                <w:top w:val="none" w:color="000000" w:sz="4"/>
                <w:left w:val="none" w:color="000000" w:sz="4"/>
                <w:bottom w:val="none" w:color="000000" w:sz="4"/>
                <w:right w:val="none" w:color="000000" w:sz="4"/>
                <w:insideH w:val="none"/>
                <w:insideV w:val="none"/>
              </w:tblBorders>
            </w:tblPr>
            <w:tblGrid>
              <w:gridCol w:w="216"/>
              <w:gridCol w:w="391"/>
              <w:gridCol w:w="391"/>
              <w:gridCol w:w="1554"/>
            </w:tblGrid>
            <w:tr>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测评阶段</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测评类别</w:t>
                  </w:r>
                </w:p>
              </w:tc>
              <w:tc>
                <w:tcPr>
                  <w:tcW w:type="dxa" w:w="15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服务说明</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评估准备</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准备阶段</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0"/>
                    </w:rPr>
                    <w:t>编制项目计划书、收集被测系统基本资料并完成调查表格，分析调查结果，准备工具和评估表单</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方案编制</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评估方案编制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0"/>
                    </w:rPr>
                    <w:t>识别并描述被测系统基本情况、确定测评对象、资产和威胁评估、系统定级结果和测评指标、确定检查点和检查方法、确定单元测评内容</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总体测评</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总体要求</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0"/>
                    </w:rPr>
                    <w:t>通过访谈、配置检查和工具测试的方式评估信息系统的密码算法、密码技术、密码产品和密码服务的合规性</w:t>
                  </w:r>
                </w:p>
              </w:tc>
            </w:tr>
            <w:tr>
              <w:tc>
                <w:tcPr>
                  <w:tcW w:type="dxa" w:w="21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安全技术测评</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物理和环境安全</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0"/>
                    </w:rPr>
                    <w:t>通过访谈、配置检查和工具测试的方式测评信息系统机房环境的安全情况。主要涉及对象为机房环境的电子门禁系统。本次评测包括电子门禁的身份鉴别和电子门禁记录的完整性保护。</w:t>
                  </w:r>
                </w:p>
              </w:tc>
            </w:tr>
            <w:tr>
              <w:tc>
                <w:tcPr>
                  <w:tcW w:type="dxa" w:w="216"/>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网络和通信安全</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0"/>
                    </w:rPr>
                    <w:t>通过访谈、配置检查和工具测试的方式测评信息系统的网络和通信安全保障情况。本次重点测评包括通信对象的身份鉴别、访问控制信息完整性、通信数据完整性和通信数据机密性等</w:t>
                  </w:r>
                </w:p>
              </w:tc>
            </w:tr>
            <w:tr>
              <w:tc>
                <w:tcPr>
                  <w:tcW w:type="dxa" w:w="216"/>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设备和计算安全</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0"/>
                    </w:rPr>
                    <w:t>通过访谈、配置检查和工具测试的方式测评信息系统的主机安全保障情况，本次重点测评包括本地主机和数据库服务器身份鉴别、远程管理身份鉴别身份信息机密性、访问控制信息完整性、敏感标记完整性、日志记录完整性等</w:t>
                  </w:r>
                </w:p>
              </w:tc>
            </w:tr>
            <w:tr>
              <w:tc>
                <w:tcPr>
                  <w:tcW w:type="dxa" w:w="216"/>
                  <w:vMerge/>
                  <w:tcBorders>
                    <w:top w:val="none" w:color="000000" w:sz="4"/>
                    <w:left w:val="single" w:color="000000" w:sz="4"/>
                    <w:bottom w:val="single" w:color="000000" w:sz="4"/>
                    <w:right w:val="single" w:color="000000" w:sz="4"/>
                  </w:tcBorders>
                </w:tcPr>
                <w:p/>
              </w:tc>
              <w:tc>
                <w:tcPr>
                  <w:tcW w:type="dxa" w:w="391"/>
                  <w:vMerge/>
                  <w:tcBorders>
                    <w:top w:val="none" w:color="000000" w:sz="4"/>
                    <w:left w:val="single" w:color="000000" w:sz="4"/>
                    <w:bottom w:val="single" w:color="000000" w:sz="4"/>
                    <w:right w:val="single" w:color="000000" w:sz="4"/>
                  </w:tcBorders>
                </w:tcP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应用和数据安全</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0"/>
                    </w:rPr>
                    <w:t>将通过访谈、配置检查的方式测评信息系统的数据安全保障情况，主要涉及对象为信息系统的管理数据及业务数据等</w:t>
                  </w:r>
                  <w:r>
                    <w:rPr>
                      <w:rFonts w:ascii="仿宋_GB2312" w:hAnsi="仿宋_GB2312" w:cs="仿宋_GB2312" w:eastAsia="仿宋_GB2312"/>
                      <w:sz w:val="20"/>
                    </w:rPr>
                    <w:t>,本次重点测评包括信息系统身份鉴别、访问控制信息完整性、数据传输机密性、数据存储机密性、数据传输完整性、数据存储完整性、日志记录完整性等</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安全管理测评</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安全管理</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0"/>
                    </w:rPr>
                    <w:t>安全管理部分为全局性问题，涉及密码安全管理制度、密码安全管理人员、系统实施和系统应急管理等四个方面。</w:t>
                  </w:r>
                </w:p>
              </w:tc>
            </w:tr>
            <w:tr>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分析报告阶段</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报告编制</w:t>
                  </w:r>
                </w:p>
              </w:tc>
              <w:tc>
                <w:tcPr>
                  <w:tcW w:type="dxa" w:w="15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40"/>
                    <w:jc w:val="left"/>
                  </w:pPr>
                  <w:r>
                    <w:rPr>
                      <w:rFonts w:ascii="仿宋_GB2312" w:hAnsi="仿宋_GB2312" w:cs="仿宋_GB2312" w:eastAsia="仿宋_GB2312"/>
                      <w:sz w:val="20"/>
                    </w:rPr>
                    <w:t>根据测评编制《信息系统商用密码应用安全性评估报告》，包括：概述、被测系统描述、测评对象说明、测评指标说明、测评内容和方法说明、单元测评的结果记录及结果汇总、整体测评、测评结果汇总、风险分析、评估结论等内容。</w:t>
                  </w:r>
                </w:p>
              </w:tc>
            </w:tr>
          </w:tbl>
          <w:p>
            <w:pPr>
              <w:pStyle w:val="null3"/>
              <w:numPr>
                <w:ilvl w:val="0"/>
                <w:numId w:val="1"/>
              </w:numPr>
              <w:ind w:firstLine="480"/>
              <w:jc w:val="both"/>
            </w:pPr>
            <w:r>
              <w:rPr>
                <w:rFonts w:ascii="仿宋_GB2312" w:hAnsi="仿宋_GB2312" w:cs="仿宋_GB2312" w:eastAsia="仿宋_GB2312"/>
                <w:sz w:val="20"/>
                <w:b/>
              </w:rPr>
              <w:t>保密要求</w:t>
            </w:r>
          </w:p>
          <w:p>
            <w:pPr>
              <w:pStyle w:val="null3"/>
              <w:ind w:firstLine="480"/>
              <w:jc w:val="both"/>
            </w:pPr>
            <w:r>
              <w:rPr>
                <w:rFonts w:ascii="仿宋_GB2312" w:hAnsi="仿宋_GB2312" w:cs="仿宋_GB2312" w:eastAsia="仿宋_GB2312"/>
                <w:sz w:val="20"/>
              </w:rPr>
              <w:t>供应商必须和采购人签订保密协议，</w:t>
            </w:r>
            <w:r>
              <w:rPr>
                <w:rFonts w:ascii="仿宋_GB2312" w:hAnsi="仿宋_GB2312" w:cs="仿宋_GB2312" w:eastAsia="仿宋_GB2312"/>
                <w:sz w:val="20"/>
              </w:rPr>
              <w:t>供应商必须要与参加此次项目的所有项目组成员签订保密协</w:t>
            </w:r>
            <w:r>
              <w:rPr>
                <w:rFonts w:ascii="仿宋_GB2312" w:hAnsi="仿宋_GB2312" w:cs="仿宋_GB2312" w:eastAsia="仿宋_GB2312"/>
                <w:sz w:val="20"/>
              </w:rPr>
              <w:t>议，</w:t>
            </w:r>
            <w:r>
              <w:rPr>
                <w:rFonts w:ascii="仿宋_GB2312" w:hAnsi="仿宋_GB2312" w:cs="仿宋_GB2312" w:eastAsia="仿宋_GB2312"/>
                <w:sz w:val="20"/>
              </w:rPr>
              <w:t>在合同签订时一并提供给采购人。</w:t>
            </w:r>
          </w:p>
          <w:p>
            <w:pPr>
              <w:pStyle w:val="null3"/>
              <w:ind w:firstLine="480"/>
              <w:jc w:val="both"/>
            </w:pPr>
            <w:r>
              <w:rPr>
                <w:rFonts w:ascii="仿宋_GB2312" w:hAnsi="仿宋_GB2312" w:cs="仿宋_GB2312" w:eastAsia="仿宋_GB2312"/>
                <w:sz w:val="20"/>
              </w:rPr>
              <w:t>供应商具体实施项目中的重要资料和结果，</w:t>
            </w:r>
            <w:r>
              <w:rPr>
                <w:rFonts w:ascii="仿宋_GB2312" w:hAnsi="仿宋_GB2312" w:cs="仿宋_GB2312" w:eastAsia="仿宋_GB2312"/>
                <w:sz w:val="20"/>
              </w:rPr>
              <w:t>在项目实施期间和实施结束后，供应商不得带离该地</w:t>
            </w:r>
            <w:r>
              <w:rPr>
                <w:rFonts w:ascii="仿宋_GB2312" w:hAnsi="仿宋_GB2312" w:cs="仿宋_GB2312" w:eastAsia="仿宋_GB2312"/>
                <w:sz w:val="20"/>
              </w:rPr>
              <w:t>点。</w:t>
            </w:r>
          </w:p>
          <w:p>
            <w:pPr>
              <w:pStyle w:val="null3"/>
              <w:ind w:firstLine="480"/>
              <w:jc w:val="both"/>
            </w:pPr>
            <w:r>
              <w:rPr>
                <w:rFonts w:ascii="仿宋_GB2312" w:hAnsi="仿宋_GB2312" w:cs="仿宋_GB2312" w:eastAsia="仿宋_GB2312"/>
                <w:sz w:val="20"/>
              </w:rPr>
              <w:t>供应商对本规范书中的内容及在应标过程中接触的设备信息、</w:t>
            </w:r>
            <w:r>
              <w:rPr>
                <w:rFonts w:ascii="仿宋_GB2312" w:hAnsi="仿宋_GB2312" w:cs="仿宋_GB2312" w:eastAsia="仿宋_GB2312"/>
                <w:sz w:val="20"/>
              </w:rPr>
              <w:t>数据资料等负有保密责任，</w:t>
            </w:r>
            <w:r>
              <w:rPr>
                <w:rFonts w:ascii="仿宋_GB2312" w:hAnsi="仿宋_GB2312" w:cs="仿宋_GB2312" w:eastAsia="仿宋_GB2312"/>
                <w:sz w:val="20"/>
              </w:rPr>
              <w:t>不得泄</w:t>
            </w:r>
            <w:r>
              <w:rPr>
                <w:rFonts w:ascii="仿宋_GB2312" w:hAnsi="仿宋_GB2312" w:cs="仿宋_GB2312" w:eastAsia="仿宋_GB2312"/>
                <w:sz w:val="20"/>
              </w:rPr>
              <w:t>露给任何第三方。</w:t>
            </w:r>
            <w:r>
              <w:rPr>
                <w:rFonts w:ascii="仿宋_GB2312" w:hAnsi="仿宋_GB2312" w:cs="仿宋_GB2312" w:eastAsia="仿宋_GB2312"/>
                <w:sz w:val="20"/>
              </w:rPr>
              <w:t>无论供应商中标与否，其对上述内容的保密责任将长期存在。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详见服务内容及服务要求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详见服务内容及服务要求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15日历天完项目实施准备工作，35日历天完成等保测评服务，5日历天完成售后服务及培训，10日历天完成其他技术服务内容。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3日历天完成测评准备活动，3日历天完成方案编制活动，12日历天完成现场测评活动，12日历天完成分析与报告编制活动，5日历天完成售后服务及培训、备案。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陕西省公安厅交通警察总队指定地点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陕西省公安厅交通警察总队指定地点。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1：项目完成后。验收合格条件为：符合国家标准和行业标准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2：项目完成后。验收合格条件为：符合国家标准和行业标准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初验合格后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初验合格后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1、服务要求：符合国家及行业有关现行规范、标准的要求 2、投标保证金退还： A．未中标供应商：自成交通知书发出之日起5个工作日内退还未中标供应商的投标保证金，无需亲自前来办理； B.中标供应商：自采购合同签订之日起5个工作日内退还中标供应商的投标保证金。（须携带合同复印件（加盖单位鲜章）一份，同时将合同扫描件发送至联系人邮箱），但因成交供应商自身原因导致无法及时退还的除外。 3、有下列情况之一的，采购代理机构不予退还其交纳的投标保证金； A、开标后在招标文件规定的投标有效期间，投标人撤回其所投投标文件的； B、中标人无正当理由不与采购人签订合同的； C、中标人将中标项目转让给他人，或者在投标文件中未说明，且未经采购人同意，将中标项目分包给他人的； D、中标人拒绝履行合同义务的； E、中标人未按时缴付中标服务费的； F、由于中标人的原因导致中标无效的。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投标人应提交的相关资格证明材料采购包1.docx 投标人承诺书.docx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投标人应提交的相关资格证明材料采购包2.docx 投标文件封面 投标人承诺书.docx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投标人应提交的相关资格证明材料采购包2.docx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投标人应提交的相关资格证明材料采购包1.docx 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法定代表人授权书及被授权人身份证明。（法定代表人直接投标只须提交其身份证明）</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投标人须具有《网络安全等级测评与检测评估机构服务认证证书》</w:t>
            </w:r>
          </w:p>
        </w:tc>
        <w:tc>
          <w:tcPr>
            <w:tcW w:type="dxa" w:w="3322"/>
          </w:tcPr>
          <w:p>
            <w:pPr>
              <w:pStyle w:val="null3"/>
            </w:pPr>
            <w:r>
              <w:rPr>
                <w:rFonts w:ascii="仿宋_GB2312" w:hAnsi="仿宋_GB2312" w:cs="仿宋_GB2312" w:eastAsia="仿宋_GB2312"/>
              </w:rPr>
              <w:t>投标人须具有《网络安全等级测评与检测评估机构服务认证证书》,投标人提供证书复印件并加盖公章。</w:t>
            </w:r>
          </w:p>
        </w:tc>
        <w:tc>
          <w:tcPr>
            <w:tcW w:type="dxa" w:w="1661"/>
          </w:tcPr>
          <w:p>
            <w:pPr>
              <w:pStyle w:val="null3"/>
            </w:pPr>
            <w:r>
              <w:rPr>
                <w:rFonts w:ascii="仿宋_GB2312" w:hAnsi="仿宋_GB2312" w:cs="仿宋_GB2312" w:eastAsia="仿宋_GB2312"/>
              </w:rPr>
              <w:t>投标人应提交的相关资格证明材料采购包1.docx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以上两种形式的资料提供任何一种即可）</w:t>
            </w:r>
          </w:p>
        </w:tc>
        <w:tc>
          <w:tcPr>
            <w:tcW w:type="dxa" w:w="1661"/>
          </w:tcPr>
          <w:p>
            <w:pPr>
              <w:pStyle w:val="null3"/>
            </w:pPr>
            <w:r>
              <w:rPr>
                <w:rFonts w:ascii="仿宋_GB2312" w:hAnsi="仿宋_GB2312" w:cs="仿宋_GB2312" w:eastAsia="仿宋_GB2312"/>
              </w:rPr>
              <w:t>投标人应提交的相关资格证明材料采购包2.docx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至今已缴纳至少一个月的依法缴纳税款的相关凭据（时间以税款所属日期为准、税种须包含增值税或企业所得税），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投标人应提交的相关资格证明材料采购包2.docx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提供2025年01月至今已缴存的至少一个月的社会保障资金缴存单据或社保机构开具的社会保险参保缴费情况证明，依法不需要缴存社会保障资金的单位应提供相关证明材料。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投标人应提交的相关资格证明材料采购包2.docx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投标人应提交的相关资格证明材料采购包2.docx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投标人应提交的相关资格证明材料采购包2.docx 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法定代表人授权书及被授权人身份证明。（法定代表人直接投标只须提交其身份证明）</w:t>
            </w:r>
          </w:p>
        </w:tc>
        <w:tc>
          <w:tcPr>
            <w:tcW w:type="dxa" w:w="1661"/>
          </w:tcPr>
          <w:p>
            <w:pPr>
              <w:pStyle w:val="null3"/>
            </w:pPr>
            <w:r>
              <w:rPr>
                <w:rFonts w:ascii="仿宋_GB2312" w:hAnsi="仿宋_GB2312" w:cs="仿宋_GB2312" w:eastAsia="仿宋_GB2312"/>
              </w:rPr>
              <w:t>投标人应提交的相关资格证明材料采购包2.docx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投标人须具备国家密码管理部门同意其开展商用密码应用安全性评估的证明资料</w:t>
            </w:r>
          </w:p>
        </w:tc>
        <w:tc>
          <w:tcPr>
            <w:tcW w:type="dxa" w:w="3322"/>
          </w:tcPr>
          <w:p>
            <w:pPr>
              <w:pStyle w:val="null3"/>
            </w:pPr>
            <w:r>
              <w:rPr>
                <w:rFonts w:ascii="仿宋_GB2312" w:hAnsi="仿宋_GB2312" w:cs="仿宋_GB2312" w:eastAsia="仿宋_GB2312"/>
              </w:rPr>
              <w:t>投标人须具备、商用密码应用安全性评估业务资质，即供应商在国家密码管理局公告（49号）的《商用密码检测机构（商用密码应用安全性评估业务）目录》内，投标人提供证明资料复印件并加盖公章。</w:t>
            </w:r>
          </w:p>
        </w:tc>
        <w:tc>
          <w:tcPr>
            <w:tcW w:type="dxa" w:w="1661"/>
          </w:tcPr>
          <w:p>
            <w:pPr>
              <w:pStyle w:val="null3"/>
            </w:pPr>
            <w:r>
              <w:rPr>
                <w:rFonts w:ascii="仿宋_GB2312" w:hAnsi="仿宋_GB2312" w:cs="仿宋_GB2312" w:eastAsia="仿宋_GB2312"/>
              </w:rPr>
              <w:t>投标人应提交的相关资格证明材料采购包2.docx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投标人应提交的相关资格证明材料采购包2.docx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服务方案 商务条款响应说明采购包1.docx 投标人承诺书.docx 技术指标偏差表采购包1.docx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（1）投标报价表填写符合要求；（2）投标 报价未超出采购预算（招标文件有最高限价的，报价未超过最高限价）。</w:t>
            </w:r>
          </w:p>
        </w:tc>
        <w:tc>
          <w:tcPr>
            <w:tcW w:type="dxa" w:w="1661"/>
          </w:tcPr>
          <w:p>
            <w:pPr>
              <w:pStyle w:val="null3"/>
            </w:pPr>
            <w:r>
              <w:rPr>
                <w:rFonts w:ascii="仿宋_GB2312" w:hAnsi="仿宋_GB2312" w:cs="仿宋_GB2312" w:eastAsia="仿宋_GB2312"/>
              </w:rPr>
              <w:t>开标一览表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投标函 中小企业声明函 残疾人福利性单位声明函 标的清单 投标文件封面 商务条款响应说明采购包1.docx 投标人应提交的相关资格证明材料采购包1.docx 投标人承诺书.docx 监狱企业的证明文件 技术指标偏差表采购包1.docx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投标文件封面 商务条款响应说明采购包1.docx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服务方案 商务条款响应说明采购包1.docx 投标人应提交的相关资格证明材料采购包1.docx 投标人承诺书.docx 技术指标偏差表采购包1.docx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技术指标偏差表采购包2.docx 服务方案 投标人承诺书.docx 商务条款响应说明采购包2.docx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（1）投标报价表填写符合要求；（2）投标 报价未超出采购预算（招标文件有最高限价的，报价未超过最高限价）。</w:t>
            </w:r>
          </w:p>
        </w:tc>
        <w:tc>
          <w:tcPr>
            <w:tcW w:type="dxa" w:w="1661"/>
          </w:tcPr>
          <w:p>
            <w:pPr>
              <w:pStyle w:val="null3"/>
            </w:pPr>
            <w:r>
              <w:rPr>
                <w:rFonts w:ascii="仿宋_GB2312" w:hAnsi="仿宋_GB2312" w:cs="仿宋_GB2312" w:eastAsia="仿宋_GB2312"/>
              </w:rPr>
              <w:t>开标一览表 投标函 标的清单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w:t>
            </w:r>
          </w:p>
        </w:tc>
        <w:tc>
          <w:tcPr>
            <w:tcW w:type="dxa" w:w="1661"/>
          </w:tcPr>
          <w:p>
            <w:pPr>
              <w:pStyle w:val="null3"/>
            </w:pPr>
            <w:r>
              <w:rPr>
                <w:rFonts w:ascii="仿宋_GB2312" w:hAnsi="仿宋_GB2312" w:cs="仿宋_GB2312" w:eastAsia="仿宋_GB2312"/>
              </w:rPr>
              <w:t>开标一览表 技术指标偏差表采购包2.docx 投标函 中小企业声明函 残疾人福利性单位声明函 服务方案 标的清单 投标人应提交的相关资格证明材料采购包2.docx 投标文件封面 投标人承诺书.docx 监狱企业的证明文件 商务条款响应说明采购包2.docx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投标文件封面 商务条款响应说明采购包2.docx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满足招标文件要求。</w:t>
            </w:r>
          </w:p>
        </w:tc>
        <w:tc>
          <w:tcPr>
            <w:tcW w:type="dxa" w:w="1661"/>
          </w:tcPr>
          <w:p>
            <w:pPr>
              <w:pStyle w:val="null3"/>
            </w:pPr>
            <w:r>
              <w:rPr>
                <w:rFonts w:ascii="仿宋_GB2312" w:hAnsi="仿宋_GB2312" w:cs="仿宋_GB2312" w:eastAsia="仿宋_GB2312"/>
              </w:rPr>
              <w:t>技术指标偏差表采购包2.docx 服务方案 投标人应提交的相关资格证明材料采购包2.docx 投标人承诺书.docx 商务条款响应说明采购包2.docx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等级保护测评实施方案</w:t>
            </w:r>
          </w:p>
        </w:tc>
        <w:tc>
          <w:tcPr>
            <w:tcW w:type="dxa" w:w="2492"/>
          </w:tcPr>
          <w:p>
            <w:pPr>
              <w:pStyle w:val="null3"/>
            </w:pPr>
            <w:r>
              <w:rPr>
                <w:rFonts w:ascii="仿宋_GB2312" w:hAnsi="仿宋_GB2312" w:cs="仿宋_GB2312" w:eastAsia="仿宋_GB2312"/>
              </w:rPr>
              <w:t>投标人根据网络安全等级保护基本要求（GB/T 22239-2019）制定等级保护测评工作的实施方案，包括测评对象分析、测评方法、测评过程、测评内容、安全服务计划等内容。 ①方案全面完整、切实可行、满足本项目实际需求得16分； ②方案全面完整、可行性较高、基本满足本项目实际需求得13分； ③方案基本完整、可行性较低得10分； ④方案不完整、可行性低得6分； ⑤缺项或无实质性响应内容不得分。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投标人根据本项目实际需求情况，对本项目进行全面、准确、细致的需求分析，并针对服务内容进行综合描述。 方案全面完整、切实可行、满足本项目实际需求,得10分； 方案基本完整、可行性较高、基本满足本项目实际需求得7分；方案不完整、可行性低得4分；不提供需求分析方案，得0分。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进度控制计划</w:t>
            </w:r>
          </w:p>
        </w:tc>
        <w:tc>
          <w:tcPr>
            <w:tcW w:type="dxa" w:w="2492"/>
          </w:tcPr>
          <w:p>
            <w:pPr>
              <w:pStyle w:val="null3"/>
            </w:pPr>
            <w:r>
              <w:rPr>
                <w:rFonts w:ascii="仿宋_GB2312" w:hAnsi="仿宋_GB2312" w:cs="仿宋_GB2312" w:eastAsia="仿宋_GB2312"/>
              </w:rPr>
              <w:t>投标人根据服务需求制定测评进度控制计划，包含进度分解、影响因素分析、影响因素应对措施、进度监测措施等内容。 进度控制计划全面详实，完全满足项目需求，得9分； 进度控制计划较为全面详实，基本满足项目需求，得6分； 进度控制计划不够全面详实，不能满足项目需求，得3分； 不提供进度控制计划，得0分。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为保障在测评项目结束后的信息安全，须提供完善的售后服务，包括应急响应服务、电话支持服务、配合检查服务、安全咨询服务、安全培训服务等内容，能提供以上服务并做出相应说明，服务内容完善并有详细的说明。 ①方案全面完整、切实可行、满足本项目实际需求得6分； ②方案全面完整、可行性较高、基本满足本项目实际需求得5分； ③方案基本完整、可行性较低得4分； ④方案不完整、可行性低得2分； ⑤缺项或无实质性响应内容不得分。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投标人制定针对受测系统所属部门的培训方案，包括培训需求分析、培训对象、培训方式、培训人数、培训时间等安排。 方案全面详实，完全满足采购需求，得10分； 方案较为全面详实，满足采购需求，得7分； 方案不够全面详实，基本满足采购，得4分 ；方案不够全面详实，不能满足采购需求，得2分； 不提供方案得0分。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项目经理</w:t>
            </w:r>
          </w:p>
        </w:tc>
        <w:tc>
          <w:tcPr>
            <w:tcW w:type="dxa" w:w="2492"/>
          </w:tcPr>
          <w:p>
            <w:pPr>
              <w:pStyle w:val="null3"/>
            </w:pPr>
            <w:r>
              <w:rPr>
                <w:rFonts w:ascii="仿宋_GB2312" w:hAnsi="仿宋_GB2312" w:cs="仿宋_GB2312" w:eastAsia="仿宋_GB2312"/>
              </w:rPr>
              <w:t>项目经理具备：①高级网络安全等级测评师证书、②网络安全能力认证证书（CCSC）-网络安全管理、③大数据-DSMM测评师证书，每具备一个得1分，满分3分。（提供证书复印件和人员在投标单位开标日前6个月内任一月的社保缴费证明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技术主管</w:t>
            </w:r>
          </w:p>
        </w:tc>
        <w:tc>
          <w:tcPr>
            <w:tcW w:type="dxa" w:w="2492"/>
          </w:tcPr>
          <w:p>
            <w:pPr>
              <w:pStyle w:val="null3"/>
            </w:pPr>
            <w:r>
              <w:rPr>
                <w:rFonts w:ascii="仿宋_GB2312" w:hAnsi="仿宋_GB2312" w:cs="仿宋_GB2312" w:eastAsia="仿宋_GB2312"/>
              </w:rPr>
              <w:t>技术主管具备：①高级网络安全等级测评师证书、②网络安全服务能力评价证书（CCSS-R)、③注册数据安全治理专业人员（CISP-DSG),每具备一个得1分，满分3分。 （提供证书复印件和人员在投标单位开标日前6个月内任一月的社保缴费证明并加盖公章。）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质量负责人</w:t>
            </w:r>
          </w:p>
        </w:tc>
        <w:tc>
          <w:tcPr>
            <w:tcW w:type="dxa" w:w="2492"/>
          </w:tcPr>
          <w:p>
            <w:pPr>
              <w:pStyle w:val="null3"/>
            </w:pPr>
            <w:r>
              <w:rPr>
                <w:rFonts w:ascii="仿宋_GB2312" w:hAnsi="仿宋_GB2312" w:cs="仿宋_GB2312" w:eastAsia="仿宋_GB2312"/>
              </w:rPr>
              <w:t>质量负责人具备：①中级网络安全等级测评师证书、②注册信息安全工程师证书（CISP-CISE）、③信息安全保障人员认证证书（CISAW-应急服务），每具备一个得1分，满分3分。 （提供证书复印件和人员在投标单位开标日前6个月内任一月的社保缴费证明并加盖公章。）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项目团队成员（除项目经理、技术主管、质量负责人外）具有注册信息安全专业人员（CISP）证书，每有1人得2.5分，最高得5分，人员证书重复不计分。 （提供证书复印件和人员在投标单位开标日前6个月内任一月的社保缴费证明并加盖公章）。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企业技术实力</w:t>
            </w:r>
          </w:p>
        </w:tc>
        <w:tc>
          <w:tcPr>
            <w:tcW w:type="dxa" w:w="2492"/>
          </w:tcPr>
          <w:p>
            <w:pPr>
              <w:pStyle w:val="null3"/>
            </w:pPr>
            <w:r>
              <w:rPr>
                <w:rFonts w:ascii="仿宋_GB2312" w:hAnsi="仿宋_GB2312" w:cs="仿宋_GB2312" w:eastAsia="仿宋_GB2312"/>
              </w:rPr>
              <w:t>1、投标人具有①ISO/IEC 27001信息安全管理体系认证证书、②ISO9001质量管理体系认证证书、③ISO/IEC 20000信息技术服务管理体系认证证书，④ISO 45001职业健康管理体系认证证书，⑤ISO 14001环境管理体系认证证书，每具备一个得1分，满分5分。 2、投标人具有CCRC信息安全服务资质证书（信息安全风险评估、信息安全应急处理），每具备一个得1分，满分2分。（提供证书复印件加盖公章）.</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为保证项目质量，服务商具备自研的网络安全等级保护测评、渗透测试或安全核查服务工具等，以提供的软件著作权证书为准，提供30个以上（含30个）得10分，提供20个以上（含20个）得6分，提供10个以上（含10个）得3分，提供10个以下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投标人提供2022年1月1日至今（以合同签订时间为准）类似业绩，以合同协议书为准，每份计1分，最高计8分。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 经资格审查、符合性审查合格的投标文件，其投标报价为有效投标报价。满足招标文件要求且投标价格最低的投标报价为评标基准价，其价格分为满分。价格分按照下列公式计算。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根据各投标人对项目的理解以及提供的技术方案（包括但不限于项目分析、工作流程、密评指标、测评方法、实施方案、方案评估、报告编制、项目验收、合理化建议、保密措施、售后服务等）进行综合评审： 1、对项目理解透彻，服务方案详细完整，内容表述清晰，针对性强、可操作性强的计15分； 2、对项目理解透彻，服务方案详细完整，内容表述比较清晰，针对性、可操作性较为完善的计12分； 2、对项目基本理解，服务方案基本完整，内容表述稍有欠缺，针对性、可操作性稍有不足的计8分； 4、对项目理解模糊，服务方案粗略，内容表述不清晰，针对性、可操作性有明显瑕疵的计4分。未提供不得分。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1、项目负责人：①具有商用密码应用安全性评估从业人员考试合格证明、②密码技术应用员证书，每具备一个得1分，满分2分。 2、项目交付经理：①具有商用密码应用安全性评估从业人员考试合格证明、②密码技术应用员证书、③PMP证书（项目管理专业人员）或信息系统项目管理师证书，以上证书每具备一个得1分，满分3分。 3、项目团队成员（除项目负责人及项目交付经理外）：拟投入本项目的其他人员不少于5人且具备商用密码应用安全性评估从业人员考核成绩合格证明，得5分（提供人员的学历、身份证复印件、工作年限、工作经验）。 项目组成员（除项目负责人及项目交付经理外）：①具有CISE证书（注册信息安全工程师）、②CISO证书（注册信息安全管理人员）、③PMP证书（项目管理专业人员），提供一个计1分，同一人具备多个证书不累计得分，满分3分。 （注：投标人须提供以上证书复印件并加盖公章予以证明，未提供或证明材料不全者不得分）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项目风险防范措施</w:t>
            </w:r>
          </w:p>
        </w:tc>
        <w:tc>
          <w:tcPr>
            <w:tcW w:type="dxa" w:w="2492"/>
          </w:tcPr>
          <w:p>
            <w:pPr>
              <w:pStyle w:val="null3"/>
            </w:pPr>
            <w:r>
              <w:rPr>
                <w:rFonts w:ascii="仿宋_GB2312" w:hAnsi="仿宋_GB2312" w:cs="仿宋_GB2312" w:eastAsia="仿宋_GB2312"/>
              </w:rPr>
              <w:t>根据投标人提供的项目实施过程中的风险防范措施，并明确保密责任与赔偿承诺，根据方案评分。 1.内容深刻全面的得8分； 2.内容基本全面的得5分； 3.内容不够完善的得3分； 4.内容表述不清得1分；5.未提供的不得分。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项目管理措施</w:t>
            </w:r>
          </w:p>
        </w:tc>
        <w:tc>
          <w:tcPr>
            <w:tcW w:type="dxa" w:w="2492"/>
          </w:tcPr>
          <w:p>
            <w:pPr>
              <w:pStyle w:val="null3"/>
            </w:pPr>
            <w:r>
              <w:rPr>
                <w:rFonts w:ascii="仿宋_GB2312" w:hAnsi="仿宋_GB2312" w:cs="仿宋_GB2312" w:eastAsia="仿宋_GB2312"/>
              </w:rPr>
              <w:t>根据投标人提供的项目质量管理过程控制及监控手段，能确保技术人员按照相应的操作指导规范实施，有完善的质量保证管理体系。 1.内容深刻全面的得7分； 2.内容基本全面的得5分； 3.内容不够完善的得3分； 4.内容表述不清的得1分；5.未提供的不得分。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内控措施方案</w:t>
            </w:r>
          </w:p>
        </w:tc>
        <w:tc>
          <w:tcPr>
            <w:tcW w:type="dxa" w:w="2492"/>
          </w:tcPr>
          <w:p>
            <w:pPr>
              <w:pStyle w:val="null3"/>
            </w:pPr>
            <w:r>
              <w:rPr>
                <w:rFonts w:ascii="仿宋_GB2312" w:hAnsi="仿宋_GB2312" w:cs="仿宋_GB2312" w:eastAsia="仿宋_GB2312"/>
              </w:rPr>
              <w:t>根据投标人提供的内控措施方案进行综合评审： 1、内控措施方案详细完整，内容表述清晰，具备针对性、可操作性，有承诺的得10分； 2、内控措施方案基本完整，内容表述较为清晰，针对性、可操作性较可行的得7分； 3、内控措施方案基本完整，内容表述稍有欠缺，针对性、可操作性稍有不足的得5分； 4、内控措施方案粗略，内容表述不清晰，针对性、可操作性有明显瑕疵的得3分。未提供不得分。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测评环境和工具</w:t>
            </w:r>
          </w:p>
        </w:tc>
        <w:tc>
          <w:tcPr>
            <w:tcW w:type="dxa" w:w="2492"/>
          </w:tcPr>
          <w:p>
            <w:pPr>
              <w:pStyle w:val="null3"/>
            </w:pPr>
            <w:r>
              <w:rPr>
                <w:rFonts w:ascii="仿宋_GB2312" w:hAnsi="仿宋_GB2312" w:cs="仿宋_GB2312" w:eastAsia="仿宋_GB2312"/>
              </w:rPr>
              <w:t>投标人具备专业的测评检测工具以及模拟验证环境： 1、具备与密码测评有关的检测工具，每提供1个检测工具计1分，最多累计计6分； （注：投标人须提供检测工具相应的计算机软件著作权登记证书或专利证书复印件加盖公章予以证明，否则不计分） 2、具备密码测评的模拟验证环境，计4分。 （注：投标人须提供模拟验证环境设备清单及设备采购合同并加盖公章予以证明，否则不计分）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综合实力</w:t>
            </w:r>
          </w:p>
        </w:tc>
        <w:tc>
          <w:tcPr>
            <w:tcW w:type="dxa" w:w="2492"/>
          </w:tcPr>
          <w:p>
            <w:pPr>
              <w:pStyle w:val="null3"/>
            </w:pPr>
            <w:r>
              <w:rPr>
                <w:rFonts w:ascii="仿宋_GB2312" w:hAnsi="仿宋_GB2312" w:cs="仿宋_GB2312" w:eastAsia="仿宋_GB2312"/>
              </w:rPr>
              <w:t>投标人具备较强综合实力，以相关资质证书为评分依据： 1、投标人具备国家密码管理部门颁发的商用密码产品检测机构资质的计1分；2、投标人具备CNAS检验机构认可证书或CMA(中国计量认证证书)的计1分；3、投标人具备信息安全风险评估服务证书的计1分。 （注：投标人须提供以上资质证书复印件并加盖公章予以证明，否则不计分。）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为投标人提供针对本项目的售后服务方案及承诺，内容全面、详细、可行， ①方案全面完整、切实可行、满足本项目实际需求得14分； ②方案全面完整、可行性较高、基本满足本项目实际需求得11分； ③方案基本完整、可行性较低得9分； ④方案不完整、可行性低得4分； ⑤缺项或无实质性响应内容不得分。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对投标人类似项目业绩进行评审，每提供一个符合要求的项目业绩计1分，最多累计计10分。 （注：投标人须提供业绩合同复印件并加盖公章予以证明，否则不计分）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1、满足采购要求且报价最低的投标人报价为基准价，其价格分为满分10分。 2、其他投标人的报价得分计算公式如下： 报价得分=(基准价／投标人报价)×10；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详见附件：投标人应提交的相关资格证明材料采购包1.docx</w:t>
      </w:r>
    </w:p>
    <w:p>
      <w:pPr>
        <w:pStyle w:val="null3"/>
        <w:ind w:firstLine="960"/>
      </w:pPr>
      <w:r>
        <w:rPr>
          <w:rFonts w:ascii="仿宋_GB2312" w:hAnsi="仿宋_GB2312" w:cs="仿宋_GB2312" w:eastAsia="仿宋_GB2312"/>
        </w:rPr>
        <w:t>详见附件：技术指标偏差表采购包1.docx</w:t>
      </w:r>
    </w:p>
    <w:p>
      <w:pPr>
        <w:pStyle w:val="null3"/>
        <w:ind w:firstLine="960"/>
      </w:pPr>
      <w:r>
        <w:rPr>
          <w:rFonts w:ascii="仿宋_GB2312" w:hAnsi="仿宋_GB2312" w:cs="仿宋_GB2312" w:eastAsia="仿宋_GB2312"/>
        </w:rPr>
        <w:t>详见附件：商务条款响应说明采购包1.docx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详见附件：投标人应提交的相关资格证明材料采购包2.docx</w:t>
      </w:r>
    </w:p>
    <w:p>
      <w:pPr>
        <w:pStyle w:val="null3"/>
        <w:ind w:firstLine="960"/>
      </w:pPr>
      <w:r>
        <w:rPr>
          <w:rFonts w:ascii="仿宋_GB2312" w:hAnsi="仿宋_GB2312" w:cs="仿宋_GB2312" w:eastAsia="仿宋_GB2312"/>
        </w:rPr>
        <w:t>详见附件：技术指标偏差表采购包2.docx</w:t>
      </w:r>
    </w:p>
    <w:p>
      <w:pPr>
        <w:pStyle w:val="null3"/>
        <w:ind w:firstLine="960"/>
      </w:pPr>
      <w:r>
        <w:rPr>
          <w:rFonts w:ascii="仿宋_GB2312" w:hAnsi="仿宋_GB2312" w:cs="仿宋_GB2312" w:eastAsia="仿宋_GB2312"/>
        </w:rPr>
        <w:t>详见附件：商务条款响应说明采购包2.docx</w:t>
      </w:r>
    </w:p>
    <w:p>
      <w:pPr>
        <w:pStyle w:val="null3"/>
        <w:ind w:firstLine="960"/>
      </w:pPr>
      <w:r>
        <w:rPr>
          <w:rFonts w:ascii="仿宋_GB2312" w:hAnsi="仿宋_GB2312" w:cs="仿宋_GB2312" w:eastAsia="仿宋_GB2312"/>
        </w:rPr>
        <w:t>详见附件：投标人承诺书.docx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lvl w:ilvl="2">
      <w:start w:val="1"/>
      <w:numFmt w:val="decimal"/>
      <w:lvlText w:val="%3."/>
      <w:lvlJc w:val="left"/>
      <w:pPr>
        <w:ind w:left="720"/>
      </w:pPr>
    </w:lvl>
    <w:lvl w:ilvl="3">
      <w:start w:val="1"/>
      <w:numFmt w:val="decimal"/>
      <w:lvlText w:val="%4."/>
      <w:lvlJc w:val="left"/>
      <w:pPr>
        <w:ind w:left="1080"/>
      </w:pPr>
    </w:lvl>
    <w:lvl w:ilvl="4">
      <w:start w:val="1"/>
      <w:numFmt w:val="decimal"/>
      <w:lvlText w:val="%5."/>
      <w:lvlJc w:val="left"/>
      <w:pPr>
        <w:ind w:left="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