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2B20F">
      <w:pPr>
        <w:spacing w:line="360" w:lineRule="auto"/>
        <w:jc w:val="center"/>
        <w:rPr>
          <w:rFonts w:hint="eastAsia" w:ascii="仿宋" w:hAnsi="仿宋" w:eastAsia="仿宋" w:cs="仿宋"/>
          <w:sz w:val="36"/>
          <w:szCs w:val="44"/>
        </w:rPr>
      </w:pPr>
      <w:bookmarkStart w:id="0" w:name="_GoBack"/>
      <w:bookmarkEnd w:id="0"/>
    </w:p>
    <w:p w14:paraId="00F19D5D">
      <w:pPr>
        <w:spacing w:line="360" w:lineRule="auto"/>
        <w:jc w:val="center"/>
        <w:rPr>
          <w:rFonts w:ascii="仿宋" w:hAnsi="仿宋" w:eastAsia="仿宋" w:cs="仿宋"/>
          <w:sz w:val="36"/>
          <w:szCs w:val="44"/>
        </w:rPr>
      </w:pPr>
      <w:r>
        <w:rPr>
          <w:rFonts w:hint="eastAsia" w:ascii="仿宋" w:hAnsi="仿宋" w:eastAsia="仿宋" w:cs="仿宋"/>
          <w:sz w:val="36"/>
          <w:szCs w:val="44"/>
        </w:rPr>
        <w:t>陕西省卫生健康委锅炉更换项目采购合同书</w:t>
      </w:r>
    </w:p>
    <w:p w14:paraId="548DC2B6">
      <w:pPr>
        <w:spacing w:line="44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7C34B14B">
      <w:pPr>
        <w:pStyle w:val="2"/>
        <w:rPr>
          <w:rFonts w:ascii="仿宋" w:hAnsi="仿宋" w:eastAsia="仿宋" w:cs="仿宋"/>
          <w:b/>
          <w:sz w:val="36"/>
          <w:szCs w:val="36"/>
        </w:rPr>
      </w:pPr>
    </w:p>
    <w:p w14:paraId="59BE1F17">
      <w:pPr>
        <w:rPr>
          <w:rFonts w:ascii="仿宋" w:hAnsi="仿宋" w:eastAsia="仿宋" w:cs="仿宋"/>
          <w:b/>
          <w:sz w:val="36"/>
          <w:szCs w:val="36"/>
        </w:rPr>
      </w:pPr>
    </w:p>
    <w:p w14:paraId="0C705630">
      <w:pPr>
        <w:pStyle w:val="2"/>
        <w:rPr>
          <w:rFonts w:ascii="仿宋" w:hAnsi="仿宋" w:eastAsia="仿宋" w:cs="仿宋"/>
          <w:b/>
          <w:sz w:val="36"/>
          <w:szCs w:val="36"/>
        </w:rPr>
      </w:pPr>
    </w:p>
    <w:p w14:paraId="238ECF5F">
      <w:pPr>
        <w:pStyle w:val="2"/>
        <w:rPr>
          <w:rFonts w:ascii="仿宋" w:hAnsi="仿宋" w:eastAsia="仿宋" w:cs="仿宋"/>
        </w:rPr>
      </w:pPr>
    </w:p>
    <w:p w14:paraId="1DD5656A">
      <w:pPr>
        <w:spacing w:line="440" w:lineRule="exact"/>
        <w:jc w:val="center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陕西省卫生健康委后勤服务中心制定</w:t>
      </w:r>
    </w:p>
    <w:p w14:paraId="07BF5BC6">
      <w:pPr>
        <w:pStyle w:val="6"/>
        <w:spacing w:line="360" w:lineRule="auto"/>
        <w:ind w:firstLine="0"/>
        <w:rPr>
          <w:rFonts w:ascii="仿宋" w:hAnsi="仿宋" w:eastAsia="仿宋" w:cs="仿宋"/>
          <w:color w:val="000000"/>
          <w:sz w:val="24"/>
          <w:szCs w:val="24"/>
        </w:rPr>
      </w:pPr>
    </w:p>
    <w:p w14:paraId="2C0BEC87">
      <w:pPr>
        <w:pStyle w:val="6"/>
        <w:spacing w:line="360" w:lineRule="auto"/>
        <w:ind w:firstLine="0"/>
        <w:rPr>
          <w:rFonts w:ascii="仿宋" w:hAnsi="仿宋" w:eastAsia="仿宋" w:cs="仿宋"/>
          <w:color w:val="000000"/>
          <w:sz w:val="24"/>
          <w:szCs w:val="24"/>
        </w:rPr>
      </w:pPr>
    </w:p>
    <w:p w14:paraId="4BE71C9C">
      <w:pPr>
        <w:pStyle w:val="6"/>
        <w:spacing w:line="360" w:lineRule="auto"/>
        <w:ind w:firstLine="0"/>
        <w:rPr>
          <w:rFonts w:ascii="仿宋" w:hAnsi="仿宋" w:eastAsia="仿宋" w:cs="仿宋"/>
          <w:color w:val="000000"/>
          <w:sz w:val="24"/>
          <w:szCs w:val="24"/>
        </w:rPr>
      </w:pPr>
    </w:p>
    <w:p w14:paraId="6F414592">
      <w:pPr>
        <w:pStyle w:val="6"/>
        <w:spacing w:line="360" w:lineRule="auto"/>
        <w:ind w:firstLine="0"/>
        <w:rPr>
          <w:rFonts w:ascii="仿宋" w:hAnsi="仿宋" w:eastAsia="仿宋" w:cs="仿宋"/>
          <w:color w:val="000000"/>
          <w:sz w:val="24"/>
          <w:szCs w:val="24"/>
        </w:rPr>
      </w:pPr>
    </w:p>
    <w:p w14:paraId="21FCE4A3">
      <w:pPr>
        <w:pStyle w:val="6"/>
        <w:spacing w:line="360" w:lineRule="auto"/>
        <w:ind w:firstLine="0"/>
        <w:rPr>
          <w:rFonts w:ascii="仿宋" w:hAnsi="仿宋" w:eastAsia="仿宋" w:cs="仿宋"/>
          <w:color w:val="000000"/>
          <w:sz w:val="24"/>
          <w:szCs w:val="24"/>
        </w:rPr>
      </w:pPr>
    </w:p>
    <w:p w14:paraId="3ED07C1F">
      <w:pPr>
        <w:pStyle w:val="6"/>
        <w:spacing w:line="360" w:lineRule="auto"/>
        <w:ind w:firstLine="0"/>
        <w:rPr>
          <w:rFonts w:ascii="仿宋" w:hAnsi="仿宋" w:eastAsia="仿宋" w:cs="仿宋"/>
          <w:color w:val="000000"/>
          <w:sz w:val="24"/>
          <w:szCs w:val="24"/>
        </w:rPr>
      </w:pPr>
    </w:p>
    <w:p w14:paraId="7AD3A34E">
      <w:pPr>
        <w:pStyle w:val="6"/>
        <w:spacing w:line="360" w:lineRule="auto"/>
        <w:ind w:firstLine="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委托方（全称）：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ascii="仿宋" w:hAnsi="仿宋" w:eastAsia="PMingLiU" w:cs="仿宋"/>
          <w:color w:val="000000"/>
          <w:sz w:val="24"/>
          <w:szCs w:val="24"/>
          <w:u w:val="single"/>
        </w:rPr>
        <w:t xml:space="preserve">                               </w:t>
      </w:r>
      <w:r>
        <w:rPr>
          <w:rFonts w:ascii="仿宋" w:hAnsi="仿宋" w:eastAsia="PMingLiU" w:cs="仿宋"/>
          <w:color w:val="00000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</w:p>
    <w:p w14:paraId="73416374">
      <w:pPr>
        <w:spacing w:line="440" w:lineRule="exact"/>
        <w:jc w:val="left"/>
        <w:rPr>
          <w:rFonts w:ascii="仿宋" w:hAnsi="仿宋" w:eastAsia="仿宋" w:cs="仿宋"/>
          <w:b/>
          <w:sz w:val="36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受托方（全称）：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</w:t>
      </w:r>
      <w:r>
        <w:rPr>
          <w:rFonts w:ascii="仿宋" w:hAnsi="仿宋" w:eastAsia="PMingLiU" w:cs="仿宋"/>
          <w:color w:val="000000"/>
          <w:sz w:val="24"/>
          <w:u w:val="single"/>
        </w:rPr>
        <w:t xml:space="preserve">                               </w:t>
      </w:r>
      <w:r>
        <w:rPr>
          <w:rFonts w:ascii="仿宋" w:hAnsi="仿宋" w:eastAsia="PMingLiU" w:cs="仿宋"/>
          <w:color w:val="000000"/>
          <w:sz w:val="24"/>
        </w:rPr>
        <w:t xml:space="preserve">  </w:t>
      </w:r>
    </w:p>
    <w:p w14:paraId="44E97A93">
      <w:pPr>
        <w:spacing w:line="440" w:lineRule="exact"/>
        <w:jc w:val="center"/>
        <w:rPr>
          <w:rFonts w:ascii="仿宋" w:hAnsi="仿宋" w:eastAsia="仿宋" w:cs="仿宋"/>
          <w:b/>
          <w:sz w:val="36"/>
        </w:rPr>
      </w:pPr>
    </w:p>
    <w:p w14:paraId="19CAFB6F">
      <w:pPr>
        <w:pStyle w:val="3"/>
        <w:autoSpaceDE w:val="0"/>
        <w:snapToGrid w:val="0"/>
        <w:spacing w:line="660" w:lineRule="exact"/>
        <w:jc w:val="center"/>
        <w:textAlignment w:val="baseline"/>
        <w:rPr>
          <w:rFonts w:ascii="仿宋" w:hAnsi="仿宋" w:eastAsia="仿宋" w:cs="仿宋"/>
          <w:b/>
          <w:bCs/>
          <w:snapToGrid w:val="0"/>
          <w:color w:val="000000"/>
          <w:spacing w:val="20"/>
          <w:kern w:val="0"/>
          <w:sz w:val="40"/>
          <w:szCs w:val="4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br w:type="page"/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20"/>
          <w:kern w:val="0"/>
          <w:sz w:val="40"/>
          <w:szCs w:val="40"/>
        </w:rPr>
        <w:t>陕西省卫生健康委锅炉更换项目合同</w:t>
      </w:r>
    </w:p>
    <w:p w14:paraId="73A6946D">
      <w:pPr>
        <w:spacing w:line="360" w:lineRule="auto"/>
        <w:contextualSpacing/>
        <w:rPr>
          <w:rFonts w:ascii="仿宋" w:hAnsi="仿宋" w:eastAsia="仿宋" w:cs="仿宋"/>
          <w:color w:val="000000"/>
          <w:kern w:val="0"/>
          <w:sz w:val="24"/>
          <w:szCs w:val="20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0"/>
        </w:rPr>
        <w:t>甲方：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0"/>
          <w:u w:val="single"/>
        </w:rPr>
        <w:t xml:space="preserve">                              </w:t>
      </w:r>
    </w:p>
    <w:p w14:paraId="46013A7D">
      <w:pPr>
        <w:spacing w:line="360" w:lineRule="auto"/>
        <w:contextualSpacing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0"/>
        </w:rPr>
        <w:t>乙方：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0"/>
          <w:u w:val="single"/>
        </w:rPr>
        <w:t xml:space="preserve">                             </w:t>
      </w:r>
    </w:p>
    <w:p w14:paraId="413BF63E">
      <w:pPr>
        <w:spacing w:line="360" w:lineRule="auto"/>
        <w:ind w:firstLine="480" w:firstLineChars="200"/>
        <w:contextualSpacing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</w:rPr>
        <w:t>根据《中华人民共和国民法典》及其他有关法律法规，遵循平等、自愿、公平和诚实信用原则，经双方协商一致，</w:t>
      </w:r>
      <w:r>
        <w:rPr>
          <w:rFonts w:hint="eastAsia" w:ascii="仿宋" w:hAnsi="仿宋" w:eastAsia="仿宋" w:cs="仿宋"/>
          <w:kern w:val="0"/>
          <w:sz w:val="24"/>
          <w:szCs w:val="20"/>
        </w:rPr>
        <w:t>就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>陕西省卫生健康委锅炉更换项目</w:t>
      </w:r>
      <w:r>
        <w:rPr>
          <w:rFonts w:hint="eastAsia" w:ascii="仿宋" w:hAnsi="仿宋" w:eastAsia="仿宋" w:cs="仿宋"/>
          <w:kern w:val="0"/>
          <w:sz w:val="24"/>
          <w:szCs w:val="20"/>
        </w:rPr>
        <w:t>事项达成一致意见，</w:t>
      </w:r>
      <w:r>
        <w:rPr>
          <w:rFonts w:hint="eastAsia" w:ascii="仿宋" w:hAnsi="仿宋" w:eastAsia="仿宋" w:cs="仿宋"/>
          <w:kern w:val="0"/>
          <w:sz w:val="24"/>
        </w:rPr>
        <w:t>签订本合同，双方共同遵照执行。</w:t>
      </w:r>
      <w:r>
        <w:rPr>
          <w:rFonts w:hint="eastAsia" w:ascii="仿宋" w:hAnsi="仿宋" w:eastAsia="仿宋" w:cs="仿宋"/>
          <w:kern w:val="0"/>
          <w:sz w:val="24"/>
          <w:szCs w:val="20"/>
        </w:rPr>
        <w:t>具体条款如下：</w:t>
      </w:r>
    </w:p>
    <w:p w14:paraId="45EA3FDF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第一条 合同价款（设备标的、数量详见附件二）</w:t>
      </w:r>
    </w:p>
    <w:p w14:paraId="7F181A5A">
      <w:pPr>
        <w:spacing w:line="360" w:lineRule="auto"/>
        <w:ind w:firstLine="470" w:firstLineChars="196"/>
        <w:contextualSpacing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本合同价款为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元</w:t>
      </w:r>
      <w:r>
        <w:rPr>
          <w:rFonts w:hint="eastAsia" w:ascii="仿宋" w:hAnsi="仿宋" w:eastAsia="仿宋" w:cs="仿宋"/>
          <w:kern w:val="0"/>
          <w:sz w:val="24"/>
          <w:szCs w:val="20"/>
        </w:rPr>
        <w:t>，大写：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0"/>
        </w:rPr>
        <w:t>，其中锅炉设备价款为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    元</w:t>
      </w:r>
      <w:r>
        <w:rPr>
          <w:rFonts w:hint="eastAsia" w:ascii="仿宋" w:hAnsi="仿宋" w:eastAsia="仿宋" w:cs="仿宋"/>
          <w:kern w:val="0"/>
          <w:sz w:val="24"/>
          <w:szCs w:val="20"/>
        </w:rPr>
        <w:t xml:space="preserve">，大写 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szCs w:val="20"/>
        </w:rPr>
        <w:t>，安装及改造工程价款为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元</w:t>
      </w:r>
      <w:r>
        <w:rPr>
          <w:rFonts w:hint="eastAsia" w:ascii="仿宋" w:hAnsi="仿宋" w:eastAsia="仿宋" w:cs="仿宋"/>
          <w:kern w:val="0"/>
          <w:sz w:val="24"/>
          <w:szCs w:val="20"/>
        </w:rPr>
        <w:t>，大写：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szCs w:val="20"/>
        </w:rPr>
        <w:t>，合同总价固定，结算时不做调整。乙方锅炉设备价款开具货物销售增值税专用发票（税率13%），安装及改造工程价款开具工程增值税专用发票（税率9%）。</w:t>
      </w:r>
    </w:p>
    <w:p w14:paraId="571757D2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第二条 交货地点及时间、运输方式及费用负担</w:t>
      </w:r>
    </w:p>
    <w:p w14:paraId="38BDE4D5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2.1 交货地点:西安市莲湖区莲湖路112号</w:t>
      </w:r>
    </w:p>
    <w:p w14:paraId="4757EB06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 xml:space="preserve">2.2 交货时间： </w:t>
      </w:r>
    </w:p>
    <w:p w14:paraId="7AEBBE10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2.3 乙方办理运输并承担运费。</w:t>
      </w:r>
    </w:p>
    <w:p w14:paraId="62A7884D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第三条 质量标准</w:t>
      </w:r>
    </w:p>
    <w:p w14:paraId="613F987A">
      <w:pPr>
        <w:spacing w:line="360" w:lineRule="auto"/>
        <w:ind w:firstLine="470" w:firstLineChars="196"/>
        <w:contextualSpacing/>
        <w:rPr>
          <w:rFonts w:ascii="仿宋" w:hAnsi="仿宋" w:eastAsia="仿宋" w:cs="仿宋"/>
          <w:spacing w:val="12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锅炉质量符合国家TSG11-2020锅炉安全技术规程（2024年最新版）要求及《技术协议书》约定。</w:t>
      </w:r>
    </w:p>
    <w:p w14:paraId="2A4E6F50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第四条 付款方式</w:t>
      </w:r>
    </w:p>
    <w:p w14:paraId="05D45D11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1.合同签订7日内甲方支付合同总价款的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u w:val="single"/>
        </w:rPr>
        <w:t>40%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作为合同预付款；</w:t>
      </w:r>
    </w:p>
    <w:p w14:paraId="2C07A6C3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2.乙方送货至指定地点且验收合格后7日内，甲方支付合同总价款的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u w:val="single"/>
        </w:rPr>
        <w:t>40%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；</w:t>
      </w:r>
    </w:p>
    <w:p w14:paraId="49918071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3.设备就位安装调试完成，正常运行一周后甲方支付合同总价款的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u w:val="single"/>
        </w:rPr>
        <w:t>20%</w:t>
      </w: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。</w:t>
      </w:r>
    </w:p>
    <w:p w14:paraId="1E57790A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color w:val="000000"/>
          <w:kern w:val="0"/>
          <w:sz w:val="24"/>
        </w:rPr>
        <w:t>第五条 结算方式</w:t>
      </w:r>
    </w:p>
    <w:p w14:paraId="43053B4A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合同款采用电汇或银行转帐至乙方，如因甲方原因无法电汇或银行转账至乙方账户，则甲方必须通知乙方财务部，如未按上述方式办理，双方则视为甲方未按合同履约，因此造成的后果由甲方承担。乙方收款帐户信息如下:</w:t>
      </w:r>
    </w:p>
    <w:p w14:paraId="0794FBED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 xml:space="preserve">户名： </w:t>
      </w:r>
    </w:p>
    <w:p w14:paraId="5CB77752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 xml:space="preserve">账号： </w:t>
      </w:r>
    </w:p>
    <w:p w14:paraId="068EAFFF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 xml:space="preserve">开户行： </w:t>
      </w:r>
    </w:p>
    <w:p w14:paraId="5E90B723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第六条 乙方对质量负责的条件及期限</w:t>
      </w:r>
    </w:p>
    <w:p w14:paraId="5847795F">
      <w:pPr>
        <w:spacing w:line="360" w:lineRule="auto"/>
        <w:ind w:firstLine="470" w:firstLineChars="196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从验收合格之日起两个采暖季。质保期内锅炉有任何质量问题均免费维修或更换（含耗材），质保期外，终身回访、跟踪服务。</w:t>
      </w:r>
    </w:p>
    <w:p w14:paraId="07D31BD0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第七条 甲方责任和义务</w:t>
      </w:r>
    </w:p>
    <w:p w14:paraId="1F1BA95D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7.1甲方应按照合同约定时间及时支付各笔合同款项。</w:t>
      </w:r>
    </w:p>
    <w:p w14:paraId="2AEA85F6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7.2 甲方保证乙方设备进场后具有合适的就位场地，并组织协调安装工作。</w:t>
      </w:r>
    </w:p>
    <w:p w14:paraId="02C9ED00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7.3 甲方须在到货当日按装箱单进行验收，如有异议，于当日书面向乙方提出，当日无异议视为合格。。</w:t>
      </w:r>
    </w:p>
    <w:p w14:paraId="454B4173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7.4 甲方应指派专业技术人员参加培训并熟悉设备技术操作。</w:t>
      </w:r>
    </w:p>
    <w:p w14:paraId="409960B2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7.5责任经第三方鉴定后，因甲方自身原因违规操作，产生的损失或危害与乙方无关。</w:t>
      </w:r>
    </w:p>
    <w:p w14:paraId="78598272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第八条 乙方责任和义务</w:t>
      </w:r>
    </w:p>
    <w:p w14:paraId="57E326B9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8.1乙方对设备生产、运输过程中的安全负责。</w:t>
      </w:r>
    </w:p>
    <w:p w14:paraId="05CEFE75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8.2本项目为交钥匙工程，乙方负责设备安装调试，确保设备能够正常投入运行（含标准化标识标牌）。</w:t>
      </w:r>
    </w:p>
    <w:p w14:paraId="4140C305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8.3设备安装完毕并调试通过后，乙方派专业人员对甲方人员进行培训，确保甲方人</w:t>
      </w:r>
      <w:r>
        <w:rPr>
          <w:rFonts w:hint="eastAsia" w:ascii="仿宋" w:hAnsi="仿宋" w:eastAsia="仿宋" w:cs="仿宋"/>
          <w:bCs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5911850</wp:posOffset>
                </wp:positionH>
                <wp:positionV relativeFrom="paragraph">
                  <wp:posOffset>-974090</wp:posOffset>
                </wp:positionV>
                <wp:extent cx="772160" cy="76200"/>
                <wp:effectExtent l="7620" t="7620" r="20320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160" cy="76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2BC2825">
                            <w:pPr>
                              <w:spacing w:line="720" w:lineRule="auto"/>
                              <w:ind w:firstLine="210" w:firstLineChars="100"/>
                              <w:rPr>
                                <w:rFonts w:eastAsia="宋体"/>
                                <w:color w:val="D8D8D8"/>
                              </w:rPr>
                            </w:pPr>
                            <w:r>
                              <w:rPr>
                                <w:rFonts w:hint="eastAsia"/>
                                <w:color w:val="D8D8D8"/>
                              </w:rPr>
                              <w:t>甲 乙 双 方 加 盖 骑 缝 章</w:t>
                            </w:r>
                          </w:p>
                        </w:txbxContent>
                      </wps:txbx>
                      <wps:bodyPr vert="mongolian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5.5pt;margin-top:-76.7pt;height:6pt;width:60.8pt;z-index:251659264;mso-width-relative:page;mso-height-relative:page;" fillcolor="#FFFFFF" filled="t" stroked="t" coordsize="21600,21600" o:gfxdata="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ST7BKdsAAAAOAQAADwAAAAAAAAABACAAAAAiAAAAZHJzL2Rvd25yZXYueG1sUEsB&#10;AhQAFAAAAAgAh07iQE2T/8lkAgAABgUAAA4AAAAAAAAAAQAgAAAAKgEAAGRycy9lMm9Eb2MueG1s&#10;UEsFBgAAAAAGAAYAWQEAAAAGAAAAAA=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 style="layout-flow:vertical;mso-layout-flow-alt:top-to-bottom;">
                  <w:txbxContent>
                    <w:p w14:paraId="12BC2825">
                      <w:pPr>
                        <w:spacing w:line="720" w:lineRule="auto"/>
                        <w:ind w:firstLine="210" w:firstLineChars="100"/>
                        <w:rPr>
                          <w:rFonts w:eastAsia="宋体"/>
                          <w:color w:val="D8D8D8"/>
                        </w:rPr>
                      </w:pPr>
                      <w:r>
                        <w:rPr>
                          <w:rFonts w:hint="eastAsia"/>
                          <w:color w:val="D8D8D8"/>
                        </w:rPr>
                        <w:t>甲 乙 双 方 加 盖 骑 缝 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Cs/>
          <w:kern w:val="0"/>
          <w:sz w:val="24"/>
        </w:rPr>
        <w:t>员掌握设备正确操作流程和日常维护知识。设备正式投入运行后，乙方专业人员需通过网络或电话的方式指导甲方人员，对设备使用跟踪30个工作日。</w:t>
      </w:r>
    </w:p>
    <w:p w14:paraId="7FA3695B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8.4乙方应在设备验收交付时，将资质证明、技术资料等相关文件同时交给甲方作为设备备案及存档。</w:t>
      </w:r>
    </w:p>
    <w:p w14:paraId="59CC91BA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第九条 违约责任</w:t>
      </w:r>
    </w:p>
    <w:p w14:paraId="031F65AF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9.1、如甲方未按期支付合同款，乙方有权停止向甲方发货及售后服务，甚至终止设备使用权，由此造成的损失由甲方承担。并从逾期三十天次日起，每天向乙方偿付合同额3‰的违约金。</w:t>
      </w:r>
    </w:p>
    <w:p w14:paraId="3514791E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9.2、因乙方责任逾期交货，从逾期三十天起每天向甲方偿付合同额3‰的违约金。</w:t>
      </w:r>
    </w:p>
    <w:p w14:paraId="5A3BDAB0">
      <w:pPr>
        <w:spacing w:line="360" w:lineRule="auto"/>
        <w:ind w:firstLine="470" w:firstLineChars="196"/>
        <w:contextualSpacing/>
        <w:rPr>
          <w:rFonts w:ascii="仿宋" w:hAnsi="仿宋" w:eastAsia="仿宋" w:cs="仿宋"/>
          <w:bCs/>
          <w:kern w:val="0"/>
          <w:sz w:val="24"/>
        </w:rPr>
      </w:pPr>
      <w:r>
        <w:rPr>
          <w:rFonts w:hint="eastAsia" w:ascii="仿宋" w:hAnsi="仿宋" w:eastAsia="仿宋" w:cs="仿宋"/>
          <w:bCs/>
          <w:kern w:val="0"/>
          <w:sz w:val="24"/>
        </w:rPr>
        <w:t>9.3、因甲方原因逾期送（提）货，从逾期六个月时间内按合同约定支付合同款。</w:t>
      </w:r>
    </w:p>
    <w:p w14:paraId="3ECCB7C5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第十条 合同争议的解决方式</w:t>
      </w:r>
    </w:p>
    <w:p w14:paraId="274C707E">
      <w:pPr>
        <w:spacing w:line="360" w:lineRule="auto"/>
        <w:ind w:firstLine="470" w:firstLineChars="196"/>
        <w:contextualSpacing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10.1、由双方当事人协商解决；</w:t>
      </w:r>
    </w:p>
    <w:p w14:paraId="64E22B0C">
      <w:pPr>
        <w:spacing w:line="360" w:lineRule="auto"/>
        <w:ind w:firstLine="470" w:firstLineChars="196"/>
        <w:contextualSpacing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10.2、协商未果，提请甲方所在地</w:t>
      </w:r>
      <w:r>
        <w:rPr>
          <w:rFonts w:hint="eastAsia" w:ascii="仿宋" w:hAnsi="仿宋" w:eastAsia="仿宋" w:cs="仿宋"/>
          <w:color w:val="000000"/>
          <w:sz w:val="24"/>
        </w:rPr>
        <w:t>人民法院提起诉讼</w:t>
      </w:r>
      <w:r>
        <w:rPr>
          <w:rFonts w:hint="eastAsia" w:ascii="仿宋" w:hAnsi="仿宋" w:eastAsia="仿宋" w:cs="仿宋"/>
          <w:kern w:val="0"/>
          <w:sz w:val="24"/>
          <w:szCs w:val="20"/>
        </w:rPr>
        <w:t>。</w:t>
      </w:r>
    </w:p>
    <w:p w14:paraId="74E2197D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第十一条 本合同生效、解除的条件</w:t>
      </w:r>
    </w:p>
    <w:p w14:paraId="2D0925E3">
      <w:pPr>
        <w:spacing w:line="360" w:lineRule="auto"/>
        <w:ind w:firstLine="470" w:firstLineChars="196"/>
        <w:contextualSpacing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自双方签字盖章之日起生效；甲方付清货款，乙方质保期满后解除。</w:t>
      </w:r>
    </w:p>
    <w:p w14:paraId="67D09481">
      <w:pPr>
        <w:spacing w:line="360" w:lineRule="auto"/>
        <w:ind w:firstLine="472" w:firstLineChars="196"/>
        <w:contextualSpacing/>
        <w:rPr>
          <w:rFonts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第十二条 其它约定事项</w:t>
      </w:r>
    </w:p>
    <w:p w14:paraId="40CDFC41">
      <w:pPr>
        <w:spacing w:line="360" w:lineRule="auto"/>
        <w:ind w:firstLine="470" w:firstLineChars="196"/>
        <w:contextualSpacing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12.1、乙方工作界面为：附件所列所主要设备、附属设备、零部件的供应，并且负责设备的检验、包装、运输、装卸、吊装、安装、调试、培训、验收、售后服务及投标明细中列明的所有工程改造及土建在内的所有内容。</w:t>
      </w:r>
    </w:p>
    <w:p w14:paraId="0F9C9E7A">
      <w:pPr>
        <w:spacing w:line="360" w:lineRule="auto"/>
        <w:ind w:firstLine="470" w:firstLineChars="196"/>
        <w:contextualSpacing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12.2、工程改造热水锅炉管道与预留主管道碰口。</w:t>
      </w:r>
    </w:p>
    <w:p w14:paraId="1CAFC2D3">
      <w:pPr>
        <w:spacing w:line="360" w:lineRule="auto"/>
        <w:ind w:firstLine="470" w:firstLineChars="196"/>
        <w:contextualSpacing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12.3、吊装要求：锅炉卸车、就位、搬倒时必须采用吊装，吊装费用乙方承担。</w:t>
      </w:r>
    </w:p>
    <w:p w14:paraId="31CD570F">
      <w:pPr>
        <w:spacing w:line="360" w:lineRule="auto"/>
        <w:ind w:firstLine="470" w:firstLineChars="196"/>
        <w:contextualSpacing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 xml:space="preserve">12.4、乙方负责设计锅炉房图纸。      </w:t>
      </w:r>
      <w:r>
        <w:rPr>
          <w:rFonts w:hint="eastAsia" w:ascii="仿宋" w:hAnsi="仿宋" w:eastAsia="仿宋" w:cs="仿宋"/>
          <w:sz w:val="24"/>
        </w:rPr>
        <w:t xml:space="preserve">                                             </w:t>
      </w:r>
    </w:p>
    <w:p w14:paraId="185F500F">
      <w:pPr>
        <w:spacing w:line="360" w:lineRule="auto"/>
        <w:ind w:firstLine="470" w:firstLineChars="196"/>
        <w:contextualSpacing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12.5、本合同一式陆份，甲方肆份，乙方贰份。</w:t>
      </w:r>
    </w:p>
    <w:p w14:paraId="314B46F9">
      <w:pPr>
        <w:pStyle w:val="7"/>
        <w:spacing w:line="360" w:lineRule="auto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附件一：企业营业执照及开户行信息</w:t>
      </w:r>
    </w:p>
    <w:p w14:paraId="7BBCB096">
      <w:pPr>
        <w:pStyle w:val="7"/>
        <w:spacing w:line="360" w:lineRule="auto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附件二：投标设备清单</w:t>
      </w:r>
    </w:p>
    <w:tbl>
      <w:tblPr>
        <w:tblStyle w:val="4"/>
        <w:tblW w:w="10738" w:type="dxa"/>
        <w:jc w:val="center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233"/>
        <w:gridCol w:w="5505"/>
      </w:tblGrid>
      <w:tr w14:paraId="033FC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93" w:hRule="atLeast"/>
          <w:tblCellSpacing w:w="15" w:type="dxa"/>
          <w:jc w:val="center"/>
        </w:trPr>
        <w:tc>
          <w:tcPr>
            <w:tcW w:w="5188" w:type="dxa"/>
            <w:noWrap w:val="0"/>
            <w:vAlign w:val="center"/>
          </w:tcPr>
          <w:p w14:paraId="3CF0627F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甲方：（签章）</w:t>
            </w:r>
          </w:p>
        </w:tc>
        <w:tc>
          <w:tcPr>
            <w:tcW w:w="5460" w:type="dxa"/>
            <w:noWrap w:val="0"/>
            <w:vAlign w:val="center"/>
          </w:tcPr>
          <w:p w14:paraId="7B9FB0FC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乙方：（签章）</w:t>
            </w:r>
          </w:p>
        </w:tc>
      </w:tr>
      <w:tr w14:paraId="0F2B5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84" w:hRule="atLeast"/>
          <w:tblCellSpacing w:w="15" w:type="dxa"/>
          <w:jc w:val="center"/>
        </w:trPr>
        <w:tc>
          <w:tcPr>
            <w:tcW w:w="5188" w:type="dxa"/>
            <w:noWrap w:val="0"/>
            <w:vAlign w:val="center"/>
          </w:tcPr>
          <w:p w14:paraId="4041B118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住所：</w:t>
            </w:r>
          </w:p>
        </w:tc>
        <w:tc>
          <w:tcPr>
            <w:tcW w:w="5460" w:type="dxa"/>
            <w:noWrap w:val="0"/>
            <w:vAlign w:val="center"/>
          </w:tcPr>
          <w:p w14:paraId="5BF83820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住所：</w:t>
            </w:r>
          </w:p>
        </w:tc>
      </w:tr>
      <w:tr w14:paraId="563CC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25" w:hRule="atLeast"/>
          <w:tblCellSpacing w:w="15" w:type="dxa"/>
          <w:jc w:val="center"/>
        </w:trPr>
        <w:tc>
          <w:tcPr>
            <w:tcW w:w="5188" w:type="dxa"/>
            <w:noWrap w:val="0"/>
            <w:vAlign w:val="center"/>
          </w:tcPr>
          <w:p w14:paraId="66D221BC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法定代表人：</w:t>
            </w:r>
          </w:p>
        </w:tc>
        <w:tc>
          <w:tcPr>
            <w:tcW w:w="5460" w:type="dxa"/>
            <w:noWrap w:val="0"/>
            <w:vAlign w:val="center"/>
          </w:tcPr>
          <w:p w14:paraId="1AD52A45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法定代表人：</w:t>
            </w:r>
          </w:p>
        </w:tc>
      </w:tr>
      <w:tr w14:paraId="76813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91" w:hRule="atLeast"/>
          <w:tblCellSpacing w:w="15" w:type="dxa"/>
          <w:jc w:val="center"/>
        </w:trPr>
        <w:tc>
          <w:tcPr>
            <w:tcW w:w="5188" w:type="dxa"/>
            <w:noWrap w:val="0"/>
            <w:vAlign w:val="center"/>
          </w:tcPr>
          <w:p w14:paraId="45D867CB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委托代理人：</w:t>
            </w:r>
          </w:p>
        </w:tc>
        <w:tc>
          <w:tcPr>
            <w:tcW w:w="5460" w:type="dxa"/>
            <w:noWrap w:val="0"/>
            <w:vAlign w:val="center"/>
          </w:tcPr>
          <w:p w14:paraId="109FD96F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委托代理人：</w:t>
            </w:r>
          </w:p>
        </w:tc>
      </w:tr>
      <w:tr w14:paraId="35F51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03" w:hRule="atLeast"/>
          <w:tblCellSpacing w:w="15" w:type="dxa"/>
          <w:jc w:val="center"/>
        </w:trPr>
        <w:tc>
          <w:tcPr>
            <w:tcW w:w="5188" w:type="dxa"/>
            <w:noWrap w:val="0"/>
            <w:vAlign w:val="center"/>
          </w:tcPr>
          <w:p w14:paraId="38688A8B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经办人：</w:t>
            </w:r>
          </w:p>
        </w:tc>
        <w:tc>
          <w:tcPr>
            <w:tcW w:w="5460" w:type="dxa"/>
            <w:noWrap w:val="0"/>
            <w:vAlign w:val="center"/>
          </w:tcPr>
          <w:p w14:paraId="1496FED8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经办人：</w:t>
            </w:r>
          </w:p>
        </w:tc>
      </w:tr>
      <w:tr w14:paraId="04F7D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65" w:hRule="atLeast"/>
          <w:tblCellSpacing w:w="15" w:type="dxa"/>
          <w:jc w:val="center"/>
        </w:trPr>
        <w:tc>
          <w:tcPr>
            <w:tcW w:w="5188" w:type="dxa"/>
            <w:noWrap w:val="0"/>
            <w:vAlign w:val="center"/>
          </w:tcPr>
          <w:p w14:paraId="7637AC3F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开户银行：                          </w:t>
            </w:r>
          </w:p>
        </w:tc>
        <w:tc>
          <w:tcPr>
            <w:tcW w:w="5460" w:type="dxa"/>
            <w:noWrap w:val="0"/>
            <w:vAlign w:val="center"/>
          </w:tcPr>
          <w:p w14:paraId="41F21F76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</w:tr>
      <w:tr w14:paraId="37416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5" w:hRule="atLeast"/>
          <w:tblCellSpacing w:w="15" w:type="dxa"/>
          <w:jc w:val="center"/>
        </w:trPr>
        <w:tc>
          <w:tcPr>
            <w:tcW w:w="5188" w:type="dxa"/>
            <w:noWrap w:val="0"/>
            <w:vAlign w:val="center"/>
          </w:tcPr>
          <w:p w14:paraId="49714BB2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  <w:tc>
          <w:tcPr>
            <w:tcW w:w="5460" w:type="dxa"/>
            <w:noWrap w:val="0"/>
            <w:vAlign w:val="center"/>
          </w:tcPr>
          <w:p w14:paraId="2C2E4B80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</w:tr>
      <w:tr w14:paraId="41D4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55" w:hRule="atLeast"/>
          <w:tblCellSpacing w:w="15" w:type="dxa"/>
          <w:jc w:val="center"/>
        </w:trPr>
        <w:tc>
          <w:tcPr>
            <w:tcW w:w="5188" w:type="dxa"/>
            <w:noWrap w:val="0"/>
            <w:vAlign w:val="center"/>
          </w:tcPr>
          <w:p w14:paraId="361F9E2B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  <w:tc>
          <w:tcPr>
            <w:tcW w:w="5460" w:type="dxa"/>
            <w:noWrap w:val="0"/>
            <w:vAlign w:val="center"/>
          </w:tcPr>
          <w:p w14:paraId="645A038B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</w:tr>
      <w:tr w14:paraId="06A1D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12" w:hRule="atLeast"/>
          <w:tblCellSpacing w:w="15" w:type="dxa"/>
          <w:jc w:val="center"/>
        </w:trPr>
        <w:tc>
          <w:tcPr>
            <w:tcW w:w="5188" w:type="dxa"/>
            <w:noWrap w:val="0"/>
            <w:vAlign w:val="center"/>
          </w:tcPr>
          <w:p w14:paraId="69B2A032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  <w:tc>
          <w:tcPr>
            <w:tcW w:w="5460" w:type="dxa"/>
            <w:noWrap w:val="0"/>
            <w:vAlign w:val="center"/>
          </w:tcPr>
          <w:p w14:paraId="019FC2DF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</w:tr>
    </w:tbl>
    <w:p w14:paraId="62EDA55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996685"/>
    <w:rsid w:val="2E9068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 w:eastAsia="宋体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 w:val="32"/>
      <w:szCs w:val="21"/>
    </w:rPr>
  </w:style>
  <w:style w:type="paragraph" w:customStyle="1" w:styleId="6">
    <w:name w:val="Body text|1"/>
    <w:basedOn w:val="1"/>
    <w:qFormat/>
    <w:uiPriority w:val="0"/>
    <w:pPr>
      <w:spacing w:line="43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1631</Words>
  <Characters>1709</Characters>
  <Lines>0</Lines>
  <Paragraphs>0</Paragraphs>
  <TotalTime>0</TotalTime>
  <ScaleCrop>false</ScaleCrop>
  <LinksUpToDate>false</LinksUpToDate>
  <CharactersWithSpaces>2009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2025-08-26T08:44:51Z</dcterms:created>
  <dc:creator>Administrator</dc:creator>
  <cp:lastModifiedBy>Patton</cp:lastModifiedBy>
  <dcterms:modified xsi:type="dcterms:W3CDTF">2025-08-26T08:46:43Z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eyJoZGlkIjoiMmUyZjIyZDBjZWJiYWE0YjE2YzFiNWRlZTZkNjkwNTYiLCJ1c2VySWQiOiIxMDYzMTcxMDUxIn0=</vt:lpwstr>
  </property>
  <property fmtid="{D5CDD505-2E9C-101B-9397-08002B2CF9AE}" pid="4" name="ICV">
    <vt:lpwstr>885193E2A86E4BA2AB56B7D8946DDFB2_13</vt:lpwstr>
  </property>
</Properties>
</file>