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版本号：HRC-ZBDL-2025-0126920250828001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政策法规业务系统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HRC-ZBDL-2025-01269</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政策法规业务系统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HRC-ZBDL-2025-01269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政策法规业务系统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系统集内部行政许可跟踪审批、法规起草、规范性文件备案审查、重大执法决定审批、协同办理、在线交流、档案检索等多种功能为一体，推动审批流程自动化、立法工作智能化、审查工作规范化和档案成果的数据化。政策法规业务信息化项目建设，从流转效率、审批周期、规范化程度和电子化水平等多个方面为政策法规工作提质增效，为推进法治政府建设和全面依法行政奠定坚实基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采购包1（政策法规业务系统）：属于专门面向中小企业采购。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1、营业执照等法人身份、其他组织：具有独立承担民事责任能力的法人、其他组织或自然人，提供合法有效的统一社会信用代码营业执照（事业单位提供事业单位法人证书，自然人应提供身份证）；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审计报告：供应商须提供2024年财务审计报告（成立时间至提交响应文件截止时间不足一年的可提供成立后任意时段的资产负债表），或其基本存款账户开户银行出具的资信证明及基本存款账户开户许可证（开标前一个月内）；</w:t>
      </w:r>
    </w:p>
    <w:p>
      <w:pPr>
        <w:pStyle w:val="null3"/>
      </w:pPr>
      <w:r>
        <w:rPr>
          <w:rFonts w:ascii="仿宋_GB2312" w:hAnsi="仿宋_GB2312" w:cs="仿宋_GB2312" w:eastAsia="仿宋_GB2312"/>
        </w:rPr>
        <w:t>3、纳税证明或完税证明：提供投标截止时间前一年内已缴纳的至少一个月纳税证明或完税证明，依法免税的单位应提供相关证明材料；</w:t>
      </w:r>
    </w:p>
    <w:p>
      <w:pPr>
        <w:pStyle w:val="null3"/>
      </w:pPr>
      <w:r>
        <w:rPr>
          <w:rFonts w:ascii="仿宋_GB2312" w:hAnsi="仿宋_GB2312" w:cs="仿宋_GB2312" w:eastAsia="仿宋_GB2312"/>
        </w:rPr>
        <w:t>4、社会保障资金缴存单据或社保机构开具的社会保险参保缴费情况证明：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6、专业技术能力的承诺函；：提供具有履行合同所必需的设备和专业技术能力的承诺函；</w:t>
      </w:r>
    </w:p>
    <w:p>
      <w:pPr>
        <w:pStyle w:val="null3"/>
      </w:pPr>
      <w:r>
        <w:rPr>
          <w:rFonts w:ascii="仿宋_GB2312" w:hAnsi="仿宋_GB2312" w:cs="仿宋_GB2312" w:eastAsia="仿宋_GB2312"/>
        </w:rPr>
        <w:t>7、信用中国等网站查询：供应商未被列入信用中国网站(www.creditchina.gov.cn)“失信被执行人、重大税收违法案件当事人名单”；不处于中国政府采购(www.ccgp.gov.cn)“政府采购严重违法失信行为信息记录”中的禁止参加政府采购活动期间；</w:t>
      </w:r>
    </w:p>
    <w:p>
      <w:pPr>
        <w:pStyle w:val="null3"/>
      </w:pPr>
      <w:r>
        <w:rPr>
          <w:rFonts w:ascii="仿宋_GB2312" w:hAnsi="仿宋_GB2312" w:cs="仿宋_GB2312" w:eastAsia="仿宋_GB2312"/>
        </w:rPr>
        <w:t>8、法定代表人授权书：法定代表人授权书（附法定代表人、被授权人身份证复印件）及被授权人身份证（法定代表人参加投标只需提供本人身份证）；</w:t>
      </w:r>
    </w:p>
    <w:p>
      <w:pPr>
        <w:pStyle w:val="null3"/>
      </w:pPr>
      <w:r>
        <w:rPr>
          <w:rFonts w:ascii="仿宋_GB2312" w:hAnsi="仿宋_GB2312" w:cs="仿宋_GB2312" w:eastAsia="仿宋_GB2312"/>
        </w:rPr>
        <w:t>9、控股管理关系说明：单位负责人为同一人或者存在直接控股、管理关系的不同单位，不得参加同一项下的政府采购活动。</w:t>
      </w:r>
    </w:p>
    <w:p>
      <w:pPr>
        <w:pStyle w:val="null3"/>
      </w:pPr>
      <w:r>
        <w:rPr>
          <w:rFonts w:ascii="仿宋_GB2312" w:hAnsi="仿宋_GB2312" w:cs="仿宋_GB2312" w:eastAsia="仿宋_GB2312"/>
        </w:rPr>
        <w:t>10、中小企业承诺函：本采购包专门面向中小企业采购，参与的供应商服务全部由符合政策要求的中小企业承接。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61166206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17792379649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发改委《招标代理服务收费管理暂行办法》（计价格【2002】1980号）和国家发改委办公厅颁发的《关于招标代理服务收费有关问题的通知》（发改办价格【2003】857号）有关标准收取，不足8000，按照8000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验收标准：满足现行的技术规范、规程、要求，达到采购人技术目的，通过采购人审查和验收。 验收方法：采购人按照供应商完成系统升级后、测试与验证、签署验收报告、后期维护等验收。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联系人：江工</w:t>
      </w:r>
    </w:p>
    <w:p>
      <w:pPr>
        <w:pStyle w:val="null3"/>
      </w:pPr>
      <w:r>
        <w:rPr>
          <w:rFonts w:ascii="仿宋_GB2312" w:hAnsi="仿宋_GB2312" w:cs="仿宋_GB2312" w:eastAsia="仿宋_GB2312"/>
        </w:rPr>
        <w:t>联系电话：17792379649</w:t>
      </w:r>
    </w:p>
    <w:p>
      <w:pPr>
        <w:pStyle w:val="null3"/>
      </w:pPr>
      <w:r>
        <w:rPr>
          <w:rFonts w:ascii="仿宋_GB2312" w:hAnsi="仿宋_GB2312" w:cs="仿宋_GB2312" w:eastAsia="仿宋_GB2312"/>
        </w:rPr>
        <w:t>地址：陕西省西安市曲江新区雁翔路3269号旺座曲江E座29层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系统集内部行政许可跟踪审批、法规起草、规范性文件备案审查、重大执法决定审批、协同办理、在线交流、档案检索等多种功能为一体，推动审批流程自动化、立法工作智能化、审查工作规范化和档案成果的数据化。政策法规业务信息化项目建设，从流转效率、审批周期、规范化程度和电子化水平等多个方面为政策法规工作提质增效，为推进法治政府建设和全面依法行政奠定坚实基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陕西省应急管理厅政策法规业务系统建设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标的名称：陕西省应急管理厅政策法规业务系统建设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45"/>
              <w:jc w:val="both"/>
              <w:outlineLvl w:val="0"/>
            </w:pPr>
            <w:r>
              <w:rPr>
                <w:rFonts w:ascii="仿宋_GB2312" w:hAnsi="仿宋_GB2312" w:cs="仿宋_GB2312" w:eastAsia="仿宋_GB2312"/>
                <w:sz w:val="24"/>
                <w:b/>
              </w:rPr>
              <w:t>一、建设原则</w:t>
            </w:r>
          </w:p>
          <w:p>
            <w:pPr>
              <w:pStyle w:val="null3"/>
              <w:ind w:right="-195" w:firstLine="560"/>
              <w:jc w:val="both"/>
            </w:pPr>
            <w:r>
              <w:rPr>
                <w:rFonts w:ascii="仿宋_GB2312" w:hAnsi="仿宋_GB2312" w:cs="仿宋_GB2312" w:eastAsia="仿宋_GB2312"/>
                <w:sz w:val="24"/>
              </w:rPr>
              <w:t>项目坚持“需求为导向，应用促发展”的指导思想，遵循以下原则进行系统总体设计。</w:t>
            </w:r>
          </w:p>
          <w:p>
            <w:pPr>
              <w:pStyle w:val="null3"/>
              <w:ind w:right="-195" w:firstLine="560"/>
              <w:jc w:val="both"/>
            </w:pPr>
            <w:r>
              <w:rPr>
                <w:rFonts w:ascii="仿宋_GB2312" w:hAnsi="仿宋_GB2312" w:cs="仿宋_GB2312" w:eastAsia="仿宋_GB2312"/>
                <w:sz w:val="24"/>
              </w:rPr>
              <w:t>1、合规性</w:t>
            </w:r>
          </w:p>
          <w:p>
            <w:pPr>
              <w:pStyle w:val="null3"/>
              <w:ind w:right="-195"/>
              <w:jc w:val="both"/>
            </w:pPr>
            <w:r>
              <w:rPr>
                <w:rFonts w:ascii="仿宋_GB2312" w:hAnsi="仿宋_GB2312" w:cs="仿宋_GB2312" w:eastAsia="仿宋_GB2312"/>
                <w:sz w:val="24"/>
              </w:rPr>
              <w:t xml:space="preserve">    遵循国家和地方相关法律法规规定，确保建设内容合法合规。</w:t>
            </w:r>
          </w:p>
          <w:p>
            <w:pPr>
              <w:pStyle w:val="null3"/>
              <w:ind w:right="-195" w:firstLine="560"/>
              <w:jc w:val="both"/>
            </w:pPr>
            <w:r>
              <w:rPr>
                <w:rFonts w:ascii="仿宋_GB2312" w:hAnsi="仿宋_GB2312" w:cs="仿宋_GB2312" w:eastAsia="仿宋_GB2312"/>
                <w:sz w:val="24"/>
              </w:rPr>
              <w:t>2、安全性</w:t>
            </w:r>
          </w:p>
          <w:p>
            <w:pPr>
              <w:pStyle w:val="null3"/>
              <w:ind w:right="-195" w:firstLine="560"/>
              <w:jc w:val="both"/>
            </w:pPr>
            <w:r>
              <w:rPr>
                <w:rFonts w:ascii="仿宋_GB2312" w:hAnsi="仿宋_GB2312" w:cs="仿宋_GB2312" w:eastAsia="仿宋_GB2312"/>
                <w:sz w:val="24"/>
              </w:rPr>
              <w:t>按照陕西省信息安全相关要求，满足国产替代、信息传输保密性、数据完整性、身份识别与认证等安全保障措施，充分保护系统数据安全，防止信息泄露。</w:t>
            </w:r>
          </w:p>
          <w:p>
            <w:pPr>
              <w:pStyle w:val="null3"/>
              <w:ind w:right="-195" w:firstLine="560"/>
              <w:jc w:val="both"/>
            </w:pPr>
            <w:r>
              <w:rPr>
                <w:rFonts w:ascii="仿宋_GB2312" w:hAnsi="仿宋_GB2312" w:cs="仿宋_GB2312" w:eastAsia="仿宋_GB2312"/>
                <w:sz w:val="24"/>
              </w:rPr>
              <w:t>3、标准性和可扩展性</w:t>
            </w:r>
          </w:p>
          <w:p>
            <w:pPr>
              <w:pStyle w:val="null3"/>
              <w:ind w:right="-195" w:firstLine="560"/>
              <w:jc w:val="both"/>
            </w:pPr>
            <w:r>
              <w:rPr>
                <w:rFonts w:ascii="仿宋_GB2312" w:hAnsi="仿宋_GB2312" w:cs="仿宋_GB2312" w:eastAsia="仿宋_GB2312"/>
                <w:sz w:val="24"/>
              </w:rPr>
              <w:t>系统设计按照“标准和开放”的原则，充分考虑未来业务扩展和技术升级的需要，支持各种相应的软硬件接口，使项目具有兼容性和延展性，具备与多种系统互联互通的特性，在结构上实现真正开放。</w:t>
            </w:r>
          </w:p>
          <w:p>
            <w:pPr>
              <w:pStyle w:val="null3"/>
              <w:ind w:right="-195" w:firstLine="560"/>
              <w:jc w:val="both"/>
            </w:pPr>
            <w:r>
              <w:rPr>
                <w:rFonts w:ascii="仿宋_GB2312" w:hAnsi="仿宋_GB2312" w:cs="仿宋_GB2312" w:eastAsia="仿宋_GB2312"/>
                <w:sz w:val="24"/>
              </w:rPr>
              <w:t>4、技术先进性和成熟性</w:t>
            </w:r>
          </w:p>
          <w:p>
            <w:pPr>
              <w:pStyle w:val="null3"/>
              <w:ind w:right="-195" w:firstLine="560"/>
              <w:jc w:val="both"/>
            </w:pPr>
            <w:r>
              <w:rPr>
                <w:rFonts w:ascii="仿宋_GB2312" w:hAnsi="仿宋_GB2312" w:cs="仿宋_GB2312" w:eastAsia="仿宋_GB2312"/>
                <w:sz w:val="24"/>
              </w:rPr>
              <w:t>采用信息化系统发展的主流和成熟技术进行系统架构设计，保证技术先进性和成熟性。</w:t>
            </w:r>
          </w:p>
          <w:p>
            <w:pPr>
              <w:pStyle w:val="null3"/>
              <w:ind w:right="-195" w:firstLine="560"/>
              <w:jc w:val="both"/>
            </w:pPr>
            <w:r>
              <w:rPr>
                <w:rFonts w:ascii="仿宋_GB2312" w:hAnsi="仿宋_GB2312" w:cs="仿宋_GB2312" w:eastAsia="仿宋_GB2312"/>
                <w:sz w:val="24"/>
              </w:rPr>
              <w:t>5、可靠性和便捷性</w:t>
            </w:r>
          </w:p>
          <w:p>
            <w:pPr>
              <w:pStyle w:val="null3"/>
              <w:ind w:right="-195" w:firstLine="560"/>
              <w:jc w:val="both"/>
            </w:pPr>
            <w:r>
              <w:rPr>
                <w:rFonts w:ascii="仿宋_GB2312" w:hAnsi="仿宋_GB2312" w:cs="仿宋_GB2312" w:eastAsia="仿宋_GB2312"/>
                <w:sz w:val="24"/>
              </w:rPr>
              <w:t>注重系统实用性和操作便捷性，保证系统在稳定运行的同时还提供较高的性能。同时，系统提供简单明了的操作界面，增强系统操作的便捷性。</w:t>
            </w:r>
          </w:p>
          <w:p>
            <w:pPr>
              <w:pStyle w:val="null3"/>
              <w:spacing w:before="45"/>
              <w:jc w:val="both"/>
              <w:outlineLvl w:val="0"/>
            </w:pPr>
            <w:r>
              <w:rPr>
                <w:rFonts w:ascii="仿宋_GB2312" w:hAnsi="仿宋_GB2312" w:cs="仿宋_GB2312" w:eastAsia="仿宋_GB2312"/>
                <w:sz w:val="24"/>
                <w:b/>
              </w:rPr>
              <w:t>二、建设内容</w:t>
            </w:r>
          </w:p>
          <w:p>
            <w:pPr>
              <w:pStyle w:val="null3"/>
              <w:jc w:val="both"/>
              <w:outlineLvl w:val="1"/>
            </w:pPr>
            <w:r>
              <w:rPr>
                <w:rFonts w:ascii="仿宋_GB2312" w:hAnsi="仿宋_GB2312" w:cs="仿宋_GB2312" w:eastAsia="仿宋_GB2312"/>
                <w:sz w:val="24"/>
                <w:b/>
              </w:rPr>
              <w:t>1、</w:t>
            </w:r>
            <w:r>
              <w:rPr>
                <w:rFonts w:ascii="仿宋_GB2312" w:hAnsi="仿宋_GB2312" w:cs="仿宋_GB2312" w:eastAsia="仿宋_GB2312"/>
                <w:sz w:val="24"/>
                <w:b/>
              </w:rPr>
              <w:t>内部行政许可和合同审批</w:t>
            </w:r>
          </w:p>
          <w:p>
            <w:pPr>
              <w:pStyle w:val="null3"/>
              <w:ind w:right="-195" w:firstLine="560"/>
              <w:jc w:val="both"/>
            </w:pPr>
            <w:r>
              <w:rPr>
                <w:rFonts w:ascii="仿宋_GB2312" w:hAnsi="仿宋_GB2312" w:cs="仿宋_GB2312" w:eastAsia="仿宋_GB2312"/>
                <w:sz w:val="24"/>
              </w:rPr>
              <w:t>行政许可工作程序依据《陕西省应急管理厅行政许可工作程序》相关规定设计，围绕内部行政许可审批流程，按照受理、审查、审核、决定、制证、公告等环节全流程进行管理，同时包括安全生产许可证的变更、补办、注销、统计、归档管理。合同审批流程依据《陕西省应急管理厅合同管理办法》相关规定设计，包括合同审批、统计和归档管理。具体建设内容如下：</w:t>
            </w:r>
          </w:p>
          <w:p>
            <w:pPr>
              <w:pStyle w:val="null3"/>
              <w:ind w:right="-195" w:firstLine="562"/>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行政许可受理审批管理</w:t>
            </w:r>
            <w:r>
              <w:rPr>
                <w:rFonts w:ascii="仿宋_GB2312" w:hAnsi="仿宋_GB2312" w:cs="仿宋_GB2312" w:eastAsia="仿宋_GB2312"/>
                <w:sz w:val="24"/>
                <w:b/>
              </w:rPr>
              <w:t>。</w:t>
            </w:r>
            <w:r>
              <w:rPr>
                <w:rFonts w:ascii="仿宋_GB2312" w:hAnsi="仿宋_GB2312" w:cs="仿宋_GB2312" w:eastAsia="仿宋_GB2312"/>
                <w:sz w:val="24"/>
              </w:rPr>
              <w:t>按照行政许可受理、审查、审核、决定的程序和工作要求，受理处室可进行行政许可资料的登记、受理办理，受理之后可交办一个或多个处室进行审查。审查结束后由分管领导签批意见，决定准予许可后进入制证程序，制证完成后进行公告。在审批过程中支持多处室多领导会签和并行办理，支持相关办件的选择关联、支持手写签名、意见管理，支持全程流程可视化跟踪、全过程留痕、多版本记录，支持文件在线预览、下载、打印、套红、送达反馈，支持办理时限智能预警、消息提醒、精细化权限管理等功能。</w:t>
            </w:r>
          </w:p>
          <w:p>
            <w:pPr>
              <w:pStyle w:val="null3"/>
              <w:ind w:right="-195" w:firstLine="56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行政许可变更与补办管理</w:t>
            </w:r>
            <w:r>
              <w:rPr>
                <w:rFonts w:ascii="仿宋_GB2312" w:hAnsi="仿宋_GB2312" w:cs="仿宋_GB2312" w:eastAsia="仿宋_GB2312"/>
                <w:sz w:val="24"/>
                <w:b/>
              </w:rPr>
              <w:t>。</w:t>
            </w:r>
            <w:r>
              <w:rPr>
                <w:rFonts w:ascii="仿宋_GB2312" w:hAnsi="仿宋_GB2312" w:cs="仿宋_GB2312" w:eastAsia="仿宋_GB2312"/>
                <w:sz w:val="24"/>
              </w:rPr>
              <w:t>政策法规处按规定对需变更和补办的申请资料进行登记、审查、审核，由分管厅领导审定后予以变更、补办，并告知送达。在审批过程中也支持多处室多领导会签和并行办理，支持相关办件的选择关联，支持行政许可的关联查询和标记，支持全程流程可视化跟踪、全过程留痕、多版本记录，支持文件在线预览、下载、打印、套红，支持告知送达反馈、公告结果反馈，支持办理时限智能预警、消息提醒、精细化权限管理等功能。</w:t>
            </w:r>
          </w:p>
          <w:p>
            <w:pPr>
              <w:pStyle w:val="null3"/>
              <w:ind w:right="-195" w:firstLine="56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行政许可注销管理</w:t>
            </w:r>
            <w:r>
              <w:rPr>
                <w:rFonts w:ascii="仿宋_GB2312" w:hAnsi="仿宋_GB2312" w:cs="仿宋_GB2312" w:eastAsia="仿宋_GB2312"/>
                <w:sz w:val="24"/>
                <w:b/>
              </w:rPr>
              <w:t>。</w:t>
            </w:r>
            <w:r>
              <w:rPr>
                <w:rFonts w:ascii="仿宋_GB2312" w:hAnsi="仿宋_GB2312" w:cs="仿宋_GB2312" w:eastAsia="仿宋_GB2312"/>
                <w:sz w:val="24"/>
              </w:rPr>
              <w:t>行政许可需依法进行注销的（包括依法吊销、撤销的），由有关处室报请分管厅领导签批后履行注销程序。在审批过程中支持多处室多领导会签和并行办理，支持相关办件的选择关联，支持行许可政的关联查询和标记，支持全程流程可视化跟踪、全过程留痕、多版本记录，支持文件在线预览、下载、打印、套红，支持公告结果反馈、办理时限智能预警、消息提醒、精细化权限管理等功能。</w:t>
            </w:r>
          </w:p>
          <w:p>
            <w:pPr>
              <w:pStyle w:val="null3"/>
              <w:ind w:right="-195" w:firstLine="562"/>
              <w:jc w:val="both"/>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行政许可办理统计</w:t>
            </w:r>
            <w:r>
              <w:rPr>
                <w:rFonts w:ascii="仿宋_GB2312" w:hAnsi="仿宋_GB2312" w:cs="仿宋_GB2312" w:eastAsia="仿宋_GB2312"/>
                <w:sz w:val="24"/>
                <w:b/>
              </w:rPr>
              <w:t>。</w:t>
            </w:r>
            <w:r>
              <w:rPr>
                <w:rFonts w:ascii="仿宋_GB2312" w:hAnsi="仿宋_GB2312" w:cs="仿宋_GB2312" w:eastAsia="仿宋_GB2312"/>
                <w:sz w:val="24"/>
              </w:rPr>
              <w:t>支持按照行政许可类别及受理、审查、审核、决定、公告情况等多维度对审批事项进行统计分析，形成快捷查询窗口和图标数据可视化成果。</w:t>
            </w:r>
          </w:p>
          <w:p>
            <w:pPr>
              <w:pStyle w:val="null3"/>
              <w:ind w:right="-195" w:firstLine="562"/>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行政许可归档</w:t>
            </w:r>
            <w:r>
              <w:rPr>
                <w:rFonts w:ascii="仿宋_GB2312" w:hAnsi="仿宋_GB2312" w:cs="仿宋_GB2312" w:eastAsia="仿宋_GB2312"/>
                <w:sz w:val="24"/>
                <w:b/>
              </w:rPr>
              <w:t>。</w:t>
            </w:r>
            <w:r>
              <w:rPr>
                <w:rFonts w:ascii="仿宋_GB2312" w:hAnsi="仿宋_GB2312" w:cs="仿宋_GB2312" w:eastAsia="仿宋_GB2312"/>
                <w:sz w:val="24"/>
              </w:rPr>
              <w:t>对行政许可审批过程中的文件可进行一键归档，自动形成电子档案资源。</w:t>
            </w:r>
          </w:p>
          <w:p>
            <w:pPr>
              <w:pStyle w:val="null3"/>
              <w:ind w:right="-195" w:firstLine="562"/>
              <w:jc w:val="both"/>
            </w:pP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合同审批管理</w:t>
            </w:r>
            <w:r>
              <w:rPr>
                <w:rFonts w:ascii="仿宋_GB2312" w:hAnsi="仿宋_GB2312" w:cs="仿宋_GB2312" w:eastAsia="仿宋_GB2312"/>
                <w:sz w:val="24"/>
                <w:b/>
              </w:rPr>
              <w:t>。</w:t>
            </w:r>
            <w:r>
              <w:rPr>
                <w:rFonts w:ascii="仿宋_GB2312" w:hAnsi="仿宋_GB2312" w:cs="仿宋_GB2312" w:eastAsia="仿宋_GB2312"/>
                <w:sz w:val="24"/>
              </w:rPr>
              <w:t>按《陕西省应急管理厅合同管理办法》相关规定设计，可通过系统进行合同的起草、校核、审批、签署。在审批过程中支持多处室多领导会签和并行办理，支持相关办件的选择关联，支持历史合同的关联查询和标记，支持全程流程可视化跟踪、全过程留痕、多版本记录，支持文件在线预览、下载、打印、套红、签署反馈，支持办理时限智能预警、消息提醒、精细化权限管理等功能。</w:t>
            </w:r>
          </w:p>
          <w:p>
            <w:pPr>
              <w:pStyle w:val="null3"/>
              <w:ind w:right="-195" w:firstLine="562"/>
              <w:jc w:val="both"/>
            </w:pP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合同审批统计</w:t>
            </w:r>
            <w:r>
              <w:rPr>
                <w:rFonts w:ascii="仿宋_GB2312" w:hAnsi="仿宋_GB2312" w:cs="仿宋_GB2312" w:eastAsia="仿宋_GB2312"/>
                <w:sz w:val="24"/>
                <w:b/>
              </w:rPr>
              <w:t>。</w:t>
            </w:r>
            <w:r>
              <w:rPr>
                <w:rFonts w:ascii="仿宋_GB2312" w:hAnsi="仿宋_GB2312" w:cs="仿宋_GB2312" w:eastAsia="仿宋_GB2312"/>
                <w:sz w:val="24"/>
              </w:rPr>
              <w:t>支持按照合同类型、签署情况、执行情况、处室名称、时间等多维度对合同审批进行统计分析，形成快捷查询窗口和图标数据可视化成果。</w:t>
            </w:r>
          </w:p>
          <w:p>
            <w:pPr>
              <w:pStyle w:val="null3"/>
              <w:ind w:right="-195" w:firstLine="562"/>
              <w:jc w:val="both"/>
            </w:pP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合同归档管理</w:t>
            </w:r>
            <w:r>
              <w:rPr>
                <w:rFonts w:ascii="仿宋_GB2312" w:hAnsi="仿宋_GB2312" w:cs="仿宋_GB2312" w:eastAsia="仿宋_GB2312"/>
                <w:sz w:val="24"/>
                <w:b/>
              </w:rPr>
              <w:t>。</w:t>
            </w:r>
            <w:r>
              <w:rPr>
                <w:rFonts w:ascii="仿宋_GB2312" w:hAnsi="仿宋_GB2312" w:cs="仿宋_GB2312" w:eastAsia="仿宋_GB2312"/>
                <w:sz w:val="24"/>
              </w:rPr>
              <w:t>对合同审批过程文档、审批单和最终签署合同进行归档管理，按照档案资料要求进行自动归档和入库，自动形成电子档案资源。</w:t>
            </w:r>
          </w:p>
          <w:p>
            <w:pPr>
              <w:pStyle w:val="null3"/>
              <w:jc w:val="both"/>
              <w:outlineLvl w:val="1"/>
            </w:pPr>
            <w:r>
              <w:rPr>
                <w:rFonts w:ascii="仿宋_GB2312" w:hAnsi="仿宋_GB2312" w:cs="仿宋_GB2312" w:eastAsia="仿宋_GB2312"/>
                <w:sz w:val="24"/>
                <w:b/>
              </w:rPr>
              <w:t>2、规范性文件审批</w:t>
            </w:r>
          </w:p>
          <w:p>
            <w:pPr>
              <w:pStyle w:val="null3"/>
              <w:ind w:right="-195" w:firstLine="560"/>
              <w:jc w:val="both"/>
            </w:pPr>
            <w:r>
              <w:rPr>
                <w:rFonts w:ascii="仿宋_GB2312" w:hAnsi="仿宋_GB2312" w:cs="仿宋_GB2312" w:eastAsia="仿宋_GB2312"/>
                <w:sz w:val="24"/>
              </w:rPr>
              <w:t>按照陕西省应急管理厅对规范性文件合法性审查相关要求进行设计，规范性文件审批模块主要围绕文件登记备案、文件审查管理、智能审查工具、文件目录管理、资料归档管理等内容进行建设，构建规范性文件审查流转体系，提升审查效率和质量。具体建设内容如下：</w:t>
            </w:r>
          </w:p>
          <w:p>
            <w:pPr>
              <w:pStyle w:val="null3"/>
              <w:ind w:right="-195" w:firstLine="562"/>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文件登记备案</w:t>
            </w:r>
            <w:r>
              <w:rPr>
                <w:rFonts w:ascii="仿宋_GB2312" w:hAnsi="仿宋_GB2312" w:cs="仿宋_GB2312" w:eastAsia="仿宋_GB2312"/>
                <w:sz w:val="24"/>
                <w:b/>
              </w:rPr>
              <w:t>。</w:t>
            </w:r>
            <w:r>
              <w:rPr>
                <w:rFonts w:ascii="仿宋_GB2312" w:hAnsi="仿宋_GB2312" w:cs="仿宋_GB2312" w:eastAsia="仿宋_GB2312"/>
                <w:sz w:val="24"/>
              </w:rPr>
              <w:t>包含信息登记、电子报备、在线预览、文件查询、状态分类以及生成年度报备目录等功能。申请人员可按照相应的字段信息，填写规范性文件基本信息。以附件的形式对电子文本进行管理，实现附件的上传、下载以及文件在线报备。对报备的文件也可进行状态分类、查询、预览，同时辅助生成年度的报备目录。</w:t>
            </w:r>
          </w:p>
          <w:p>
            <w:pPr>
              <w:pStyle w:val="null3"/>
              <w:ind w:right="-195" w:firstLine="56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文件审查管理</w:t>
            </w:r>
            <w:r>
              <w:rPr>
                <w:rFonts w:ascii="仿宋_GB2312" w:hAnsi="仿宋_GB2312" w:cs="仿宋_GB2312" w:eastAsia="仿宋_GB2312"/>
                <w:sz w:val="24"/>
                <w:b/>
              </w:rPr>
              <w:t>。</w:t>
            </w:r>
            <w:r>
              <w:rPr>
                <w:rFonts w:ascii="仿宋_GB2312" w:hAnsi="仿宋_GB2312" w:cs="仿宋_GB2312" w:eastAsia="仿宋_GB2312"/>
                <w:sz w:val="24"/>
              </w:rPr>
              <w:t>法制审核人员对规范性文件进行合法性审查，支持审查过程全程留痕。在审批流转过程中支持流程自定义管理、多处室多领导会签和并行办理，支持相关办件的选择关联，支持全程流程可视化跟踪、全过程留痕、多版本记录，支持文件在线预览、下载、打印、套红，支持办理时限智能预警、消息提醒、精细化权限管理等功能。</w:t>
            </w:r>
          </w:p>
          <w:p>
            <w:pPr>
              <w:pStyle w:val="null3"/>
              <w:ind w:right="-195" w:firstLine="56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智能审查工具</w:t>
            </w:r>
            <w:r>
              <w:rPr>
                <w:rFonts w:ascii="仿宋_GB2312" w:hAnsi="仿宋_GB2312" w:cs="仿宋_GB2312" w:eastAsia="仿宋_GB2312"/>
                <w:sz w:val="24"/>
                <w:b/>
              </w:rPr>
              <w:t>。</w:t>
            </w:r>
            <w:r>
              <w:rPr>
                <w:rFonts w:ascii="仿宋_GB2312" w:hAnsi="仿宋_GB2312" w:cs="仿宋_GB2312" w:eastAsia="仿宋_GB2312"/>
                <w:sz w:val="24"/>
              </w:rPr>
              <w:t>以法律法规数据库为基础，提供在线智能审查工具及不低于44万篇国家层面法律、行政法规、部门规章、部门规范性文件，不低于380万篇地方层面法规规章及规范性文件，便于审查时法律法规资源的充分应用。充分运用人工智能、大数据分析等技术，解决审查法规及规范性文件过程中法律依据、参考查找的费时和遗漏问题，为审查工作提供法律支持。审查工具还支持全文分析、条款分析、选中分析等多种分析方式，可对待审查的文件进行全方位分析，审查完成后可辅助生成审查对照表、备案审查意见书等。</w:t>
            </w:r>
          </w:p>
          <w:p>
            <w:pPr>
              <w:pStyle w:val="null3"/>
              <w:ind w:right="-195" w:firstLine="562"/>
              <w:jc w:val="both"/>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文件目录管理</w:t>
            </w:r>
            <w:r>
              <w:rPr>
                <w:rFonts w:ascii="仿宋_GB2312" w:hAnsi="仿宋_GB2312" w:cs="仿宋_GB2312" w:eastAsia="仿宋_GB2312"/>
                <w:sz w:val="24"/>
                <w:b/>
              </w:rPr>
              <w:t>。</w:t>
            </w:r>
            <w:r>
              <w:rPr>
                <w:rFonts w:ascii="仿宋_GB2312" w:hAnsi="仿宋_GB2312" w:cs="仿宋_GB2312" w:eastAsia="仿宋_GB2312"/>
                <w:sz w:val="24"/>
              </w:rPr>
              <w:t>支持自动生成规范性文件审查目录，审查处室可一键汇总规范性文件目录台账。支持按指定格式导出目录并形成快捷查询窗口和图标数据可视化成果。</w:t>
            </w:r>
          </w:p>
          <w:p>
            <w:pPr>
              <w:pStyle w:val="null3"/>
              <w:ind w:right="-195" w:firstLine="562"/>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资料归档</w:t>
            </w:r>
            <w:r>
              <w:rPr>
                <w:rFonts w:ascii="仿宋_GB2312" w:hAnsi="仿宋_GB2312" w:cs="仿宋_GB2312" w:eastAsia="仿宋_GB2312"/>
                <w:sz w:val="24"/>
                <w:b/>
              </w:rPr>
              <w:t>。</w:t>
            </w:r>
            <w:r>
              <w:rPr>
                <w:rFonts w:ascii="仿宋_GB2312" w:hAnsi="仿宋_GB2312" w:cs="仿宋_GB2312" w:eastAsia="仿宋_GB2312"/>
                <w:sz w:val="24"/>
              </w:rPr>
              <w:t>对规范性文件审批过程中形成的档案资料可进行一键归档，自动形成电子档案资源。</w:t>
            </w:r>
          </w:p>
          <w:p>
            <w:pPr>
              <w:pStyle w:val="null3"/>
              <w:jc w:val="both"/>
              <w:outlineLvl w:val="1"/>
            </w:pPr>
            <w:r>
              <w:rPr>
                <w:rFonts w:ascii="仿宋_GB2312" w:hAnsi="仿宋_GB2312" w:cs="仿宋_GB2312" w:eastAsia="仿宋_GB2312"/>
                <w:sz w:val="24"/>
                <w:b/>
              </w:rPr>
              <w:t>3、标准与法规审批</w:t>
            </w:r>
          </w:p>
          <w:p>
            <w:pPr>
              <w:pStyle w:val="null3"/>
              <w:ind w:right="-195" w:firstLine="560"/>
              <w:jc w:val="both"/>
            </w:pPr>
            <w:r>
              <w:rPr>
                <w:rFonts w:ascii="仿宋_GB2312" w:hAnsi="仿宋_GB2312" w:cs="仿宋_GB2312" w:eastAsia="仿宋_GB2312"/>
                <w:sz w:val="24"/>
              </w:rPr>
              <w:t>标准与法规审批主要围绕标准和法规起草、审批、统计、归档等内容进行建设，以提高标准和法规起草质量和审批效率。具体建设内容如下：</w:t>
            </w:r>
          </w:p>
          <w:p>
            <w:pPr>
              <w:pStyle w:val="null3"/>
              <w:ind w:right="-195" w:firstLine="562"/>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标准和法规起草</w:t>
            </w:r>
            <w:r>
              <w:rPr>
                <w:rFonts w:ascii="仿宋_GB2312" w:hAnsi="仿宋_GB2312" w:cs="仿宋_GB2312" w:eastAsia="仿宋_GB2312"/>
                <w:sz w:val="24"/>
                <w:b/>
              </w:rPr>
              <w:t>。</w:t>
            </w:r>
            <w:r>
              <w:rPr>
                <w:rFonts w:ascii="仿宋_GB2312" w:hAnsi="仿宋_GB2312" w:cs="仿宋_GB2312" w:eastAsia="仿宋_GB2312"/>
                <w:sz w:val="24"/>
              </w:rPr>
              <w:t>起草单位收到有关应急管理和安全生产、防灾减灾救灾的地方性法规、规章和标准的草案起草任务后，可直接通过系统进行线上起草。起草过程中可线上调用起草模板、引用历史法规进行在线编辑，提高起草的效率和质量。同时，支持起草过程中文件留痕和保存，支持原始稿、痕迹稿、最终稿等不同版本和格式的线上管理。</w:t>
            </w:r>
          </w:p>
          <w:p>
            <w:pPr>
              <w:pStyle w:val="null3"/>
              <w:ind w:right="-195" w:firstLine="56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标准和法规审批</w:t>
            </w:r>
            <w:r>
              <w:rPr>
                <w:rFonts w:ascii="仿宋_GB2312" w:hAnsi="仿宋_GB2312" w:cs="仿宋_GB2312" w:eastAsia="仿宋_GB2312"/>
                <w:sz w:val="24"/>
                <w:b/>
              </w:rPr>
              <w:t>。</w:t>
            </w:r>
            <w:r>
              <w:rPr>
                <w:rFonts w:ascii="仿宋_GB2312" w:hAnsi="仿宋_GB2312" w:cs="仿宋_GB2312" w:eastAsia="仿宋_GB2312"/>
                <w:sz w:val="24"/>
              </w:rPr>
              <w:t>依据标准与法规审批流程，可进行多处室多人的会签和并行办理。在审批过程中支持在线智能审查，关联上位法及相关法律法规进行条款比对。在审批流转过程中，支持流程自定义管理、多处室多领导会签和并行办理，支持相关办件的选择关联，支持全程流程可视化跟踪、全过程留痕、多版本记录，支持文件在线预览、下载、打印、套红，支持办理时限智能预警、消息提醒、精细化权限管理等功能。</w:t>
            </w:r>
          </w:p>
          <w:p>
            <w:pPr>
              <w:pStyle w:val="null3"/>
              <w:ind w:right="-195" w:firstLine="56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办理统计</w:t>
            </w:r>
            <w:r>
              <w:rPr>
                <w:rFonts w:ascii="仿宋_GB2312" w:hAnsi="仿宋_GB2312" w:cs="仿宋_GB2312" w:eastAsia="仿宋_GB2312"/>
                <w:sz w:val="24"/>
                <w:b/>
              </w:rPr>
              <w:t>。</w:t>
            </w:r>
            <w:r>
              <w:rPr>
                <w:rFonts w:ascii="仿宋_GB2312" w:hAnsi="仿宋_GB2312" w:cs="仿宋_GB2312" w:eastAsia="仿宋_GB2312"/>
                <w:sz w:val="24"/>
              </w:rPr>
              <w:t>支持按照审批事项、办理情况、处室名称、时间等多维度对审批事项进行统计分析，形成快捷查询窗口和图标数据可视化成果。</w:t>
            </w:r>
          </w:p>
          <w:p>
            <w:pPr>
              <w:pStyle w:val="null3"/>
              <w:ind w:right="-195" w:firstLine="562"/>
              <w:jc w:val="both"/>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标准和法规归档</w:t>
            </w:r>
            <w:r>
              <w:rPr>
                <w:rFonts w:ascii="仿宋_GB2312" w:hAnsi="仿宋_GB2312" w:cs="仿宋_GB2312" w:eastAsia="仿宋_GB2312"/>
                <w:sz w:val="24"/>
                <w:b/>
              </w:rPr>
              <w:t>。</w:t>
            </w:r>
            <w:r>
              <w:rPr>
                <w:rFonts w:ascii="仿宋_GB2312" w:hAnsi="仿宋_GB2312" w:cs="仿宋_GB2312" w:eastAsia="仿宋_GB2312"/>
                <w:sz w:val="24"/>
              </w:rPr>
              <w:t xml:space="preserve">对标准和法规审批过程中的文件可进行一键归档，自动形成电子档案资源。 </w:t>
            </w:r>
          </w:p>
          <w:p>
            <w:pPr>
              <w:pStyle w:val="null3"/>
              <w:jc w:val="both"/>
              <w:outlineLvl w:val="1"/>
            </w:pPr>
            <w:r>
              <w:rPr>
                <w:rFonts w:ascii="仿宋_GB2312" w:hAnsi="仿宋_GB2312" w:cs="仿宋_GB2312" w:eastAsia="仿宋_GB2312"/>
                <w:sz w:val="24"/>
                <w:b/>
              </w:rPr>
              <w:t>4、重大执法决定审批</w:t>
            </w:r>
          </w:p>
          <w:p>
            <w:pPr>
              <w:pStyle w:val="null3"/>
              <w:ind w:right="-195" w:firstLine="560"/>
              <w:jc w:val="both"/>
            </w:pPr>
            <w:r>
              <w:rPr>
                <w:rFonts w:ascii="仿宋_GB2312" w:hAnsi="仿宋_GB2312" w:cs="仿宋_GB2312" w:eastAsia="仿宋_GB2312"/>
                <w:sz w:val="24"/>
              </w:rPr>
              <w:t>重大执法决定审批主要包括重大执法决定审批管理、统计管理和归档管理。着力推进厅机关行政执法透明、规范、合法、公正，全面提高执法效能。具体建设内容如下：</w:t>
            </w:r>
          </w:p>
          <w:p>
            <w:pPr>
              <w:pStyle w:val="null3"/>
              <w:ind w:right="-195" w:firstLine="562"/>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重大执法决定审批</w:t>
            </w:r>
            <w:r>
              <w:rPr>
                <w:rFonts w:ascii="仿宋_GB2312" w:hAnsi="仿宋_GB2312" w:cs="仿宋_GB2312" w:eastAsia="仿宋_GB2312"/>
                <w:sz w:val="24"/>
                <w:b/>
              </w:rPr>
              <w:t>。</w:t>
            </w:r>
            <w:r>
              <w:rPr>
                <w:rFonts w:ascii="仿宋_GB2312" w:hAnsi="仿宋_GB2312" w:cs="仿宋_GB2312" w:eastAsia="仿宋_GB2312"/>
                <w:sz w:val="24"/>
              </w:rPr>
              <w:t>重大行政执法决定法制审核范围涵盖行政处罚、行政强制等类别，具体包括但不限于罚款、责令停产停业整顿、吊销许可证等情形。审核内容包括执法主体合规性、事实客观性、程序合法性、适用法律准确性、自由裁量的适当性等。其中，行政执法决定建议提请，由案件承办人员将案件处理呈批表和重大行政执法决定建议及相关证据、资料提报法制审核流程。法制审核人员根据审核情况提出书面意见，包括同意、变更、修正、退回补充或建议不予作出行政处罚决定等。案件承办人员对法制审核提出的问题进行研究，作出相应处理后再次报送法制审核。在审批过程中支持多处室多领导会签和并行办理，支持相关办件的选择关联，支持全程流程可视化跟踪、全过程留痕、多版本记录，支持文件在线预览、下载、打印、套红、意见反馈，支持办理时限智能预警、消息提醒、精细化权限管理等功能。</w:t>
            </w:r>
          </w:p>
          <w:p>
            <w:pPr>
              <w:pStyle w:val="null3"/>
              <w:ind w:right="-195" w:firstLine="56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重大执法决定统计</w:t>
            </w:r>
            <w:r>
              <w:rPr>
                <w:rFonts w:ascii="仿宋_GB2312" w:hAnsi="仿宋_GB2312" w:cs="仿宋_GB2312" w:eastAsia="仿宋_GB2312"/>
                <w:sz w:val="24"/>
                <w:b/>
              </w:rPr>
              <w:t>。</w:t>
            </w:r>
            <w:r>
              <w:rPr>
                <w:rFonts w:ascii="仿宋_GB2312" w:hAnsi="仿宋_GB2312" w:cs="仿宋_GB2312" w:eastAsia="仿宋_GB2312"/>
                <w:sz w:val="24"/>
              </w:rPr>
              <w:t>支持按照执法领域、内容、类别、审核情况、审批时间等多维度对事项进行统计分析，形成快捷查询窗口和图标数据可视化成果。</w:t>
            </w:r>
          </w:p>
          <w:p>
            <w:pPr>
              <w:pStyle w:val="null3"/>
              <w:ind w:right="-195" w:firstLine="56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重大执法决定归档管理</w:t>
            </w:r>
            <w:r>
              <w:rPr>
                <w:rFonts w:ascii="仿宋_GB2312" w:hAnsi="仿宋_GB2312" w:cs="仿宋_GB2312" w:eastAsia="仿宋_GB2312"/>
                <w:sz w:val="24"/>
                <w:b/>
              </w:rPr>
              <w:t>。</w:t>
            </w:r>
            <w:r>
              <w:rPr>
                <w:rFonts w:ascii="仿宋_GB2312" w:hAnsi="仿宋_GB2312" w:cs="仿宋_GB2312" w:eastAsia="仿宋_GB2312"/>
                <w:sz w:val="24"/>
              </w:rPr>
              <w:t>对重大执法决定审批过程文档、审批单和执法结果进行归档管理，自动形成电子档案资源。</w:t>
            </w:r>
          </w:p>
          <w:p>
            <w:pPr>
              <w:pStyle w:val="null3"/>
              <w:jc w:val="both"/>
              <w:outlineLvl w:val="1"/>
            </w:pPr>
            <w:r>
              <w:rPr>
                <w:rFonts w:ascii="仿宋_GB2312" w:hAnsi="仿宋_GB2312" w:cs="仿宋_GB2312" w:eastAsia="仿宋_GB2312"/>
                <w:sz w:val="24"/>
                <w:b/>
              </w:rPr>
              <w:t>5、档案资源管理</w:t>
            </w:r>
          </w:p>
          <w:p>
            <w:pPr>
              <w:pStyle w:val="null3"/>
              <w:ind w:right="-195" w:firstLine="560"/>
              <w:jc w:val="both"/>
            </w:pPr>
            <w:r>
              <w:rPr>
                <w:rFonts w:ascii="仿宋_GB2312" w:hAnsi="仿宋_GB2312" w:cs="仿宋_GB2312" w:eastAsia="仿宋_GB2312"/>
                <w:sz w:val="24"/>
              </w:rPr>
              <w:t>将各类业务开展过程种的文件资料和档案进行数据沉淀，同时将许可与合同档案、法规档案、规范性文件档案、重大执法决定档案及历史档案统一入库，形成资料档案库。支持自定义档案类型、文件类型、保管期限等档案管理规则，支持档案的快速查询和检索，便于资料共享与使用。</w:t>
            </w:r>
          </w:p>
          <w:p>
            <w:pPr>
              <w:pStyle w:val="null3"/>
              <w:jc w:val="both"/>
              <w:outlineLvl w:val="1"/>
            </w:pPr>
            <w:r>
              <w:rPr>
                <w:rFonts w:ascii="仿宋_GB2312" w:hAnsi="仿宋_GB2312" w:cs="仿宋_GB2312" w:eastAsia="仿宋_GB2312"/>
                <w:sz w:val="24"/>
                <w:b/>
              </w:rPr>
              <w:t>6、通讯中心</w:t>
            </w:r>
          </w:p>
          <w:p>
            <w:pPr>
              <w:pStyle w:val="null3"/>
              <w:ind w:right="-195" w:firstLine="560"/>
              <w:jc w:val="both"/>
            </w:pPr>
            <w:r>
              <w:rPr>
                <w:rFonts w:ascii="仿宋_GB2312" w:hAnsi="仿宋_GB2312" w:cs="仿宋_GB2312" w:eastAsia="仿宋_GB2312"/>
                <w:sz w:val="24"/>
              </w:rPr>
              <w:t>通讯中心主要围绕通讯录管理、联络群组、消息中心等内容进行建设，提高系统的便捷操作、及时提醒等支撑能力。</w:t>
            </w:r>
          </w:p>
          <w:p>
            <w:pPr>
              <w:pStyle w:val="null3"/>
              <w:ind w:right="-195" w:firstLine="562"/>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通讯录</w:t>
            </w:r>
            <w:r>
              <w:rPr>
                <w:rFonts w:ascii="仿宋_GB2312" w:hAnsi="仿宋_GB2312" w:cs="仿宋_GB2312" w:eastAsia="仿宋_GB2312"/>
                <w:sz w:val="24"/>
              </w:rPr>
              <w:t>。提供厅机关各处室组织机构和人员的信息管理和快速查询，形成通讯看板。</w:t>
            </w:r>
          </w:p>
          <w:p>
            <w:pPr>
              <w:pStyle w:val="null3"/>
              <w:ind w:right="-195" w:firstLine="56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联络群组</w:t>
            </w:r>
            <w:r>
              <w:rPr>
                <w:rFonts w:ascii="仿宋_GB2312" w:hAnsi="仿宋_GB2312" w:cs="仿宋_GB2312" w:eastAsia="仿宋_GB2312"/>
                <w:sz w:val="24"/>
                <w:b/>
              </w:rPr>
              <w:t>。</w:t>
            </w:r>
            <w:r>
              <w:rPr>
                <w:rFonts w:ascii="仿宋_GB2312" w:hAnsi="仿宋_GB2312" w:cs="仿宋_GB2312" w:eastAsia="仿宋_GB2312"/>
                <w:sz w:val="24"/>
              </w:rPr>
              <w:t>提供个人自定义群组中心，可自定义工作群组，在业务审批过程中快速选择群组人员进行批量分发。</w:t>
            </w:r>
          </w:p>
          <w:p>
            <w:pPr>
              <w:pStyle w:val="null3"/>
              <w:ind w:right="-195" w:firstLine="562"/>
              <w:jc w:val="both"/>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消息中心</w:t>
            </w:r>
            <w:r>
              <w:rPr>
                <w:rFonts w:ascii="仿宋_GB2312" w:hAnsi="仿宋_GB2312" w:cs="仿宋_GB2312" w:eastAsia="仿宋_GB2312"/>
                <w:sz w:val="24"/>
                <w:b/>
              </w:rPr>
              <w:t>。</w:t>
            </w:r>
            <w:r>
              <w:rPr>
                <w:rFonts w:ascii="仿宋_GB2312" w:hAnsi="仿宋_GB2312" w:cs="仿宋_GB2312" w:eastAsia="仿宋_GB2312"/>
                <w:sz w:val="24"/>
              </w:rPr>
              <w:t>系统支持系统内待办消息提醒，预警提醒。如有短信平台可支持短信平台的对接与自定义短信发送。</w:t>
            </w:r>
          </w:p>
          <w:p>
            <w:pPr>
              <w:pStyle w:val="null3"/>
              <w:jc w:val="both"/>
              <w:outlineLvl w:val="1"/>
            </w:pPr>
            <w:r>
              <w:rPr>
                <w:rFonts w:ascii="仿宋_GB2312" w:hAnsi="仿宋_GB2312" w:cs="仿宋_GB2312" w:eastAsia="仿宋_GB2312"/>
                <w:sz w:val="24"/>
                <w:b/>
              </w:rPr>
              <w:t>7、系统配置中心</w:t>
            </w:r>
          </w:p>
          <w:p>
            <w:pPr>
              <w:pStyle w:val="null3"/>
              <w:ind w:right="-195" w:firstLine="560"/>
              <w:jc w:val="both"/>
            </w:pPr>
            <w:r>
              <w:rPr>
                <w:rFonts w:ascii="仿宋_GB2312" w:hAnsi="仿宋_GB2312" w:cs="仿宋_GB2312" w:eastAsia="仿宋_GB2312"/>
                <w:sz w:val="24"/>
              </w:rPr>
              <w:t>系统配置中心主要围绕系统信息管理、密码管理、系统事项的统计、系统常用管理、系统文件柜和部门文件柜的应用和管理。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自合同签订之日起60日历天完成本项目并通过专家验收。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陕西省应急管理厅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验收标准：满足现行的技术规范、规程、要求，达到采购人技术目的，通过采购人审查和验收。 验收方法：采购人按照供应商完成系统升级后、测试与验证、签署验收报告、后期维护等验收。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项目完成并验收合格之后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磋商文件中所属行业为“软件和信息技术服务业”。从业人员300人以下或营业收入10000万元以下的为中小微型企业。其中，从业人员100人及以上，且营业收入1000万元及以上的 为中型企业；从业人员10人及以上，且营业收入50万元及以上的为小型企业；从业人员10人以下或营业收入50万元以下的为微型企业。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一、投标响应函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一、投标响应函 三、供应商应提交的相关资格证明材料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营业执照等法人身份、其他组织</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供应商须提供2024年财务审计报告（成立时间至提交响应文件截止时间不足一年的可提供成立后任意时段的资产负债表），或其基本存款账户开户银行出具的资信证明及基本存款账户开户许可证（开标前一个月内）；</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纳税证明或完税证明</w:t>
            </w:r>
          </w:p>
        </w:tc>
        <w:tc>
          <w:tcPr>
            <w:tcW w:type="dxa" w:w="3322"/>
          </w:tcPr>
          <w:p>
            <w:pPr>
              <w:pStyle w:val="null3"/>
            </w:pPr>
            <w:r>
              <w:rPr>
                <w:rFonts w:ascii="仿宋_GB2312" w:hAnsi="仿宋_GB2312" w:cs="仿宋_GB2312" w:eastAsia="仿宋_GB2312"/>
              </w:rPr>
              <w:t>提供投标截止时间前一年内已缴纳的至少一个月纳税证明或完税证明，依法免税的单位应提供相关证明材料；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社会保障资金缴存单据或社保机构开具的社会保险参保缴费情况证明</w:t>
            </w:r>
          </w:p>
        </w:tc>
        <w:tc>
          <w:tcPr>
            <w:tcW w:type="dxa" w:w="3322"/>
          </w:tcPr>
          <w:p>
            <w:pPr>
              <w:pStyle w:val="null3"/>
            </w:pPr>
            <w:r>
              <w:rPr>
                <w:rFonts w:ascii="仿宋_GB2312" w:hAnsi="仿宋_GB2312" w:cs="仿宋_GB2312" w:eastAsia="仿宋_GB2312"/>
              </w:rPr>
              <w:t>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信用中国等网站查询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供应商未被列入信用中国网站(www.creditchina.gov.cn)“失信被执行人、重大税收违法案件当事人名单”；不处于中国政府采购(www.ccgp.gov.cn)“政府采购严重违法失信行为信息记录”中的禁止参加政府采购活动期间；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控股管理关系说明</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中小企业承诺函</w:t>
            </w:r>
          </w:p>
        </w:tc>
        <w:tc>
          <w:tcPr>
            <w:tcW w:type="dxa" w:w="3322"/>
          </w:tcPr>
          <w:p>
            <w:pPr>
              <w:pStyle w:val="null3"/>
            </w:pPr>
            <w:r>
              <w:rPr>
                <w:rFonts w:ascii="仿宋_GB2312" w:hAnsi="仿宋_GB2312" w:cs="仿宋_GB2312" w:eastAsia="仿宋_GB2312"/>
              </w:rPr>
              <w:t>本采购包专门面向中小企业采购，参与的供应商服务全部由符合政策要求的中小企业承接。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标的清单（分项报价表） 二、投标报价表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响应文件封面 标的清单（分项报价表） 六、服务内容及服务邀请应答表 八、陕西省政府采购投标人拒绝政府采购领域商业贿赂承诺书及投标人认为有必要提供的其它资料.docx 七、技术部分.docx 一、投标响应函 五、商务应答表 中小企业声明函 残疾人福利性单位声明函 三、供应商应提交的相关资格证明材料 监狱企业的证明文件 四、商务部分.docx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按磋商文件要求签署、盖章</w:t>
            </w:r>
          </w:p>
        </w:tc>
        <w:tc>
          <w:tcPr>
            <w:tcW w:type="dxa" w:w="1661"/>
          </w:tcPr>
          <w:p>
            <w:pPr>
              <w:pStyle w:val="null3"/>
            </w:pPr>
            <w:r>
              <w:rPr>
                <w:rFonts w:ascii="仿宋_GB2312" w:hAnsi="仿宋_GB2312" w:cs="仿宋_GB2312" w:eastAsia="仿宋_GB2312"/>
              </w:rPr>
              <w:t>响应文件封面 标的清单（分项报价表） 六、服务内容及服务邀请应答表 八、陕西省政府采购投标人拒绝政府采购领域商业贿赂承诺书及投标人认为有必要提供的其它资料.docx 七、技术部分.docx 一、投标响应函 五、商务应答表 中小企业声明函 残疾人福利性单位声明函 三、供应商应提交的相关资格证明材料 监狱企业的证明文件 四、商务部分.docx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只能有一个有效报价，不得提交选择性报价，且报价不超过磋商文件规定的采购预算或最高限价</w:t>
            </w:r>
          </w:p>
        </w:tc>
        <w:tc>
          <w:tcPr>
            <w:tcW w:type="dxa" w:w="1661"/>
          </w:tcPr>
          <w:p>
            <w:pPr>
              <w:pStyle w:val="null3"/>
            </w:pPr>
            <w:r>
              <w:rPr>
                <w:rFonts w:ascii="仿宋_GB2312" w:hAnsi="仿宋_GB2312" w:cs="仿宋_GB2312" w:eastAsia="仿宋_GB2312"/>
              </w:rPr>
              <w:t>响应文件封面 标的清单（分项报价表） 六、服务内容及服务邀请应答表 八、陕西省政府采购投标人拒绝政府采购领域商业贿赂承诺书及投标人认为有必要提供的其它资料.docx 七、技术部分.docx 一、投标响应函 五、商务应答表 中小企业声明函 残疾人福利性单位声明函 三、供应商应提交的相关资格证明材料 监狱企业的证明文件 四、商务部分.docx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自合同签订之日起60日历天内完成本项目</w:t>
            </w:r>
          </w:p>
        </w:tc>
        <w:tc>
          <w:tcPr>
            <w:tcW w:type="dxa" w:w="1661"/>
          </w:tcPr>
          <w:p>
            <w:pPr>
              <w:pStyle w:val="null3"/>
            </w:pPr>
            <w:r>
              <w:rPr>
                <w:rFonts w:ascii="仿宋_GB2312" w:hAnsi="仿宋_GB2312" w:cs="仿宋_GB2312" w:eastAsia="仿宋_GB2312"/>
              </w:rPr>
              <w:t>响应文件封面 标的清单（分项报价表） 六、服务内容及服务邀请应答表 八、陕西省政府采购投标人拒绝政府采购领域商业贿赂承诺书及投标人认为有必要提供的其它资料.docx 七、技术部分.docx 一、投标响应函 五、商务应答表 中小企业声明函 残疾人福利性单位声明函 三、供应商应提交的相关资格证明材料 监狱企业的证明文件 四、商务部分.docx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满足现行的技术规范、规程、要求，达到采购人技术目的，通过采购人审查和验收。</w:t>
            </w:r>
          </w:p>
        </w:tc>
        <w:tc>
          <w:tcPr>
            <w:tcW w:type="dxa" w:w="1661"/>
          </w:tcPr>
          <w:p>
            <w:pPr>
              <w:pStyle w:val="null3"/>
            </w:pPr>
            <w:r>
              <w:rPr>
                <w:rFonts w:ascii="仿宋_GB2312" w:hAnsi="仿宋_GB2312" w:cs="仿宋_GB2312" w:eastAsia="仿宋_GB2312"/>
              </w:rPr>
              <w:t>响应文件封面 标的清单（分项报价表） 八、陕西省政府采购投标人拒绝政府采购领域商业贿赂承诺书及投标人认为有必要提供的其它资料.docx 六、服务内容及服务邀请应答表 七、技术部分.docx 一、投标响应函 五、商务应答表 中小企业声明函 残疾人福利性单位声明函 三、供应商应提交的相关资格证明材料 监狱企业的证明文件 四、商务部分.docx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标的清单（分项报价表） 六、服务内容及服务邀请应答表 八、陕西省政府采购投标人拒绝政府采购领域商业贿赂承诺书及投标人认为有必要提供的其它资料.docx 七、技术部分.docx 一、投标响应函 五、商务应答表 中小企业声明函 残疾人福利性单位声明函 三、供应商应提交的相关资格证明材料 监狱企业的证明文件 四、商务部分.docx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针对项目特点结合采购人需求制定项目总体实施方案，包括但不限于：①项目需求分析；②系统整体架构设计。需求理解正确全面，正确识别本系统涉及的关键技术，提出合理可行的关键技术解决方案，系统结构设计合理，全面完整覆盖系统功能需求得7.1-10； 方案内容、结构设计条理基本满足、覆盖系统功能一般得4.1-7； 方案内容空泛，条理不清晰计、覆盖系统功能不完善1-4分。未提供得0分。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七、技术部分.docx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根据磋商文件中的建设原则，针对建设内容①行政许可与合同审批②规范性文件审批③标准和法规审批④重大执法决定审批⑤档案资源管理⑥通讯中心⑦系统配置中心等制定详细的服务方案，方案内容包括但不限于：①功能模块设计；②技术路线方案；③查询优化策略。模块结构设计合理，全面完整覆盖功能需求得3.1-5；方案内容、结构设计条理基本满足、覆盖系统功能一般得1-3；未提供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七、技术部分.docx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质量保障方案应包括需求分析、设计、开发、测试、部署、运维、培训、验收等内容。方案契合工作实际，思路清晰，内容完整，方法科学，步骤合理得（7.1-10）分；方案能够结合工作实际，思路基本清晰，内容基本完整，方法较为科学得（4.1-7）分； 提出的实施方案难以适用工作实际，思路不清晰，内容不完整，方法和步骤不具体或不合理得（1-4）分；未提供得0分。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七、技术部分.docx</w:t>
            </w:r>
          </w:p>
        </w:tc>
      </w:tr>
      <w:tr>
        <w:tc>
          <w:tcPr>
            <w:tcW w:type="dxa" w:w="831"/>
            <w:vMerge/>
          </w:tcPr>
          <w:p/>
        </w:tc>
        <w:tc>
          <w:tcPr>
            <w:tcW w:type="dxa" w:w="1661"/>
          </w:tcPr>
          <w:p>
            <w:pPr>
              <w:pStyle w:val="null3"/>
            </w:pPr>
            <w:r>
              <w:rPr>
                <w:rFonts w:ascii="仿宋_GB2312" w:hAnsi="仿宋_GB2312" w:cs="仿宋_GB2312" w:eastAsia="仿宋_GB2312"/>
              </w:rPr>
              <w:t>运维及售后服务方案</w:t>
            </w:r>
          </w:p>
        </w:tc>
        <w:tc>
          <w:tcPr>
            <w:tcW w:type="dxa" w:w="2492"/>
          </w:tcPr>
          <w:p>
            <w:pPr>
              <w:pStyle w:val="null3"/>
            </w:pPr>
            <w:r>
              <w:rPr>
                <w:rFonts w:ascii="仿宋_GB2312" w:hAnsi="仿宋_GB2312" w:cs="仿宋_GB2312" w:eastAsia="仿宋_GB2312"/>
              </w:rPr>
              <w:t>供应商提供针对本项目的运维及售后服务方案，内容包含： ①运维服务计划安排； ②日常巡检与安全防护； ③重要（特殊）时期的运维保障；④售后服务方案。 方案契合工作实际，思路清晰，内容完整，方法科学，步骤合理得（7.1-10）分；方案能够结合工作实际，思路基本清晰，内容基本完整，方法较为科学得（4.1-7）分； 提出的实施方案难以适用工作实际，思路不清晰，内容不完整，方法和步骤不具体或不合理得（1-4）分；未提供得0分。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七、技术部分.docx</w:t>
            </w:r>
          </w:p>
        </w:tc>
      </w:tr>
      <w:tr>
        <w:tc>
          <w:tcPr>
            <w:tcW w:type="dxa" w:w="831"/>
            <w:vMerge/>
          </w:tcPr>
          <w:p/>
        </w:tc>
        <w:tc>
          <w:tcPr>
            <w:tcW w:type="dxa" w:w="1661"/>
          </w:tcPr>
          <w:p>
            <w:pPr>
              <w:pStyle w:val="null3"/>
            </w:pPr>
            <w:r>
              <w:rPr>
                <w:rFonts w:ascii="仿宋_GB2312" w:hAnsi="仿宋_GB2312" w:cs="仿宋_GB2312" w:eastAsia="仿宋_GB2312"/>
              </w:rPr>
              <w:t>项目组织人员</w:t>
            </w:r>
          </w:p>
        </w:tc>
        <w:tc>
          <w:tcPr>
            <w:tcW w:type="dxa" w:w="2492"/>
          </w:tcPr>
          <w:p>
            <w:pPr>
              <w:pStyle w:val="null3"/>
            </w:pPr>
            <w:r>
              <w:rPr>
                <w:rFonts w:ascii="仿宋_GB2312" w:hAnsi="仿宋_GB2312" w:cs="仿宋_GB2312" w:eastAsia="仿宋_GB2312"/>
              </w:rPr>
              <w:t>1.拟派项目经理具备信息系统项目管理师证书或系统架构设计师证书的得3分（须提供相关证书复印件及劳动合同，并加盖公章）。 2.拟派技术负责人具有计算机技术与软件专业技术高级资格证书，得2分；（须提供相关证书复印件及劳动合同，并加盖公章）。注：技术负责人和项目经理不能为同一个人。 3.项目团队人员（项目经理及技术负责人除外）具有计算机技术与软件专业技术中级及以上资格证书的每具备1个得1分，最高5分；（须提供相关证书复印件及劳动合同，并加盖公章。）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七、技术部分.docx</w:t>
            </w:r>
          </w:p>
        </w:tc>
      </w:tr>
      <w:tr>
        <w:tc>
          <w:tcPr>
            <w:tcW w:type="dxa" w:w="831"/>
            <w:vMerge/>
          </w:tcPr>
          <w:p/>
        </w:tc>
        <w:tc>
          <w:tcPr>
            <w:tcW w:type="dxa" w:w="1661"/>
          </w:tcPr>
          <w:p>
            <w:pPr>
              <w:pStyle w:val="null3"/>
            </w:pPr>
            <w:r>
              <w:rPr>
                <w:rFonts w:ascii="仿宋_GB2312" w:hAnsi="仿宋_GB2312" w:cs="仿宋_GB2312" w:eastAsia="仿宋_GB2312"/>
              </w:rPr>
              <w:t>项目团队服务能力</w:t>
            </w:r>
          </w:p>
        </w:tc>
        <w:tc>
          <w:tcPr>
            <w:tcW w:type="dxa" w:w="2492"/>
          </w:tcPr>
          <w:p>
            <w:pPr>
              <w:pStyle w:val="null3"/>
            </w:pPr>
            <w:r>
              <w:rPr>
                <w:rFonts w:ascii="仿宋_GB2312" w:hAnsi="仿宋_GB2312" w:cs="仿宋_GB2312" w:eastAsia="仿宋_GB2312"/>
              </w:rPr>
              <w:t>1.供应商应根据项目具体情况提供组织架构图和人员配置，根据组织架构、人员配置的专业性、合理性、全面性等方面赋分：人员配置详细合理计 3.1-5分，人员配置基本详细合理计 1-3分。未提供不得分。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七、技术部分.docx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投标供应商提供自2022年8月1日至今（以合同签订时间为准）的类似项目业绩。提供一份得1分，最多不超过5分。（合同复印件加盖公章附在投标文件中，合同须完整提供，提供不全的不予计分。）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四、商务部分.docx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1.实质性满足招标文件要求且投标总价格最低的投标总报价为评标基准价，其价格分为满分15分。 2.投标总报价得分=（评标基准价/投标总报价）*15分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二、投标报价表</w:t>
            </w:r>
          </w:p>
          <w:p>
            <w:pPr>
              <w:pStyle w:val="null3"/>
            </w:pPr>
            <w:r>
              <w:rPr>
                <w:rFonts w:ascii="仿宋_GB2312" w:hAnsi="仿宋_GB2312" w:cs="仿宋_GB2312" w:eastAsia="仿宋_GB2312"/>
              </w:rPr>
              <w:t>标的清单（分项报价表）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详见附件：一、投标响应函</w:t>
      </w:r>
    </w:p>
    <w:p>
      <w:pPr>
        <w:pStyle w:val="null3"/>
        <w:ind w:firstLine="960"/>
      </w:pPr>
      <w:r>
        <w:rPr>
          <w:rFonts w:ascii="仿宋_GB2312" w:hAnsi="仿宋_GB2312" w:cs="仿宋_GB2312" w:eastAsia="仿宋_GB2312"/>
        </w:rPr>
        <w:t>详见附件：二、投标报价表</w:t>
      </w:r>
    </w:p>
    <w:p>
      <w:pPr>
        <w:pStyle w:val="null3"/>
        <w:ind w:firstLine="960"/>
      </w:pPr>
      <w:r>
        <w:rPr>
          <w:rFonts w:ascii="仿宋_GB2312" w:hAnsi="仿宋_GB2312" w:cs="仿宋_GB2312" w:eastAsia="仿宋_GB2312"/>
        </w:rPr>
        <w:t>详见附件：标的清单（分项报价表）</w:t>
      </w:r>
    </w:p>
    <w:p>
      <w:pPr>
        <w:pStyle w:val="null3"/>
        <w:ind w:firstLine="960"/>
      </w:pPr>
      <w:r>
        <w:rPr>
          <w:rFonts w:ascii="仿宋_GB2312" w:hAnsi="仿宋_GB2312" w:cs="仿宋_GB2312" w:eastAsia="仿宋_GB2312"/>
        </w:rPr>
        <w:t>详见附件：三、供应商应提交的相关资格证明材料</w:t>
      </w:r>
    </w:p>
    <w:p>
      <w:pPr>
        <w:pStyle w:val="null3"/>
        <w:ind w:firstLine="960"/>
      </w:pPr>
      <w:r>
        <w:rPr>
          <w:rFonts w:ascii="仿宋_GB2312" w:hAnsi="仿宋_GB2312" w:cs="仿宋_GB2312" w:eastAsia="仿宋_GB2312"/>
        </w:rPr>
        <w:t>详见附件：四、商务部分.docx</w:t>
      </w:r>
    </w:p>
    <w:p>
      <w:pPr>
        <w:pStyle w:val="null3"/>
        <w:ind w:firstLine="960"/>
      </w:pPr>
      <w:r>
        <w:rPr>
          <w:rFonts w:ascii="仿宋_GB2312" w:hAnsi="仿宋_GB2312" w:cs="仿宋_GB2312" w:eastAsia="仿宋_GB2312"/>
        </w:rPr>
        <w:t>详见附件：五、商务应答表</w:t>
      </w:r>
    </w:p>
    <w:p>
      <w:pPr>
        <w:pStyle w:val="null3"/>
        <w:ind w:firstLine="960"/>
      </w:pPr>
      <w:r>
        <w:rPr>
          <w:rFonts w:ascii="仿宋_GB2312" w:hAnsi="仿宋_GB2312" w:cs="仿宋_GB2312" w:eastAsia="仿宋_GB2312"/>
        </w:rPr>
        <w:t>详见附件：六、服务内容及服务邀请应答表</w:t>
      </w:r>
    </w:p>
    <w:p>
      <w:pPr>
        <w:pStyle w:val="null3"/>
        <w:ind w:firstLine="960"/>
      </w:pPr>
      <w:r>
        <w:rPr>
          <w:rFonts w:ascii="仿宋_GB2312" w:hAnsi="仿宋_GB2312" w:cs="仿宋_GB2312" w:eastAsia="仿宋_GB2312"/>
        </w:rPr>
        <w:t>详见附件：七、技术部分.docx</w:t>
      </w:r>
    </w:p>
    <w:p>
      <w:pPr>
        <w:pStyle w:val="null3"/>
        <w:ind w:firstLine="960"/>
      </w:pPr>
      <w:r>
        <w:rPr>
          <w:rFonts w:ascii="仿宋_GB2312" w:hAnsi="仿宋_GB2312" w:cs="仿宋_GB2312" w:eastAsia="仿宋_GB2312"/>
        </w:rPr>
        <w:t>详见附件：八、陕西省政府采购投标人拒绝政府采购领域商业贿赂承诺书及投标人认为有必要提供的其它资料.docx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详见附件：陕西省应急管理厅政策法规业务系统项目-合同.docx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