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8A119F">
      <w:pPr>
        <w:spacing w:before="139" w:line="219" w:lineRule="auto"/>
        <w:ind w:left="349"/>
        <w:outlineLvl w:val="0"/>
        <w:rPr>
          <w:rFonts w:hint="eastAsia" w:ascii="宋体" w:hAnsi="宋体" w:eastAsia="宋体" w:cs="宋体"/>
          <w:sz w:val="44"/>
          <w:szCs w:val="44"/>
          <w:lang w:eastAsia="zh-CN"/>
        </w:rPr>
      </w:pPr>
      <w:r>
        <w:rPr>
          <w:rFonts w:hint="eastAsia" w:ascii="宋体" w:hAnsi="宋体" w:eastAsia="宋体" w:cs="宋体"/>
          <w:b/>
          <w:bCs/>
          <w:spacing w:val="-2"/>
          <w:sz w:val="44"/>
          <w:szCs w:val="44"/>
          <w:lang w:eastAsia="zh-CN"/>
        </w:rPr>
        <w:t>陕西省应急管理厅政策法规业务系统项目</w:t>
      </w:r>
    </w:p>
    <w:p w14:paraId="668F95C3">
      <w:pPr>
        <w:pStyle w:val="4"/>
        <w:spacing w:line="265" w:lineRule="auto"/>
        <w:rPr>
          <w:sz w:val="44"/>
          <w:szCs w:val="44"/>
        </w:rPr>
      </w:pPr>
    </w:p>
    <w:p w14:paraId="0157B15F">
      <w:pPr>
        <w:pStyle w:val="4"/>
        <w:spacing w:line="265" w:lineRule="auto"/>
        <w:rPr>
          <w:sz w:val="44"/>
          <w:szCs w:val="44"/>
        </w:rPr>
      </w:pPr>
    </w:p>
    <w:p w14:paraId="76BD84F2">
      <w:pPr>
        <w:pStyle w:val="4"/>
        <w:spacing w:line="266" w:lineRule="auto"/>
        <w:rPr>
          <w:sz w:val="44"/>
          <w:szCs w:val="44"/>
        </w:rPr>
      </w:pPr>
    </w:p>
    <w:p w14:paraId="0D3EF770">
      <w:pPr>
        <w:pStyle w:val="4"/>
        <w:spacing w:line="266" w:lineRule="auto"/>
        <w:rPr>
          <w:sz w:val="44"/>
          <w:szCs w:val="44"/>
        </w:rPr>
      </w:pPr>
    </w:p>
    <w:p w14:paraId="6BFDBEA0">
      <w:pPr>
        <w:spacing w:before="139" w:line="221" w:lineRule="auto"/>
        <w:ind w:left="3589"/>
        <w:rPr>
          <w:rFonts w:ascii="宋体" w:hAnsi="宋体" w:eastAsia="宋体" w:cs="宋体"/>
          <w:sz w:val="44"/>
          <w:szCs w:val="44"/>
        </w:rPr>
      </w:pPr>
      <w:r>
        <w:rPr>
          <w:rFonts w:ascii="宋体" w:hAnsi="宋体" w:eastAsia="宋体" w:cs="宋体"/>
          <w:b/>
          <w:bCs/>
          <w:spacing w:val="-14"/>
          <w:sz w:val="44"/>
          <w:szCs w:val="44"/>
        </w:rPr>
        <w:t>合</w:t>
      </w:r>
      <w:r>
        <w:rPr>
          <w:rFonts w:ascii="宋体" w:hAnsi="宋体" w:eastAsia="宋体" w:cs="宋体"/>
          <w:spacing w:val="19"/>
          <w:sz w:val="44"/>
          <w:szCs w:val="44"/>
        </w:rPr>
        <w:t xml:space="preserve">  </w:t>
      </w:r>
      <w:r>
        <w:rPr>
          <w:rFonts w:ascii="宋体" w:hAnsi="宋体" w:eastAsia="宋体" w:cs="宋体"/>
          <w:b/>
          <w:bCs/>
          <w:spacing w:val="-14"/>
          <w:sz w:val="44"/>
          <w:szCs w:val="44"/>
        </w:rPr>
        <w:t>同</w:t>
      </w:r>
    </w:p>
    <w:p w14:paraId="1CB31355">
      <w:pPr>
        <w:pStyle w:val="4"/>
        <w:spacing w:line="247" w:lineRule="auto"/>
      </w:pPr>
    </w:p>
    <w:p w14:paraId="2FCBA2BE">
      <w:pPr>
        <w:pStyle w:val="4"/>
        <w:spacing w:line="247" w:lineRule="auto"/>
      </w:pPr>
    </w:p>
    <w:p w14:paraId="0A4B7790">
      <w:pPr>
        <w:pStyle w:val="4"/>
        <w:spacing w:line="247" w:lineRule="auto"/>
      </w:pPr>
    </w:p>
    <w:p w14:paraId="46FC8131">
      <w:pPr>
        <w:pStyle w:val="4"/>
        <w:spacing w:line="247" w:lineRule="auto"/>
      </w:pPr>
    </w:p>
    <w:p w14:paraId="4D03BD55">
      <w:pPr>
        <w:pStyle w:val="4"/>
        <w:spacing w:line="247" w:lineRule="auto"/>
      </w:pPr>
    </w:p>
    <w:p w14:paraId="20918EF5">
      <w:pPr>
        <w:pStyle w:val="4"/>
        <w:spacing w:line="247" w:lineRule="auto"/>
      </w:pPr>
    </w:p>
    <w:p w14:paraId="01A3E1A0">
      <w:pPr>
        <w:pStyle w:val="4"/>
        <w:spacing w:line="247" w:lineRule="auto"/>
      </w:pPr>
    </w:p>
    <w:p w14:paraId="71F623DE">
      <w:pPr>
        <w:pStyle w:val="4"/>
        <w:spacing w:line="247" w:lineRule="auto"/>
      </w:pPr>
    </w:p>
    <w:p w14:paraId="5975ACDC">
      <w:pPr>
        <w:pStyle w:val="4"/>
        <w:spacing w:line="247" w:lineRule="auto"/>
      </w:pPr>
    </w:p>
    <w:p w14:paraId="761D4141">
      <w:pPr>
        <w:pStyle w:val="4"/>
        <w:spacing w:line="247" w:lineRule="auto"/>
      </w:pPr>
    </w:p>
    <w:p w14:paraId="2F7CBF01">
      <w:pPr>
        <w:pStyle w:val="4"/>
        <w:spacing w:line="247" w:lineRule="auto"/>
      </w:pPr>
    </w:p>
    <w:p w14:paraId="0C0F1FAA">
      <w:pPr>
        <w:pStyle w:val="4"/>
        <w:spacing w:line="247" w:lineRule="auto"/>
      </w:pPr>
    </w:p>
    <w:p w14:paraId="6D7999C1">
      <w:pPr>
        <w:pStyle w:val="4"/>
        <w:spacing w:line="247" w:lineRule="auto"/>
      </w:pPr>
    </w:p>
    <w:p w14:paraId="11304B7D">
      <w:pPr>
        <w:pStyle w:val="4"/>
        <w:spacing w:line="247" w:lineRule="auto"/>
      </w:pPr>
    </w:p>
    <w:p w14:paraId="5E0C730C">
      <w:pPr>
        <w:pStyle w:val="4"/>
        <w:spacing w:line="247" w:lineRule="auto"/>
      </w:pPr>
    </w:p>
    <w:p w14:paraId="0D9D9EC5">
      <w:pPr>
        <w:pStyle w:val="4"/>
        <w:spacing w:line="247" w:lineRule="auto"/>
      </w:pPr>
    </w:p>
    <w:p w14:paraId="32307B68">
      <w:pPr>
        <w:pStyle w:val="4"/>
        <w:spacing w:line="247" w:lineRule="auto"/>
      </w:pPr>
    </w:p>
    <w:p w14:paraId="51C3DFBB">
      <w:pPr>
        <w:pStyle w:val="4"/>
        <w:spacing w:line="248" w:lineRule="auto"/>
      </w:pPr>
    </w:p>
    <w:p w14:paraId="71AF40F9">
      <w:pPr>
        <w:pStyle w:val="4"/>
        <w:spacing w:line="248" w:lineRule="auto"/>
      </w:pPr>
    </w:p>
    <w:p w14:paraId="41EDDA2C">
      <w:pPr>
        <w:pStyle w:val="4"/>
        <w:spacing w:line="248" w:lineRule="auto"/>
      </w:pPr>
    </w:p>
    <w:p w14:paraId="0947FCF9">
      <w:pPr>
        <w:spacing w:before="85" w:line="219" w:lineRule="auto"/>
        <w:ind w:left="1533"/>
        <w:rPr>
          <w:rFonts w:ascii="Times New Roman" w:hAnsi="Times New Roman" w:eastAsia="Times New Roman" w:cs="Times New Roman"/>
          <w:b/>
          <w:bCs/>
          <w:sz w:val="44"/>
          <w:szCs w:val="44"/>
        </w:rPr>
      </w:pPr>
      <w:r>
        <w:rPr>
          <w:rFonts w:ascii="宋体" w:hAnsi="宋体" w:eastAsia="宋体" w:cs="宋体"/>
          <w:b/>
          <w:bCs/>
          <w:position w:val="1"/>
          <w:sz w:val="44"/>
          <w:szCs w:val="44"/>
        </w:rPr>
        <w:t>合同编号：</w:t>
      </w:r>
      <w:r>
        <w:rPr>
          <w:rFonts w:ascii="宋体" w:hAnsi="宋体" w:eastAsia="宋体" w:cs="宋体"/>
          <w:b/>
          <w:bCs/>
          <w:spacing w:val="-90"/>
          <w:position w:val="1"/>
          <w:sz w:val="44"/>
          <w:szCs w:val="44"/>
        </w:rPr>
        <w:t xml:space="preserve"> </w:t>
      </w:r>
      <w:r>
        <w:rPr>
          <w:rFonts w:ascii="Times New Roman" w:hAnsi="Times New Roman" w:eastAsia="Times New Roman" w:cs="Times New Roman"/>
          <w:b/>
          <w:bCs/>
          <w:sz w:val="44"/>
          <w:szCs w:val="44"/>
          <w:u w:val="single" w:color="auto"/>
        </w:rPr>
        <w:t xml:space="preserve">      </w:t>
      </w:r>
      <w:r>
        <w:rPr>
          <w:rFonts w:hint="eastAsia" w:ascii="Times New Roman" w:hAnsi="Times New Roman" w:eastAsia="宋体" w:cs="Times New Roman"/>
          <w:b/>
          <w:bCs/>
          <w:sz w:val="44"/>
          <w:szCs w:val="44"/>
          <w:u w:val="single" w:color="auto"/>
          <w:lang w:val="en-US" w:eastAsia="zh-CN"/>
        </w:rPr>
        <w:t xml:space="preserve">                                           </w:t>
      </w:r>
      <w:r>
        <w:rPr>
          <w:rFonts w:ascii="Times New Roman" w:hAnsi="Times New Roman" w:eastAsia="Times New Roman" w:cs="Times New Roman"/>
          <w:b/>
          <w:bCs/>
          <w:sz w:val="44"/>
          <w:szCs w:val="44"/>
          <w:u w:val="single" w:color="auto"/>
        </w:rPr>
        <w:t xml:space="preserve">   </w:t>
      </w:r>
    </w:p>
    <w:p w14:paraId="36F5885C">
      <w:pPr>
        <w:pStyle w:val="4"/>
        <w:spacing w:line="263" w:lineRule="auto"/>
        <w:rPr>
          <w:b/>
          <w:bCs/>
          <w:sz w:val="44"/>
          <w:szCs w:val="44"/>
        </w:rPr>
      </w:pPr>
    </w:p>
    <w:p w14:paraId="77AE72BE">
      <w:pPr>
        <w:spacing w:before="85" w:line="219" w:lineRule="auto"/>
        <w:ind w:left="1533"/>
        <w:rPr>
          <w:rFonts w:ascii="宋体" w:hAnsi="宋体" w:eastAsia="宋体" w:cs="宋体"/>
          <w:b/>
          <w:bCs/>
          <w:sz w:val="44"/>
          <w:szCs w:val="44"/>
        </w:rPr>
      </w:pPr>
      <w:r>
        <w:rPr>
          <w:rFonts w:ascii="宋体" w:hAnsi="宋体" w:eastAsia="宋体" w:cs="宋体"/>
          <w:b/>
          <w:bCs/>
          <w:spacing w:val="10"/>
          <w:sz w:val="44"/>
          <w:szCs w:val="44"/>
        </w:rPr>
        <w:t>甲    方</w:t>
      </w:r>
      <w:r>
        <w:rPr>
          <w:rFonts w:ascii="宋体" w:hAnsi="宋体" w:eastAsia="宋体" w:cs="宋体"/>
          <w:b/>
          <w:bCs/>
          <w:spacing w:val="-38"/>
          <w:sz w:val="44"/>
          <w:szCs w:val="44"/>
        </w:rPr>
        <w:t xml:space="preserve"> </w:t>
      </w:r>
      <w:r>
        <w:rPr>
          <w:rFonts w:ascii="宋体" w:hAnsi="宋体" w:eastAsia="宋体" w:cs="宋体"/>
          <w:b/>
          <w:bCs/>
          <w:spacing w:val="10"/>
          <w:sz w:val="44"/>
          <w:szCs w:val="44"/>
        </w:rPr>
        <w:t>：</w:t>
      </w:r>
      <w:r>
        <w:rPr>
          <w:rFonts w:ascii="Times New Roman" w:hAnsi="Times New Roman" w:eastAsia="Times New Roman" w:cs="Times New Roman"/>
          <w:b/>
          <w:bCs/>
          <w:sz w:val="44"/>
          <w:szCs w:val="44"/>
          <w:u w:val="single" w:color="auto"/>
        </w:rPr>
        <w:t xml:space="preserve">      </w:t>
      </w:r>
      <w:r>
        <w:rPr>
          <w:rFonts w:hint="eastAsia" w:ascii="Times New Roman" w:hAnsi="Times New Roman" w:eastAsia="宋体" w:cs="Times New Roman"/>
          <w:b/>
          <w:bCs/>
          <w:sz w:val="44"/>
          <w:szCs w:val="44"/>
          <w:u w:val="single" w:color="auto"/>
          <w:lang w:val="en-US" w:eastAsia="zh-CN"/>
        </w:rPr>
        <w:t xml:space="preserve">                                           </w:t>
      </w:r>
      <w:r>
        <w:rPr>
          <w:rFonts w:ascii="Times New Roman" w:hAnsi="Times New Roman" w:eastAsia="Times New Roman" w:cs="Times New Roman"/>
          <w:b/>
          <w:bCs/>
          <w:sz w:val="44"/>
          <w:szCs w:val="44"/>
          <w:u w:val="single" w:color="auto"/>
        </w:rPr>
        <w:t xml:space="preserve">   </w:t>
      </w:r>
    </w:p>
    <w:p w14:paraId="55C1408A">
      <w:pPr>
        <w:pStyle w:val="4"/>
        <w:spacing w:line="310" w:lineRule="auto"/>
        <w:rPr>
          <w:b/>
          <w:bCs/>
          <w:sz w:val="44"/>
          <w:szCs w:val="44"/>
        </w:rPr>
      </w:pPr>
    </w:p>
    <w:p w14:paraId="2F6BE284">
      <w:pPr>
        <w:spacing w:before="85" w:line="219" w:lineRule="auto"/>
        <w:ind w:left="1533"/>
        <w:rPr>
          <w:rFonts w:hint="eastAsia" w:ascii="Times New Roman" w:hAnsi="Times New Roman" w:eastAsia="宋体" w:cs="Times New Roman"/>
          <w:sz w:val="44"/>
          <w:szCs w:val="44"/>
          <w:u w:val="single" w:color="auto"/>
          <w:lang w:val="en-US" w:eastAsia="zh-CN"/>
        </w:rPr>
      </w:pPr>
      <w:r>
        <w:rPr>
          <w:rFonts w:ascii="宋体" w:hAnsi="宋体" w:eastAsia="宋体" w:cs="宋体"/>
          <w:b/>
          <w:bCs/>
          <w:spacing w:val="9"/>
          <w:sz w:val="44"/>
          <w:szCs w:val="44"/>
        </w:rPr>
        <w:t>乙    方</w:t>
      </w:r>
      <w:r>
        <w:rPr>
          <w:rFonts w:ascii="宋体" w:hAnsi="宋体" w:eastAsia="宋体" w:cs="宋体"/>
          <w:b/>
          <w:bCs/>
          <w:spacing w:val="-45"/>
          <w:sz w:val="44"/>
          <w:szCs w:val="44"/>
        </w:rPr>
        <w:t xml:space="preserve"> </w:t>
      </w:r>
      <w:r>
        <w:rPr>
          <w:rFonts w:ascii="宋体" w:hAnsi="宋体" w:eastAsia="宋体" w:cs="宋体"/>
          <w:b/>
          <w:bCs/>
          <w:spacing w:val="9"/>
          <w:sz w:val="44"/>
          <w:szCs w:val="44"/>
        </w:rPr>
        <w:t>：</w:t>
      </w:r>
      <w:r>
        <w:rPr>
          <w:rFonts w:ascii="Times New Roman" w:hAnsi="Times New Roman" w:eastAsia="Times New Roman" w:cs="Times New Roman"/>
          <w:b/>
          <w:bCs/>
          <w:sz w:val="44"/>
          <w:szCs w:val="44"/>
          <w:u w:val="single" w:color="auto"/>
        </w:rPr>
        <w:t xml:space="preserve">      </w:t>
      </w:r>
      <w:r>
        <w:rPr>
          <w:rFonts w:hint="eastAsia" w:ascii="Times New Roman" w:hAnsi="Times New Roman" w:eastAsia="宋体" w:cs="Times New Roman"/>
          <w:b/>
          <w:bCs/>
          <w:sz w:val="44"/>
          <w:szCs w:val="44"/>
          <w:u w:val="single" w:color="auto"/>
          <w:lang w:val="en-US" w:eastAsia="zh-CN"/>
        </w:rPr>
        <w:t xml:space="preserve">             </w:t>
      </w:r>
      <w:r>
        <w:rPr>
          <w:rFonts w:hint="eastAsia" w:ascii="Times New Roman" w:hAnsi="Times New Roman" w:eastAsia="宋体" w:cs="Times New Roman"/>
          <w:sz w:val="44"/>
          <w:szCs w:val="44"/>
          <w:u w:val="single" w:color="auto"/>
          <w:lang w:val="en-US" w:eastAsia="zh-CN"/>
        </w:rPr>
        <w:t xml:space="preserve">                       </w:t>
      </w:r>
    </w:p>
    <w:p w14:paraId="631555A5">
      <w:pPr>
        <w:rPr>
          <w:rFonts w:hint="eastAsia" w:ascii="Times New Roman" w:hAnsi="Times New Roman" w:eastAsia="宋体" w:cs="Times New Roman"/>
          <w:sz w:val="44"/>
          <w:szCs w:val="44"/>
          <w:u w:val="single" w:color="auto"/>
          <w:lang w:val="en-US" w:eastAsia="zh-CN"/>
        </w:rPr>
      </w:pPr>
      <w:r>
        <w:rPr>
          <w:rFonts w:hint="eastAsia" w:ascii="Times New Roman" w:hAnsi="Times New Roman" w:eastAsia="宋体" w:cs="Times New Roman"/>
          <w:sz w:val="44"/>
          <w:szCs w:val="44"/>
          <w:u w:val="single" w:color="auto"/>
          <w:lang w:val="en-US" w:eastAsia="zh-CN"/>
        </w:rPr>
        <w:br w:type="page"/>
      </w:r>
    </w:p>
    <w:p w14:paraId="2A28FF8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根据《中华人民共和国政府采购法》、《中华人民共和国民法典》等有关法律法规规定，陕西省应急管理厅通过公开招标采购确定</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为陕西省应急管理厅政策法规业务系统项目的中标单位。 甲乙双方同意签署《陕西省应急管理厅政策法规业务系统项目合同》(合同号：</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以下简称：“合同”)。</w:t>
      </w:r>
    </w:p>
    <w:p w14:paraId="34F3014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1.合同文件</w:t>
      </w:r>
    </w:p>
    <w:p w14:paraId="16379E4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下列文件是构成本合同不可分割的部分：</w:t>
      </w:r>
    </w:p>
    <w:p w14:paraId="6C514FF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(1)合同条款；</w:t>
      </w:r>
    </w:p>
    <w:p w14:paraId="53BBACD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(2)中标通知书；</w:t>
      </w:r>
    </w:p>
    <w:p w14:paraId="542D3C1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eastAsia="zh-CN"/>
        </w:rPr>
        <w:t>竞争性磋商文件</w:t>
      </w:r>
      <w:r>
        <w:rPr>
          <w:rFonts w:hint="eastAsia" w:asciiTheme="minorEastAsia" w:hAnsiTheme="minorEastAsia" w:eastAsiaTheme="minorEastAsia" w:cstheme="minorEastAsia"/>
          <w:sz w:val="24"/>
          <w:szCs w:val="24"/>
        </w:rPr>
        <w:t>；</w:t>
      </w:r>
    </w:p>
    <w:p w14:paraId="71E6919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lang w:eastAsia="zh-CN"/>
        </w:rPr>
        <w:t>响应文件</w:t>
      </w:r>
      <w:r>
        <w:rPr>
          <w:rFonts w:hint="eastAsia" w:asciiTheme="minorEastAsia" w:hAnsiTheme="minorEastAsia" w:eastAsiaTheme="minorEastAsia" w:cstheme="minorEastAsia"/>
          <w:sz w:val="24"/>
          <w:szCs w:val="24"/>
        </w:rPr>
        <w:t>；</w:t>
      </w:r>
    </w:p>
    <w:p w14:paraId="4E62B1D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(5)其他。</w:t>
      </w:r>
    </w:p>
    <w:p w14:paraId="7689829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合同标的</w:t>
      </w:r>
    </w:p>
    <w:tbl>
      <w:tblPr>
        <w:tblStyle w:val="11"/>
        <w:tblW w:w="9593" w:type="dxa"/>
        <w:tblInd w:w="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49"/>
        <w:gridCol w:w="534"/>
        <w:gridCol w:w="1360"/>
        <w:gridCol w:w="5453"/>
        <w:gridCol w:w="997"/>
      </w:tblGrid>
      <w:tr w14:paraId="6C97C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43" w:hRule="atLeast"/>
        </w:trPr>
        <w:tc>
          <w:tcPr>
            <w:tcW w:w="1249" w:type="dxa"/>
            <w:vAlign w:val="center"/>
          </w:tcPr>
          <w:p w14:paraId="64070734">
            <w:pPr>
              <w:bidi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项目名称</w:t>
            </w:r>
          </w:p>
        </w:tc>
        <w:tc>
          <w:tcPr>
            <w:tcW w:w="534" w:type="dxa"/>
            <w:textDirection w:val="tbRlV"/>
            <w:vAlign w:val="center"/>
          </w:tcPr>
          <w:p w14:paraId="3B098EF8">
            <w:pPr>
              <w:bidi w:val="0"/>
              <w:spacing w:line="360" w:lineRule="auto"/>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序号</w:t>
            </w:r>
          </w:p>
        </w:tc>
        <w:tc>
          <w:tcPr>
            <w:tcW w:w="6813" w:type="dxa"/>
            <w:gridSpan w:val="2"/>
            <w:vAlign w:val="center"/>
          </w:tcPr>
          <w:p w14:paraId="5B7D18C7">
            <w:pPr>
              <w:bidi w:val="0"/>
              <w:spacing w:line="360" w:lineRule="auto"/>
              <w:jc w:val="center"/>
              <w:rPr>
                <w:rFonts w:hint="eastAsia" w:asciiTheme="minorEastAsia" w:hAnsiTheme="minorEastAsia" w:eastAsiaTheme="minorEastAsia" w:cstheme="minorEastAsia"/>
                <w:sz w:val="24"/>
                <w:szCs w:val="24"/>
              </w:rPr>
            </w:pPr>
          </w:p>
          <w:p w14:paraId="5B5286EC">
            <w:pPr>
              <w:bidi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服务内容、范围</w:t>
            </w:r>
          </w:p>
        </w:tc>
        <w:tc>
          <w:tcPr>
            <w:tcW w:w="997" w:type="dxa"/>
            <w:vAlign w:val="center"/>
          </w:tcPr>
          <w:p w14:paraId="0FB8A1EF">
            <w:pPr>
              <w:bidi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服务时间</w:t>
            </w:r>
          </w:p>
        </w:tc>
      </w:tr>
      <w:tr w14:paraId="41DCA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249" w:type="dxa"/>
            <w:vMerge w:val="restart"/>
            <w:vAlign w:val="center"/>
          </w:tcPr>
          <w:p w14:paraId="60800AD5">
            <w:pPr>
              <w:bidi w:val="0"/>
              <w:spacing w:line="360" w:lineRule="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陕西省应急管理厅政策法规业务系统项目</w:t>
            </w:r>
          </w:p>
          <w:p w14:paraId="19856C47">
            <w:pPr>
              <w:bidi w:val="0"/>
              <w:spacing w:line="360" w:lineRule="auto"/>
              <w:rPr>
                <w:rFonts w:hint="eastAsia" w:asciiTheme="minorEastAsia" w:hAnsiTheme="minorEastAsia" w:eastAsiaTheme="minorEastAsia" w:cstheme="minorEastAsia"/>
                <w:sz w:val="24"/>
                <w:szCs w:val="24"/>
              </w:rPr>
            </w:pPr>
          </w:p>
        </w:tc>
        <w:tc>
          <w:tcPr>
            <w:tcW w:w="534" w:type="dxa"/>
            <w:vAlign w:val="center"/>
          </w:tcPr>
          <w:p w14:paraId="738CED5A">
            <w:pPr>
              <w:bidi w:val="0"/>
              <w:spacing w:line="360" w:lineRule="auto"/>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w:t>
            </w:r>
          </w:p>
        </w:tc>
        <w:tc>
          <w:tcPr>
            <w:tcW w:w="1360" w:type="dxa"/>
            <w:vAlign w:val="center"/>
          </w:tcPr>
          <w:p w14:paraId="18F29FC4">
            <w:pPr>
              <w:bidi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行政许可</w:t>
            </w:r>
            <w:r>
              <w:rPr>
                <w:rFonts w:hint="eastAsia" w:asciiTheme="minorEastAsia" w:hAnsiTheme="minorEastAsia" w:eastAsiaTheme="minorEastAsia" w:cstheme="minorEastAsia"/>
                <w:sz w:val="24"/>
                <w:szCs w:val="24"/>
                <w:lang w:eastAsia="zh-CN"/>
              </w:rPr>
              <w:t>与</w:t>
            </w:r>
            <w:r>
              <w:rPr>
                <w:rFonts w:hint="eastAsia" w:asciiTheme="minorEastAsia" w:hAnsiTheme="minorEastAsia" w:eastAsiaTheme="minorEastAsia" w:cstheme="minorEastAsia"/>
                <w:sz w:val="24"/>
                <w:szCs w:val="24"/>
              </w:rPr>
              <w:t>合同审批</w:t>
            </w:r>
          </w:p>
        </w:tc>
        <w:tc>
          <w:tcPr>
            <w:tcW w:w="5453" w:type="dxa"/>
            <w:vAlign w:val="center"/>
          </w:tcPr>
          <w:p w14:paraId="24C16124">
            <w:pPr>
              <w:bidi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行政许可模块严格遵循《陕西省应急管理厅行政许可工作程序》，完整覆盖受理、审查、审核、决定、制证、公告等阶段，同时包含安全生产许可证的变更、补办、注销、统计、归档管理等环节；合同审批模块依据《陕西省应急管理厅合同管理办法》相关规定设计，实现合同审批全流程内部管控，确保审批工作规范有序。</w:t>
            </w:r>
          </w:p>
        </w:tc>
        <w:tc>
          <w:tcPr>
            <w:tcW w:w="997" w:type="dxa"/>
            <w:vMerge w:val="restart"/>
            <w:vAlign w:val="top"/>
          </w:tcPr>
          <w:p w14:paraId="39C246AF">
            <w:pPr>
              <w:bidi w:val="0"/>
              <w:spacing w:line="360" w:lineRule="auto"/>
              <w:rPr>
                <w:rFonts w:hint="eastAsia" w:asciiTheme="minorEastAsia" w:hAnsiTheme="minorEastAsia" w:eastAsiaTheme="minorEastAsia" w:cstheme="minorEastAsia"/>
                <w:sz w:val="24"/>
                <w:szCs w:val="24"/>
              </w:rPr>
            </w:pPr>
          </w:p>
          <w:p w14:paraId="63997EBF">
            <w:pPr>
              <w:bidi w:val="0"/>
              <w:spacing w:line="360" w:lineRule="auto"/>
              <w:rPr>
                <w:rFonts w:hint="eastAsia" w:asciiTheme="minorEastAsia" w:hAnsiTheme="minorEastAsia" w:eastAsiaTheme="minorEastAsia" w:cstheme="minorEastAsia"/>
                <w:sz w:val="24"/>
                <w:szCs w:val="24"/>
              </w:rPr>
            </w:pPr>
          </w:p>
          <w:p w14:paraId="16881681">
            <w:pPr>
              <w:bidi w:val="0"/>
              <w:spacing w:line="360" w:lineRule="auto"/>
              <w:rPr>
                <w:rFonts w:hint="eastAsia" w:asciiTheme="minorEastAsia" w:hAnsiTheme="minorEastAsia" w:eastAsiaTheme="minorEastAsia" w:cstheme="minorEastAsia"/>
                <w:sz w:val="24"/>
                <w:szCs w:val="24"/>
              </w:rPr>
            </w:pPr>
          </w:p>
          <w:p w14:paraId="02B3D682">
            <w:pPr>
              <w:bidi w:val="0"/>
              <w:spacing w:line="360" w:lineRule="auto"/>
              <w:rPr>
                <w:rFonts w:hint="eastAsia" w:asciiTheme="minorEastAsia" w:hAnsiTheme="minorEastAsia" w:eastAsiaTheme="minorEastAsia" w:cstheme="minorEastAsia"/>
                <w:sz w:val="24"/>
                <w:szCs w:val="24"/>
              </w:rPr>
            </w:pPr>
          </w:p>
          <w:p w14:paraId="1E028B82">
            <w:pPr>
              <w:bidi w:val="0"/>
              <w:spacing w:line="360" w:lineRule="auto"/>
              <w:rPr>
                <w:rFonts w:hint="eastAsia" w:asciiTheme="minorEastAsia" w:hAnsiTheme="minorEastAsia" w:eastAsiaTheme="minorEastAsia" w:cstheme="minorEastAsia"/>
                <w:sz w:val="24"/>
                <w:szCs w:val="24"/>
              </w:rPr>
            </w:pPr>
          </w:p>
          <w:p w14:paraId="1AF99AC4">
            <w:pPr>
              <w:bidi w:val="0"/>
              <w:spacing w:line="360" w:lineRule="auto"/>
              <w:rPr>
                <w:rFonts w:hint="eastAsia" w:asciiTheme="minorEastAsia" w:hAnsiTheme="minorEastAsia" w:eastAsiaTheme="minorEastAsia" w:cstheme="minorEastAsia"/>
                <w:sz w:val="24"/>
                <w:szCs w:val="24"/>
              </w:rPr>
            </w:pPr>
          </w:p>
          <w:p w14:paraId="570017D6">
            <w:pPr>
              <w:bidi w:val="0"/>
              <w:spacing w:line="360" w:lineRule="auto"/>
              <w:rPr>
                <w:rFonts w:hint="eastAsia" w:asciiTheme="minorEastAsia" w:hAnsiTheme="minorEastAsia" w:eastAsiaTheme="minorEastAsia" w:cstheme="minorEastAsia"/>
                <w:sz w:val="24"/>
                <w:szCs w:val="24"/>
              </w:rPr>
            </w:pPr>
          </w:p>
          <w:p w14:paraId="2BB7EBE6">
            <w:pPr>
              <w:bidi w:val="0"/>
              <w:spacing w:line="360" w:lineRule="auto"/>
              <w:rPr>
                <w:rFonts w:hint="eastAsia" w:asciiTheme="minorEastAsia" w:hAnsiTheme="minorEastAsia" w:eastAsiaTheme="minorEastAsia" w:cstheme="minorEastAsia"/>
                <w:sz w:val="24"/>
                <w:szCs w:val="24"/>
              </w:rPr>
            </w:pPr>
          </w:p>
          <w:p w14:paraId="09D53356">
            <w:pPr>
              <w:bidi w:val="0"/>
              <w:spacing w:line="360" w:lineRule="auto"/>
              <w:rPr>
                <w:rFonts w:hint="eastAsia" w:asciiTheme="minorEastAsia" w:hAnsiTheme="minorEastAsia" w:eastAsiaTheme="minorEastAsia" w:cstheme="minorEastAsia"/>
                <w:sz w:val="24"/>
                <w:szCs w:val="24"/>
              </w:rPr>
            </w:pPr>
          </w:p>
        </w:tc>
      </w:tr>
      <w:tr w14:paraId="7DDE5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86" w:hRule="atLeast"/>
        </w:trPr>
        <w:tc>
          <w:tcPr>
            <w:tcW w:w="1249" w:type="dxa"/>
            <w:vMerge w:val="continue"/>
            <w:vAlign w:val="top"/>
          </w:tcPr>
          <w:p w14:paraId="5645D41F">
            <w:pPr>
              <w:bidi w:val="0"/>
              <w:spacing w:line="360" w:lineRule="auto"/>
              <w:rPr>
                <w:rFonts w:hint="eastAsia" w:asciiTheme="minorEastAsia" w:hAnsiTheme="minorEastAsia" w:eastAsiaTheme="minorEastAsia" w:cstheme="minorEastAsia"/>
                <w:sz w:val="24"/>
                <w:szCs w:val="24"/>
              </w:rPr>
            </w:pPr>
          </w:p>
        </w:tc>
        <w:tc>
          <w:tcPr>
            <w:tcW w:w="534" w:type="dxa"/>
            <w:vAlign w:val="center"/>
          </w:tcPr>
          <w:p w14:paraId="2EBACE99">
            <w:pPr>
              <w:bidi w:val="0"/>
              <w:spacing w:line="360" w:lineRule="auto"/>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w:t>
            </w:r>
          </w:p>
        </w:tc>
        <w:tc>
          <w:tcPr>
            <w:tcW w:w="1360" w:type="dxa"/>
            <w:vAlign w:val="center"/>
          </w:tcPr>
          <w:p w14:paraId="4B5F762A">
            <w:pPr>
              <w:bidi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规范性文件</w:t>
            </w:r>
          </w:p>
          <w:p w14:paraId="65A956E0">
            <w:pPr>
              <w:bidi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审批</w:t>
            </w:r>
          </w:p>
        </w:tc>
        <w:tc>
          <w:tcPr>
            <w:tcW w:w="5453" w:type="dxa"/>
            <w:vAlign w:val="center"/>
          </w:tcPr>
          <w:p w14:paraId="575F9A2E">
            <w:pPr>
              <w:bidi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规范性文件审批主要围绕文件登记备案、文件审查管理、智能审查工具、文件目录管理、资料归档管理等内容进行建设，构建规范性文件审查流转体系，提升审查效率和质量。</w:t>
            </w:r>
          </w:p>
        </w:tc>
        <w:tc>
          <w:tcPr>
            <w:tcW w:w="997" w:type="dxa"/>
            <w:vMerge w:val="continue"/>
            <w:vAlign w:val="top"/>
          </w:tcPr>
          <w:p w14:paraId="3E3C9903">
            <w:pPr>
              <w:bidi w:val="0"/>
              <w:spacing w:line="360" w:lineRule="auto"/>
              <w:rPr>
                <w:rFonts w:hint="eastAsia" w:asciiTheme="minorEastAsia" w:hAnsiTheme="minorEastAsia" w:eastAsiaTheme="minorEastAsia" w:cstheme="minorEastAsia"/>
                <w:sz w:val="24"/>
                <w:szCs w:val="24"/>
              </w:rPr>
            </w:pPr>
          </w:p>
        </w:tc>
      </w:tr>
      <w:tr w14:paraId="24832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2" w:hRule="atLeast"/>
        </w:trPr>
        <w:tc>
          <w:tcPr>
            <w:tcW w:w="1249" w:type="dxa"/>
            <w:vMerge w:val="continue"/>
            <w:vAlign w:val="top"/>
          </w:tcPr>
          <w:p w14:paraId="33C91BB3">
            <w:pPr>
              <w:bidi w:val="0"/>
              <w:spacing w:line="360" w:lineRule="auto"/>
              <w:rPr>
                <w:rFonts w:hint="eastAsia" w:asciiTheme="minorEastAsia" w:hAnsiTheme="minorEastAsia" w:eastAsiaTheme="minorEastAsia" w:cstheme="minorEastAsia"/>
                <w:sz w:val="24"/>
                <w:szCs w:val="24"/>
              </w:rPr>
            </w:pPr>
          </w:p>
        </w:tc>
        <w:tc>
          <w:tcPr>
            <w:tcW w:w="534" w:type="dxa"/>
            <w:vAlign w:val="center"/>
          </w:tcPr>
          <w:p w14:paraId="466191D3">
            <w:pPr>
              <w:bidi w:val="0"/>
              <w:spacing w:line="360" w:lineRule="auto"/>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w:t>
            </w:r>
          </w:p>
        </w:tc>
        <w:tc>
          <w:tcPr>
            <w:tcW w:w="1360" w:type="dxa"/>
            <w:vAlign w:val="center"/>
          </w:tcPr>
          <w:p w14:paraId="0D67C6A5">
            <w:pPr>
              <w:bidi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标准和法规</w:t>
            </w:r>
          </w:p>
          <w:p w14:paraId="2901E1F1">
            <w:pPr>
              <w:bidi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审批</w:t>
            </w:r>
          </w:p>
        </w:tc>
        <w:tc>
          <w:tcPr>
            <w:tcW w:w="5453" w:type="dxa"/>
            <w:vAlign w:val="center"/>
          </w:tcPr>
          <w:p w14:paraId="0BF8C575">
            <w:pPr>
              <w:bidi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标准和法规审批主要围绕</w:t>
            </w:r>
            <w:r>
              <w:rPr>
                <w:rFonts w:hint="eastAsia" w:asciiTheme="minorEastAsia" w:hAnsiTheme="minorEastAsia" w:eastAsiaTheme="minorEastAsia" w:cstheme="minorEastAsia"/>
                <w:sz w:val="24"/>
                <w:szCs w:val="24"/>
                <w:lang w:eastAsia="zh-CN"/>
              </w:rPr>
              <w:t>应急管理与安全生产领域的</w:t>
            </w:r>
            <w:r>
              <w:rPr>
                <w:rFonts w:hint="eastAsia" w:asciiTheme="minorEastAsia" w:hAnsiTheme="minorEastAsia" w:eastAsiaTheme="minorEastAsia" w:cstheme="minorEastAsia"/>
                <w:sz w:val="24"/>
                <w:szCs w:val="24"/>
              </w:rPr>
              <w:t>标准和法规起草、审批、统计、归档等内容进行建设，提高标准和法规起草质量和审批效率。</w:t>
            </w:r>
          </w:p>
        </w:tc>
        <w:tc>
          <w:tcPr>
            <w:tcW w:w="997" w:type="dxa"/>
            <w:vMerge w:val="continue"/>
            <w:vAlign w:val="top"/>
          </w:tcPr>
          <w:p w14:paraId="77EF2B19">
            <w:pPr>
              <w:bidi w:val="0"/>
              <w:spacing w:line="360" w:lineRule="auto"/>
              <w:rPr>
                <w:rFonts w:hint="eastAsia" w:asciiTheme="minorEastAsia" w:hAnsiTheme="minorEastAsia" w:eastAsiaTheme="minorEastAsia" w:cstheme="minorEastAsia"/>
                <w:sz w:val="24"/>
                <w:szCs w:val="24"/>
              </w:rPr>
            </w:pPr>
          </w:p>
        </w:tc>
      </w:tr>
      <w:tr w14:paraId="7D0EF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3" w:hRule="atLeast"/>
        </w:trPr>
        <w:tc>
          <w:tcPr>
            <w:tcW w:w="1249" w:type="dxa"/>
            <w:vMerge w:val="continue"/>
            <w:vAlign w:val="top"/>
          </w:tcPr>
          <w:p w14:paraId="50BA1921">
            <w:pPr>
              <w:bidi w:val="0"/>
              <w:spacing w:line="360" w:lineRule="auto"/>
              <w:rPr>
                <w:rFonts w:hint="eastAsia" w:asciiTheme="minorEastAsia" w:hAnsiTheme="minorEastAsia" w:eastAsiaTheme="minorEastAsia" w:cstheme="minorEastAsia"/>
                <w:sz w:val="24"/>
                <w:szCs w:val="24"/>
              </w:rPr>
            </w:pPr>
          </w:p>
        </w:tc>
        <w:tc>
          <w:tcPr>
            <w:tcW w:w="534" w:type="dxa"/>
            <w:vAlign w:val="center"/>
          </w:tcPr>
          <w:p w14:paraId="561CCBC7">
            <w:pPr>
              <w:bidi w:val="0"/>
              <w:spacing w:line="360" w:lineRule="auto"/>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w:t>
            </w:r>
          </w:p>
        </w:tc>
        <w:tc>
          <w:tcPr>
            <w:tcW w:w="1360" w:type="dxa"/>
            <w:vAlign w:val="center"/>
          </w:tcPr>
          <w:p w14:paraId="21006071">
            <w:pPr>
              <w:bidi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重大执法决定审批</w:t>
            </w:r>
          </w:p>
        </w:tc>
        <w:tc>
          <w:tcPr>
            <w:tcW w:w="5453" w:type="dxa"/>
            <w:vAlign w:val="center"/>
          </w:tcPr>
          <w:p w14:paraId="793F832D">
            <w:pPr>
              <w:bidi w:val="0"/>
              <w:spacing w:line="36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重大执法决定法制审核模块主要包含重大执法决定审批管理、统计管理和归档管理功能</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lang w:eastAsia="zh-CN"/>
              </w:rPr>
              <w:t>着力推进厅机关</w:t>
            </w:r>
            <w:r>
              <w:rPr>
                <w:rFonts w:hint="eastAsia" w:asciiTheme="minorEastAsia" w:hAnsiTheme="minorEastAsia" w:eastAsiaTheme="minorEastAsia" w:cstheme="minorEastAsia"/>
                <w:sz w:val="24"/>
                <w:szCs w:val="24"/>
                <w:highlight w:val="none"/>
              </w:rPr>
              <w:t>安全生产行政执法透明、规范、合法、公正，全面提高执法效能。</w:t>
            </w:r>
          </w:p>
        </w:tc>
        <w:tc>
          <w:tcPr>
            <w:tcW w:w="997" w:type="dxa"/>
            <w:vMerge w:val="restart"/>
            <w:vAlign w:val="top"/>
          </w:tcPr>
          <w:p w14:paraId="295BF289">
            <w:pPr>
              <w:bidi w:val="0"/>
              <w:spacing w:line="36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自合同签订之日起60日历天完成本项目</w:t>
            </w:r>
            <w:r>
              <w:rPr>
                <w:rFonts w:hint="eastAsia" w:asciiTheme="minorEastAsia" w:hAnsiTheme="minorEastAsia" w:eastAsiaTheme="minorEastAsia" w:cstheme="minorEastAsia"/>
                <w:sz w:val="24"/>
                <w:szCs w:val="24"/>
                <w:highlight w:val="none"/>
                <w:lang w:val="en-US" w:eastAsia="zh-CN"/>
              </w:rPr>
              <w:t>并通过专家验收。</w:t>
            </w:r>
          </w:p>
        </w:tc>
      </w:tr>
      <w:tr w14:paraId="396B6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58" w:hRule="atLeast"/>
        </w:trPr>
        <w:tc>
          <w:tcPr>
            <w:tcW w:w="1249" w:type="dxa"/>
            <w:vMerge w:val="continue"/>
            <w:vAlign w:val="top"/>
          </w:tcPr>
          <w:p w14:paraId="5D42DE9E">
            <w:pPr>
              <w:spacing w:line="360" w:lineRule="auto"/>
              <w:rPr>
                <w:rFonts w:hint="eastAsia" w:asciiTheme="minorEastAsia" w:hAnsiTheme="minorEastAsia" w:eastAsiaTheme="minorEastAsia" w:cstheme="minorEastAsia"/>
                <w:b w:val="0"/>
                <w:bCs w:val="0"/>
                <w:sz w:val="24"/>
                <w:szCs w:val="24"/>
              </w:rPr>
            </w:pPr>
          </w:p>
        </w:tc>
        <w:tc>
          <w:tcPr>
            <w:tcW w:w="534" w:type="dxa"/>
            <w:vAlign w:val="center"/>
          </w:tcPr>
          <w:p w14:paraId="415F7E43">
            <w:pPr>
              <w:bidi w:val="0"/>
              <w:spacing w:line="360" w:lineRule="auto"/>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w:t>
            </w:r>
          </w:p>
        </w:tc>
        <w:tc>
          <w:tcPr>
            <w:tcW w:w="1360" w:type="dxa"/>
            <w:vAlign w:val="center"/>
          </w:tcPr>
          <w:p w14:paraId="24650264">
            <w:pPr>
              <w:bidi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档案资源管理</w:t>
            </w:r>
          </w:p>
        </w:tc>
        <w:tc>
          <w:tcPr>
            <w:tcW w:w="5453" w:type="dxa"/>
            <w:vAlign w:val="center"/>
          </w:tcPr>
          <w:p w14:paraId="7DE6A3E3">
            <w:pPr>
              <w:bidi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档案资源管理主要将各类业务开展过程</w:t>
            </w:r>
            <w:r>
              <w:rPr>
                <w:rFonts w:hint="eastAsia" w:asciiTheme="minorEastAsia" w:hAnsiTheme="minorEastAsia" w:eastAsiaTheme="minorEastAsia" w:cstheme="minorEastAsia"/>
                <w:sz w:val="24"/>
                <w:szCs w:val="24"/>
                <w:lang w:eastAsia="zh-CN"/>
              </w:rPr>
              <w:t>中</w:t>
            </w:r>
            <w:r>
              <w:rPr>
                <w:rFonts w:hint="eastAsia" w:asciiTheme="minorEastAsia" w:hAnsiTheme="minorEastAsia" w:eastAsiaTheme="minorEastAsia" w:cstheme="minorEastAsia"/>
                <w:sz w:val="24"/>
                <w:szCs w:val="24"/>
              </w:rPr>
              <w:t>的文件资料进行数据沉淀，</w:t>
            </w:r>
            <w:r>
              <w:rPr>
                <w:rFonts w:hint="eastAsia" w:asciiTheme="minorEastAsia" w:hAnsiTheme="minorEastAsia" w:eastAsiaTheme="minorEastAsia" w:cstheme="minorEastAsia"/>
                <w:sz w:val="24"/>
                <w:szCs w:val="24"/>
                <w:lang w:eastAsia="zh-CN"/>
              </w:rPr>
              <w:t>将许可与合同</w:t>
            </w:r>
            <w:r>
              <w:rPr>
                <w:rFonts w:hint="eastAsia" w:asciiTheme="minorEastAsia" w:hAnsiTheme="minorEastAsia" w:eastAsiaTheme="minorEastAsia" w:cstheme="minorEastAsia"/>
                <w:sz w:val="24"/>
                <w:szCs w:val="24"/>
              </w:rPr>
              <w:t>档案、法规档案、规范性文件档案、</w:t>
            </w:r>
            <w:r>
              <w:rPr>
                <w:rFonts w:hint="eastAsia" w:asciiTheme="minorEastAsia" w:hAnsiTheme="minorEastAsia" w:eastAsiaTheme="minorEastAsia" w:cstheme="minorEastAsia"/>
                <w:sz w:val="24"/>
                <w:szCs w:val="24"/>
                <w:lang w:eastAsia="zh-CN"/>
              </w:rPr>
              <w:t>重大执法决定法制审核</w:t>
            </w:r>
            <w:r>
              <w:rPr>
                <w:rFonts w:hint="eastAsia" w:asciiTheme="minorEastAsia" w:hAnsiTheme="minorEastAsia" w:eastAsiaTheme="minorEastAsia" w:cstheme="minorEastAsia"/>
                <w:sz w:val="24"/>
                <w:szCs w:val="24"/>
              </w:rPr>
              <w:t>档案</w:t>
            </w:r>
            <w:r>
              <w:rPr>
                <w:rFonts w:hint="eastAsia" w:asciiTheme="minorEastAsia" w:hAnsiTheme="minorEastAsia" w:eastAsiaTheme="minorEastAsia" w:cstheme="minorEastAsia"/>
                <w:sz w:val="24"/>
                <w:szCs w:val="24"/>
                <w:lang w:eastAsia="zh-CN"/>
              </w:rPr>
              <w:t>、历史档案统一入库</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构建电子</w:t>
            </w:r>
            <w:r>
              <w:rPr>
                <w:rFonts w:hint="eastAsia" w:asciiTheme="minorEastAsia" w:hAnsiTheme="minorEastAsia" w:eastAsiaTheme="minorEastAsia" w:cstheme="minorEastAsia"/>
                <w:sz w:val="24"/>
                <w:szCs w:val="24"/>
              </w:rPr>
              <w:t>档案库，支持档案的快速查询和检索，便于资料共享与使用。</w:t>
            </w:r>
          </w:p>
        </w:tc>
        <w:tc>
          <w:tcPr>
            <w:tcW w:w="997" w:type="dxa"/>
            <w:vMerge w:val="continue"/>
            <w:vAlign w:val="top"/>
          </w:tcPr>
          <w:p w14:paraId="1BDE0934">
            <w:pPr>
              <w:spacing w:line="360" w:lineRule="auto"/>
              <w:rPr>
                <w:rFonts w:hint="eastAsia" w:asciiTheme="minorEastAsia" w:hAnsiTheme="minorEastAsia" w:eastAsiaTheme="minorEastAsia" w:cstheme="minorEastAsia"/>
                <w:sz w:val="24"/>
                <w:szCs w:val="24"/>
              </w:rPr>
            </w:pPr>
          </w:p>
        </w:tc>
      </w:tr>
      <w:tr w14:paraId="58800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85" w:hRule="atLeast"/>
        </w:trPr>
        <w:tc>
          <w:tcPr>
            <w:tcW w:w="1249" w:type="dxa"/>
            <w:vMerge w:val="continue"/>
            <w:vAlign w:val="top"/>
          </w:tcPr>
          <w:p w14:paraId="2700B70C">
            <w:pPr>
              <w:spacing w:line="360" w:lineRule="auto"/>
              <w:rPr>
                <w:rFonts w:hint="eastAsia" w:asciiTheme="minorEastAsia" w:hAnsiTheme="minorEastAsia" w:eastAsiaTheme="minorEastAsia" w:cstheme="minorEastAsia"/>
                <w:b w:val="0"/>
                <w:bCs w:val="0"/>
                <w:sz w:val="24"/>
                <w:szCs w:val="24"/>
              </w:rPr>
            </w:pPr>
          </w:p>
        </w:tc>
        <w:tc>
          <w:tcPr>
            <w:tcW w:w="534" w:type="dxa"/>
            <w:vAlign w:val="center"/>
          </w:tcPr>
          <w:p w14:paraId="2583B79C">
            <w:pPr>
              <w:bidi w:val="0"/>
              <w:spacing w:line="360" w:lineRule="auto"/>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w:t>
            </w:r>
          </w:p>
        </w:tc>
        <w:tc>
          <w:tcPr>
            <w:tcW w:w="1360" w:type="dxa"/>
            <w:vAlign w:val="center"/>
          </w:tcPr>
          <w:p w14:paraId="1496BC63">
            <w:pPr>
              <w:bidi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通讯中心</w:t>
            </w:r>
          </w:p>
        </w:tc>
        <w:tc>
          <w:tcPr>
            <w:tcW w:w="5453" w:type="dxa"/>
            <w:vAlign w:val="center"/>
          </w:tcPr>
          <w:p w14:paraId="4B5BCB83">
            <w:pPr>
              <w:bidi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通讯中心主要围绕通讯录管理、联络群组、消息中心等内容进行建设，</w:t>
            </w:r>
            <w:r>
              <w:rPr>
                <w:rFonts w:hint="eastAsia" w:asciiTheme="minorEastAsia" w:hAnsiTheme="minorEastAsia" w:eastAsiaTheme="minorEastAsia" w:cstheme="minorEastAsia"/>
                <w:sz w:val="24"/>
                <w:szCs w:val="24"/>
                <w:lang w:eastAsia="zh-CN"/>
              </w:rPr>
              <w:t>设置业务到时</w:t>
            </w:r>
            <w:r>
              <w:rPr>
                <w:rFonts w:hint="eastAsia" w:asciiTheme="minorEastAsia" w:hAnsiTheme="minorEastAsia" w:eastAsiaTheme="minorEastAsia" w:cstheme="minorEastAsia"/>
                <w:sz w:val="24"/>
                <w:szCs w:val="24"/>
              </w:rPr>
              <w:t>提醒</w:t>
            </w:r>
            <w:r>
              <w:rPr>
                <w:rFonts w:hint="eastAsia" w:asciiTheme="minorEastAsia" w:hAnsiTheme="minorEastAsia" w:eastAsiaTheme="minorEastAsia" w:cstheme="minorEastAsia"/>
                <w:sz w:val="24"/>
                <w:szCs w:val="24"/>
                <w:lang w:eastAsia="zh-CN"/>
              </w:rPr>
              <w:t>功能，为业务系统提供有力支撑</w:t>
            </w:r>
            <w:r>
              <w:rPr>
                <w:rFonts w:hint="eastAsia" w:asciiTheme="minorEastAsia" w:hAnsiTheme="minorEastAsia" w:eastAsiaTheme="minorEastAsia" w:cstheme="minorEastAsia"/>
                <w:sz w:val="24"/>
                <w:szCs w:val="24"/>
              </w:rPr>
              <w:t>。</w:t>
            </w:r>
          </w:p>
        </w:tc>
        <w:tc>
          <w:tcPr>
            <w:tcW w:w="997" w:type="dxa"/>
            <w:vMerge w:val="continue"/>
            <w:vAlign w:val="top"/>
          </w:tcPr>
          <w:p w14:paraId="55FE1F01">
            <w:pPr>
              <w:spacing w:line="360" w:lineRule="auto"/>
              <w:rPr>
                <w:rFonts w:hint="eastAsia" w:asciiTheme="minorEastAsia" w:hAnsiTheme="minorEastAsia" w:eastAsiaTheme="minorEastAsia" w:cstheme="minorEastAsia"/>
                <w:sz w:val="24"/>
                <w:szCs w:val="24"/>
              </w:rPr>
            </w:pPr>
          </w:p>
        </w:tc>
      </w:tr>
      <w:tr w14:paraId="1FAA5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6" w:hRule="atLeast"/>
        </w:trPr>
        <w:tc>
          <w:tcPr>
            <w:tcW w:w="1249" w:type="dxa"/>
            <w:vMerge w:val="continue"/>
            <w:vAlign w:val="top"/>
          </w:tcPr>
          <w:p w14:paraId="344936F5">
            <w:pPr>
              <w:spacing w:line="360" w:lineRule="auto"/>
              <w:rPr>
                <w:rFonts w:hint="eastAsia" w:asciiTheme="minorEastAsia" w:hAnsiTheme="minorEastAsia" w:eastAsiaTheme="minorEastAsia" w:cstheme="minorEastAsia"/>
                <w:b w:val="0"/>
                <w:bCs w:val="0"/>
                <w:sz w:val="24"/>
                <w:szCs w:val="24"/>
              </w:rPr>
            </w:pPr>
          </w:p>
        </w:tc>
        <w:tc>
          <w:tcPr>
            <w:tcW w:w="534" w:type="dxa"/>
            <w:vAlign w:val="center"/>
          </w:tcPr>
          <w:p w14:paraId="6C71CE8C">
            <w:pPr>
              <w:bidi w:val="0"/>
              <w:spacing w:line="360" w:lineRule="auto"/>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7</w:t>
            </w:r>
          </w:p>
        </w:tc>
        <w:tc>
          <w:tcPr>
            <w:tcW w:w="1360" w:type="dxa"/>
            <w:vAlign w:val="center"/>
          </w:tcPr>
          <w:p w14:paraId="0007812C">
            <w:pPr>
              <w:bidi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系统配置中心</w:t>
            </w:r>
          </w:p>
        </w:tc>
        <w:tc>
          <w:tcPr>
            <w:tcW w:w="5453" w:type="dxa"/>
            <w:vAlign w:val="center"/>
          </w:tcPr>
          <w:p w14:paraId="6EEF5DEF">
            <w:pPr>
              <w:bidi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系统配置中心主要围绕系统信息管理、密码管理、系统事项统计、系统文件柜和部门文件柜的应用和管理。</w:t>
            </w:r>
          </w:p>
        </w:tc>
        <w:tc>
          <w:tcPr>
            <w:tcW w:w="997" w:type="dxa"/>
            <w:vMerge w:val="continue"/>
            <w:vAlign w:val="top"/>
          </w:tcPr>
          <w:p w14:paraId="4456804E">
            <w:pPr>
              <w:spacing w:line="360" w:lineRule="auto"/>
              <w:rPr>
                <w:rFonts w:hint="eastAsia" w:asciiTheme="minorEastAsia" w:hAnsiTheme="minorEastAsia" w:eastAsiaTheme="minorEastAsia" w:cstheme="minorEastAsia"/>
                <w:sz w:val="24"/>
                <w:szCs w:val="24"/>
              </w:rPr>
            </w:pPr>
          </w:p>
        </w:tc>
      </w:tr>
    </w:tbl>
    <w:p w14:paraId="7E0BFDB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p>
    <w:p w14:paraId="33CA8A0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3.合同金额及付款方式</w:t>
      </w:r>
    </w:p>
    <w:p w14:paraId="093CCA9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3.1合同金额</w:t>
      </w:r>
    </w:p>
    <w:p w14:paraId="168DE05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本合同总金额为人民币</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。本合同金额已包含但不限于乙方为提供服务所产生的全部成本、预期利益、售后服务、税费和合同中规定乙方应承担的其他义务的费用等。</w:t>
      </w:r>
    </w:p>
    <w:p w14:paraId="20D623C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3.2付款方式</w:t>
      </w:r>
    </w:p>
    <w:p w14:paraId="5F6800B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3.2.1</w:t>
      </w:r>
      <w:r>
        <w:rPr>
          <w:rFonts w:hint="eastAsia" w:asciiTheme="minorEastAsia" w:hAnsiTheme="minorEastAsia" w:eastAsiaTheme="minorEastAsia" w:cstheme="minorEastAsia"/>
          <w:sz w:val="24"/>
          <w:szCs w:val="24"/>
        </w:rPr>
        <w:t>支付方式</w:t>
      </w:r>
    </w:p>
    <w:p w14:paraId="46FEF91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lang w:val="en-US" w:eastAsia="en-US"/>
        </w:rPr>
      </w:pPr>
      <w:r>
        <w:rPr>
          <w:rFonts w:hint="eastAsia" w:asciiTheme="minorEastAsia" w:hAnsiTheme="minorEastAsia" w:eastAsiaTheme="minorEastAsia" w:cstheme="minorEastAsia"/>
          <w:sz w:val="24"/>
          <w:szCs w:val="24"/>
          <w:lang w:val="en-US" w:eastAsia="en-US"/>
        </w:rPr>
        <w:t>分期付款</w:t>
      </w:r>
    </w:p>
    <w:p w14:paraId="20A501C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3.2.2</w:t>
      </w:r>
      <w:r>
        <w:rPr>
          <w:rFonts w:hint="eastAsia" w:asciiTheme="minorEastAsia" w:hAnsiTheme="minorEastAsia" w:eastAsiaTheme="minorEastAsia" w:cstheme="minorEastAsia"/>
          <w:sz w:val="24"/>
          <w:szCs w:val="24"/>
        </w:rPr>
        <w:t>支付约定</w:t>
      </w:r>
    </w:p>
    <w:p w14:paraId="7771B1E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en-US"/>
        </w:rPr>
        <w:t>自合同签订后，达到付款条件起</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lang w:val="en-US" w:eastAsia="en-US"/>
        </w:rPr>
        <w:t>20</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en-US" w:eastAsia="en-US"/>
        </w:rPr>
        <w:t>日内，支付合同总金额的80.00%。项目完成并验收合格之后，达到付款条件起</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lang w:val="en-US" w:eastAsia="en-US"/>
        </w:rPr>
        <w:t>20</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en-US" w:eastAsia="en-US"/>
        </w:rPr>
        <w:t>日内，支付合同总金额的20.00%。</w:t>
      </w:r>
    </w:p>
    <w:p w14:paraId="398370C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乙方应于甲方每次付款前向甲方开具等额发票。因乙方迟延开票，甲方对此不承担 延迟付款的违约责任。</w:t>
      </w:r>
    </w:p>
    <w:p w14:paraId="4AA119C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 合同签订地</w:t>
      </w:r>
    </w:p>
    <w:p w14:paraId="3078B5E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陕西省应急管理厅</w:t>
      </w:r>
    </w:p>
    <w:p w14:paraId="6EFEEAE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5.合同生效</w:t>
      </w:r>
    </w:p>
    <w:p w14:paraId="3011264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本合同一式肆份，甲、乙双方各执贰份，自各方代表签字盖章之日起生效。</w:t>
      </w:r>
    </w:p>
    <w:tbl>
      <w:tblPr>
        <w:tblStyle w:val="11"/>
        <w:tblpPr w:leftFromText="180" w:rightFromText="180" w:vertAnchor="text" w:horzAnchor="page" w:tblpX="1555" w:tblpY="211"/>
        <w:tblOverlap w:val="never"/>
        <w:tblW w:w="931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700"/>
        <w:gridCol w:w="4615"/>
      </w:tblGrid>
      <w:tr w14:paraId="4D0926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4700" w:type="dxa"/>
            <w:vAlign w:val="top"/>
          </w:tcPr>
          <w:p w14:paraId="393FC8C9">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 方：</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盖章</w:t>
            </w:r>
            <w:r>
              <w:rPr>
                <w:rFonts w:hint="eastAsia" w:asciiTheme="minorEastAsia" w:hAnsiTheme="minorEastAsia" w:eastAsiaTheme="minorEastAsia" w:cstheme="minorEastAsia"/>
                <w:sz w:val="24"/>
                <w:szCs w:val="24"/>
                <w:lang w:eastAsia="zh-CN"/>
              </w:rPr>
              <w:t>）</w:t>
            </w:r>
          </w:p>
          <w:p w14:paraId="13EF31B3">
            <w:pPr>
              <w:bidi w:val="0"/>
              <w:rPr>
                <w:rFonts w:hint="eastAsia" w:asciiTheme="minorEastAsia" w:hAnsiTheme="minorEastAsia" w:eastAsiaTheme="minorEastAsia" w:cstheme="minorEastAsia"/>
                <w:sz w:val="24"/>
                <w:szCs w:val="24"/>
              </w:rPr>
            </w:pPr>
          </w:p>
          <w:p w14:paraId="6796CCFE">
            <w:pPr>
              <w:pStyle w:val="2"/>
              <w:ind w:left="0" w:leftChars="0" w:firstLine="0" w:firstLineChars="0"/>
              <w:rPr>
                <w:rFonts w:hint="eastAsia" w:asciiTheme="minorEastAsia" w:hAnsiTheme="minorEastAsia" w:eastAsiaTheme="minorEastAsia" w:cstheme="minorEastAsia"/>
                <w:sz w:val="24"/>
                <w:szCs w:val="24"/>
              </w:rPr>
            </w:pPr>
          </w:p>
          <w:p w14:paraId="4A3695C7">
            <w:pPr>
              <w:pStyle w:val="2"/>
              <w:rPr>
                <w:rFonts w:hint="eastAsia" w:asciiTheme="minorEastAsia" w:hAnsiTheme="minorEastAsia" w:eastAsiaTheme="minorEastAsia" w:cstheme="minorEastAsia"/>
                <w:sz w:val="24"/>
                <w:szCs w:val="24"/>
              </w:rPr>
            </w:pPr>
          </w:p>
        </w:tc>
        <w:tc>
          <w:tcPr>
            <w:tcW w:w="4615" w:type="dxa"/>
            <w:vAlign w:val="top"/>
          </w:tcPr>
          <w:p w14:paraId="0A51036A">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 方：</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盖章</w:t>
            </w:r>
            <w:r>
              <w:rPr>
                <w:rFonts w:hint="eastAsia" w:asciiTheme="minorEastAsia" w:hAnsiTheme="minorEastAsia" w:eastAsiaTheme="minorEastAsia" w:cstheme="minorEastAsia"/>
                <w:sz w:val="24"/>
                <w:szCs w:val="24"/>
                <w:lang w:eastAsia="zh-CN"/>
              </w:rPr>
              <w:t>）</w:t>
            </w:r>
          </w:p>
          <w:p w14:paraId="3AE8CB6C">
            <w:pPr>
              <w:bidi w:val="0"/>
              <w:rPr>
                <w:rFonts w:hint="eastAsia" w:asciiTheme="minorEastAsia" w:hAnsiTheme="minorEastAsia" w:eastAsiaTheme="minorEastAsia" w:cstheme="minorEastAsia"/>
                <w:sz w:val="24"/>
                <w:szCs w:val="24"/>
              </w:rPr>
            </w:pPr>
          </w:p>
        </w:tc>
      </w:tr>
      <w:tr w14:paraId="7D93A0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4700" w:type="dxa"/>
            <w:vAlign w:val="top"/>
          </w:tcPr>
          <w:p w14:paraId="19705AC8">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地址：</w:t>
            </w:r>
          </w:p>
          <w:p w14:paraId="2FE5F939">
            <w:pPr>
              <w:pStyle w:val="2"/>
              <w:rPr>
                <w:rFonts w:hint="eastAsia" w:asciiTheme="minorEastAsia" w:hAnsiTheme="minorEastAsia" w:eastAsiaTheme="minorEastAsia" w:cstheme="minorEastAsia"/>
                <w:sz w:val="24"/>
                <w:szCs w:val="24"/>
              </w:rPr>
            </w:pPr>
          </w:p>
          <w:p w14:paraId="283AB5D8">
            <w:pPr>
              <w:pStyle w:val="2"/>
              <w:rPr>
                <w:rFonts w:hint="eastAsia" w:asciiTheme="minorEastAsia" w:hAnsiTheme="minorEastAsia" w:eastAsiaTheme="minorEastAsia" w:cstheme="minorEastAsia"/>
                <w:sz w:val="24"/>
                <w:szCs w:val="24"/>
              </w:rPr>
            </w:pPr>
          </w:p>
        </w:tc>
        <w:tc>
          <w:tcPr>
            <w:tcW w:w="4615" w:type="dxa"/>
            <w:vAlign w:val="top"/>
          </w:tcPr>
          <w:p w14:paraId="3458E90E">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地址：</w:t>
            </w:r>
          </w:p>
        </w:tc>
      </w:tr>
      <w:tr w14:paraId="5A8A17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4700" w:type="dxa"/>
            <w:vAlign w:val="top"/>
          </w:tcPr>
          <w:p w14:paraId="0493FE65">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邮编：  </w:t>
            </w:r>
          </w:p>
        </w:tc>
        <w:tc>
          <w:tcPr>
            <w:tcW w:w="4615" w:type="dxa"/>
            <w:vAlign w:val="top"/>
          </w:tcPr>
          <w:p w14:paraId="29566C5B">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邮编：</w:t>
            </w:r>
          </w:p>
        </w:tc>
      </w:tr>
      <w:tr w14:paraId="2D39BA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8" w:hRule="atLeast"/>
        </w:trPr>
        <w:tc>
          <w:tcPr>
            <w:tcW w:w="4700" w:type="dxa"/>
            <w:tcBorders>
              <w:bottom w:val="nil"/>
            </w:tcBorders>
            <w:shd w:val="clear" w:color="auto" w:fill="auto"/>
            <w:vAlign w:val="top"/>
          </w:tcPr>
          <w:p w14:paraId="77FC6106">
            <w:pPr>
              <w:bidi w:val="0"/>
              <w:rPr>
                <w:rFonts w:hint="eastAsia" w:asciiTheme="minorEastAsia" w:hAnsiTheme="minorEastAsia" w:eastAsiaTheme="minorEastAsia" w:cstheme="minorEastAsia"/>
                <w:sz w:val="24"/>
                <w:szCs w:val="24"/>
                <w:lang w:val="en-US" w:eastAsia="en-US"/>
              </w:rPr>
            </w:pPr>
            <w:r>
              <w:rPr>
                <w:rFonts w:hint="eastAsia" w:asciiTheme="minorEastAsia" w:hAnsiTheme="minorEastAsia" w:eastAsiaTheme="minorEastAsia" w:cstheme="minorEastAsia"/>
                <w:sz w:val="24"/>
                <w:szCs w:val="24"/>
              </w:rPr>
              <w:t>法定代表人：</w:t>
            </w:r>
          </w:p>
          <w:p w14:paraId="6AA1C34B">
            <w:pPr>
              <w:bidi w:val="0"/>
              <w:rPr>
                <w:rFonts w:hint="eastAsia" w:asciiTheme="minorEastAsia" w:hAnsiTheme="minorEastAsia" w:eastAsiaTheme="minorEastAsia" w:cstheme="minorEastAsia"/>
                <w:sz w:val="24"/>
                <w:szCs w:val="24"/>
              </w:rPr>
            </w:pPr>
          </w:p>
          <w:p w14:paraId="3C578BC7">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被授权代表：    (签字)</w:t>
            </w:r>
          </w:p>
        </w:tc>
        <w:tc>
          <w:tcPr>
            <w:tcW w:w="4615" w:type="dxa"/>
            <w:vAlign w:val="top"/>
          </w:tcPr>
          <w:p w14:paraId="6F992F14">
            <w:pPr>
              <w:bidi w:val="0"/>
              <w:rPr>
                <w:rFonts w:hint="eastAsia" w:asciiTheme="minorEastAsia" w:hAnsiTheme="minorEastAsia" w:eastAsiaTheme="minorEastAsia" w:cstheme="minorEastAsia"/>
                <w:sz w:val="24"/>
                <w:szCs w:val="24"/>
                <w:lang w:val="en-US" w:eastAsia="en-US"/>
              </w:rPr>
            </w:pPr>
            <w:r>
              <w:rPr>
                <w:rFonts w:hint="eastAsia" w:asciiTheme="minorEastAsia" w:hAnsiTheme="minorEastAsia" w:eastAsiaTheme="minorEastAsia" w:cstheme="minorEastAsia"/>
                <w:sz w:val="24"/>
                <w:szCs w:val="24"/>
              </w:rPr>
              <w:t>法定代表人：</w:t>
            </w:r>
          </w:p>
          <w:p w14:paraId="5077808F">
            <w:pPr>
              <w:bidi w:val="0"/>
              <w:rPr>
                <w:rFonts w:hint="eastAsia" w:asciiTheme="minorEastAsia" w:hAnsiTheme="minorEastAsia" w:eastAsiaTheme="minorEastAsia" w:cstheme="minorEastAsia"/>
                <w:sz w:val="24"/>
                <w:szCs w:val="24"/>
              </w:rPr>
            </w:pPr>
          </w:p>
          <w:p w14:paraId="19D568ED">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被授权代表：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(签字)</w:t>
            </w:r>
          </w:p>
        </w:tc>
      </w:tr>
      <w:tr w14:paraId="0E54C4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9" w:hRule="atLeast"/>
        </w:trPr>
        <w:tc>
          <w:tcPr>
            <w:tcW w:w="4700" w:type="dxa"/>
            <w:vAlign w:val="top"/>
          </w:tcPr>
          <w:p w14:paraId="6A80399B">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w:t>
            </w:r>
          </w:p>
        </w:tc>
        <w:tc>
          <w:tcPr>
            <w:tcW w:w="4615" w:type="dxa"/>
            <w:vAlign w:val="top"/>
          </w:tcPr>
          <w:p w14:paraId="34FDE593">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w:t>
            </w:r>
          </w:p>
        </w:tc>
      </w:tr>
      <w:tr w14:paraId="68BA8D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trPr>
        <w:tc>
          <w:tcPr>
            <w:tcW w:w="4700" w:type="dxa"/>
            <w:vAlign w:val="top"/>
          </w:tcPr>
          <w:p w14:paraId="141B0B9E">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日期： </w:t>
            </w:r>
          </w:p>
        </w:tc>
        <w:tc>
          <w:tcPr>
            <w:tcW w:w="4615" w:type="dxa"/>
            <w:vAlign w:val="top"/>
          </w:tcPr>
          <w:p w14:paraId="30170C1E">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日期：</w:t>
            </w:r>
          </w:p>
        </w:tc>
      </w:tr>
    </w:tbl>
    <w:p w14:paraId="7502FF3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br w:type="page"/>
      </w:r>
    </w:p>
    <w:p w14:paraId="18EFF35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 、合同条款</w:t>
      </w:r>
    </w:p>
    <w:tbl>
      <w:tblPr>
        <w:tblStyle w:val="11"/>
        <w:tblW w:w="919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74"/>
        <w:gridCol w:w="8324"/>
      </w:tblGrid>
      <w:tr w14:paraId="2F30CC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874" w:type="dxa"/>
            <w:vAlign w:val="center"/>
          </w:tcPr>
          <w:p w14:paraId="524A6AD3">
            <w:pPr>
              <w:bidi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8324" w:type="dxa"/>
            <w:vAlign w:val="center"/>
          </w:tcPr>
          <w:p w14:paraId="06B2E2C2">
            <w:pPr>
              <w:bidi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内容</w:t>
            </w:r>
          </w:p>
        </w:tc>
      </w:tr>
      <w:tr w14:paraId="26482C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874" w:type="dxa"/>
            <w:vAlign w:val="center"/>
          </w:tcPr>
          <w:p w14:paraId="1F0871B5">
            <w:pPr>
              <w:bidi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8324" w:type="dxa"/>
            <w:vAlign w:val="top"/>
          </w:tcPr>
          <w:p w14:paraId="7A866DE3">
            <w:pPr>
              <w:bidi w:val="0"/>
              <w:spacing w:line="360" w:lineRule="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合同名称：</w:t>
            </w:r>
            <w:r>
              <w:rPr>
                <w:rFonts w:hint="eastAsia" w:asciiTheme="minorEastAsia" w:hAnsiTheme="minorEastAsia" w:eastAsiaTheme="minorEastAsia" w:cstheme="minorEastAsia"/>
                <w:sz w:val="24"/>
                <w:szCs w:val="24"/>
                <w:lang w:eastAsia="zh-CN"/>
              </w:rPr>
              <w:t>陕西省应急管理厅政策法规业务系统项目</w:t>
            </w:r>
          </w:p>
          <w:p w14:paraId="710D4220">
            <w:pPr>
              <w:bidi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合同编号：</w:t>
            </w:r>
          </w:p>
        </w:tc>
      </w:tr>
      <w:tr w14:paraId="323BE9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874" w:type="dxa"/>
            <w:vMerge w:val="restart"/>
            <w:tcBorders>
              <w:bottom w:val="nil"/>
            </w:tcBorders>
            <w:vAlign w:val="center"/>
          </w:tcPr>
          <w:p w14:paraId="4561D6B5">
            <w:pPr>
              <w:bidi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8324" w:type="dxa"/>
            <w:vAlign w:val="top"/>
          </w:tcPr>
          <w:p w14:paraId="1A111258">
            <w:pPr>
              <w:bidi w:val="0"/>
              <w:spacing w:line="360" w:lineRule="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甲方名称：</w:t>
            </w:r>
            <w:r>
              <w:rPr>
                <w:rFonts w:hint="eastAsia" w:asciiTheme="minorEastAsia" w:hAnsiTheme="minorEastAsia" w:eastAsiaTheme="minorEastAsia" w:cstheme="minorEastAsia"/>
                <w:sz w:val="24"/>
                <w:szCs w:val="24"/>
                <w:lang w:eastAsia="zh-CN"/>
              </w:rPr>
              <w:t>陕西省应急管理厅</w:t>
            </w:r>
          </w:p>
        </w:tc>
      </w:tr>
      <w:tr w14:paraId="2CE9D7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3" w:hRule="atLeast"/>
        </w:trPr>
        <w:tc>
          <w:tcPr>
            <w:tcW w:w="874" w:type="dxa"/>
            <w:vMerge w:val="continue"/>
            <w:tcBorders>
              <w:top w:val="nil"/>
              <w:bottom w:val="nil"/>
            </w:tcBorders>
            <w:vAlign w:val="center"/>
          </w:tcPr>
          <w:p w14:paraId="6A2A580C">
            <w:pPr>
              <w:bidi w:val="0"/>
              <w:spacing w:line="360" w:lineRule="auto"/>
              <w:jc w:val="center"/>
              <w:rPr>
                <w:rFonts w:hint="eastAsia" w:asciiTheme="minorEastAsia" w:hAnsiTheme="minorEastAsia" w:eastAsiaTheme="minorEastAsia" w:cstheme="minorEastAsia"/>
                <w:sz w:val="24"/>
                <w:szCs w:val="24"/>
              </w:rPr>
            </w:pPr>
          </w:p>
        </w:tc>
        <w:tc>
          <w:tcPr>
            <w:tcW w:w="8324" w:type="dxa"/>
            <w:vAlign w:val="top"/>
          </w:tcPr>
          <w:p w14:paraId="380D674B">
            <w:pPr>
              <w:bidi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甲方地址：</w:t>
            </w:r>
            <w:r>
              <w:rPr>
                <w:rFonts w:hint="eastAsia" w:asciiTheme="minorEastAsia" w:hAnsiTheme="minorEastAsia" w:eastAsiaTheme="minorEastAsia" w:cstheme="minorEastAsia"/>
                <w:sz w:val="24"/>
                <w:szCs w:val="24"/>
                <w:lang w:val="en-US" w:eastAsia="zh-CN"/>
              </w:rPr>
              <w:t xml:space="preserve">西安市未央区未央路208号 </w:t>
            </w:r>
          </w:p>
        </w:tc>
      </w:tr>
      <w:tr w14:paraId="4C7DA3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874" w:type="dxa"/>
            <w:vMerge w:val="continue"/>
            <w:tcBorders>
              <w:top w:val="nil"/>
            </w:tcBorders>
            <w:vAlign w:val="center"/>
          </w:tcPr>
          <w:p w14:paraId="0BB5C548">
            <w:pPr>
              <w:bidi w:val="0"/>
              <w:spacing w:line="360" w:lineRule="auto"/>
              <w:jc w:val="center"/>
              <w:rPr>
                <w:rFonts w:hint="eastAsia" w:asciiTheme="minorEastAsia" w:hAnsiTheme="minorEastAsia" w:eastAsiaTheme="minorEastAsia" w:cstheme="minorEastAsia"/>
                <w:sz w:val="24"/>
                <w:szCs w:val="24"/>
              </w:rPr>
            </w:pPr>
          </w:p>
        </w:tc>
        <w:tc>
          <w:tcPr>
            <w:tcW w:w="8324" w:type="dxa"/>
            <w:vAlign w:val="top"/>
          </w:tcPr>
          <w:p w14:paraId="0C303212">
            <w:pPr>
              <w:bidi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甲方联系人：            电话：</w:t>
            </w:r>
          </w:p>
        </w:tc>
      </w:tr>
      <w:tr w14:paraId="22AD4F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trPr>
        <w:tc>
          <w:tcPr>
            <w:tcW w:w="874" w:type="dxa"/>
            <w:vMerge w:val="restart"/>
            <w:tcBorders>
              <w:bottom w:val="nil"/>
            </w:tcBorders>
            <w:vAlign w:val="center"/>
          </w:tcPr>
          <w:p w14:paraId="4509AA8B">
            <w:pPr>
              <w:bidi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8324" w:type="dxa"/>
            <w:vAlign w:val="top"/>
          </w:tcPr>
          <w:p w14:paraId="371EFDCE">
            <w:pPr>
              <w:bidi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乙方名称：</w:t>
            </w:r>
          </w:p>
        </w:tc>
      </w:tr>
      <w:tr w14:paraId="2E80B7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874" w:type="dxa"/>
            <w:vMerge w:val="continue"/>
            <w:tcBorders>
              <w:top w:val="nil"/>
              <w:bottom w:val="nil"/>
            </w:tcBorders>
            <w:vAlign w:val="center"/>
          </w:tcPr>
          <w:p w14:paraId="377744C3">
            <w:pPr>
              <w:bidi w:val="0"/>
              <w:spacing w:line="360" w:lineRule="auto"/>
              <w:jc w:val="center"/>
              <w:rPr>
                <w:rFonts w:hint="eastAsia" w:asciiTheme="minorEastAsia" w:hAnsiTheme="minorEastAsia" w:eastAsiaTheme="minorEastAsia" w:cstheme="minorEastAsia"/>
                <w:sz w:val="24"/>
                <w:szCs w:val="24"/>
              </w:rPr>
            </w:pPr>
          </w:p>
        </w:tc>
        <w:tc>
          <w:tcPr>
            <w:tcW w:w="8324" w:type="dxa"/>
            <w:vAlign w:val="top"/>
          </w:tcPr>
          <w:p w14:paraId="42F62EB7">
            <w:pPr>
              <w:bidi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乙方地址：</w:t>
            </w:r>
          </w:p>
        </w:tc>
      </w:tr>
      <w:tr w14:paraId="1653AF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874" w:type="dxa"/>
            <w:vMerge w:val="continue"/>
            <w:tcBorders>
              <w:top w:val="nil"/>
              <w:bottom w:val="nil"/>
            </w:tcBorders>
            <w:vAlign w:val="center"/>
          </w:tcPr>
          <w:p w14:paraId="1E312BCD">
            <w:pPr>
              <w:bidi w:val="0"/>
              <w:spacing w:line="360" w:lineRule="auto"/>
              <w:jc w:val="center"/>
              <w:rPr>
                <w:rFonts w:hint="eastAsia" w:asciiTheme="minorEastAsia" w:hAnsiTheme="minorEastAsia" w:eastAsiaTheme="minorEastAsia" w:cstheme="minorEastAsia"/>
                <w:sz w:val="24"/>
                <w:szCs w:val="24"/>
              </w:rPr>
            </w:pPr>
          </w:p>
        </w:tc>
        <w:tc>
          <w:tcPr>
            <w:tcW w:w="8324" w:type="dxa"/>
            <w:vAlign w:val="top"/>
          </w:tcPr>
          <w:p w14:paraId="7E4CC217">
            <w:pPr>
              <w:bidi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乙方联系人：       电话：</w:t>
            </w:r>
          </w:p>
        </w:tc>
      </w:tr>
      <w:tr w14:paraId="5EF6ED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874" w:type="dxa"/>
            <w:vMerge w:val="continue"/>
            <w:tcBorders>
              <w:top w:val="nil"/>
            </w:tcBorders>
            <w:vAlign w:val="center"/>
          </w:tcPr>
          <w:p w14:paraId="140DA121">
            <w:pPr>
              <w:bidi w:val="0"/>
              <w:spacing w:line="360" w:lineRule="auto"/>
              <w:jc w:val="center"/>
              <w:rPr>
                <w:rFonts w:hint="eastAsia" w:asciiTheme="minorEastAsia" w:hAnsiTheme="minorEastAsia" w:eastAsiaTheme="minorEastAsia" w:cstheme="minorEastAsia"/>
                <w:sz w:val="24"/>
                <w:szCs w:val="24"/>
              </w:rPr>
            </w:pPr>
          </w:p>
        </w:tc>
        <w:tc>
          <w:tcPr>
            <w:tcW w:w="8324" w:type="dxa"/>
            <w:vAlign w:val="top"/>
          </w:tcPr>
          <w:p w14:paraId="33652D1B">
            <w:pPr>
              <w:bidi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乙方开户银行名称：</w:t>
            </w:r>
          </w:p>
          <w:p w14:paraId="25DAC84A">
            <w:pPr>
              <w:bidi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账号：</w:t>
            </w:r>
          </w:p>
        </w:tc>
      </w:tr>
      <w:tr w14:paraId="084DB2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874" w:type="dxa"/>
            <w:vAlign w:val="center"/>
          </w:tcPr>
          <w:p w14:paraId="35DFCDDC">
            <w:pPr>
              <w:bidi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8324" w:type="dxa"/>
            <w:vAlign w:val="top"/>
          </w:tcPr>
          <w:p w14:paraId="4FD2BC87">
            <w:pPr>
              <w:bidi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合同金额：</w:t>
            </w:r>
          </w:p>
        </w:tc>
      </w:tr>
      <w:tr w14:paraId="7245CD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874" w:type="dxa"/>
            <w:vAlign w:val="center"/>
          </w:tcPr>
          <w:p w14:paraId="116C00C0">
            <w:pPr>
              <w:bidi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c>
          <w:tcPr>
            <w:tcW w:w="8324" w:type="dxa"/>
            <w:vAlign w:val="top"/>
          </w:tcPr>
          <w:p w14:paraId="35B2D055">
            <w:pPr>
              <w:bidi w:val="0"/>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服务时间：自合同签订之日起60日历天内完成本项目并通过专家验收。</w:t>
            </w:r>
          </w:p>
          <w:p w14:paraId="7E97EF69">
            <w:pPr>
              <w:pStyle w:val="2"/>
              <w:ind w:left="0" w:leftChars="0" w:firstLine="0"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服务地点：陕西省应急管理厅</w:t>
            </w:r>
          </w:p>
        </w:tc>
      </w:tr>
      <w:tr w14:paraId="5AE206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874" w:type="dxa"/>
            <w:vAlign w:val="center"/>
          </w:tcPr>
          <w:p w14:paraId="47DFC3E0">
            <w:pPr>
              <w:bidi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p>
        </w:tc>
        <w:tc>
          <w:tcPr>
            <w:tcW w:w="8324" w:type="dxa"/>
            <w:vAlign w:val="top"/>
          </w:tcPr>
          <w:p w14:paraId="2F56BE7F">
            <w:pPr>
              <w:bidi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(1)验收方式：</w:t>
            </w:r>
          </w:p>
          <w:p w14:paraId="37BBCCED">
            <w:pPr>
              <w:bidi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合同验收环节，甲方、乙方及</w:t>
            </w:r>
            <w:r>
              <w:rPr>
                <w:rFonts w:hint="eastAsia" w:asciiTheme="minorEastAsia" w:hAnsiTheme="minorEastAsia" w:eastAsiaTheme="minorEastAsia" w:cstheme="minorEastAsia"/>
                <w:sz w:val="24"/>
                <w:szCs w:val="24"/>
                <w:lang w:val="en-US" w:eastAsia="zh-CN"/>
              </w:rPr>
              <w:t>专家老师</w:t>
            </w:r>
            <w:r>
              <w:rPr>
                <w:rFonts w:hint="eastAsia" w:asciiTheme="minorEastAsia" w:hAnsiTheme="minorEastAsia" w:eastAsiaTheme="minorEastAsia" w:cstheme="minorEastAsia"/>
                <w:sz w:val="24"/>
                <w:szCs w:val="24"/>
              </w:rPr>
              <w:t>需共同参与验收并确认结果。</w:t>
            </w:r>
          </w:p>
          <w:p w14:paraId="7BB422B1">
            <w:pPr>
              <w:bidi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(2)验收依据：</w:t>
            </w:r>
          </w:p>
          <w:p w14:paraId="21EAAC92">
            <w:pPr>
              <w:bidi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①竞争性磋商文件、磋商响应文件、澄清表(函);</w:t>
            </w:r>
          </w:p>
          <w:p w14:paraId="4D530592">
            <w:pPr>
              <w:bidi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②本合同及附件文本；</w:t>
            </w:r>
          </w:p>
          <w:p w14:paraId="221CADAB">
            <w:pPr>
              <w:bidi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③国家相应的标准、规范。</w:t>
            </w:r>
          </w:p>
        </w:tc>
      </w:tr>
      <w:tr w14:paraId="4DAFF7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8" w:hRule="atLeast"/>
        </w:trPr>
        <w:tc>
          <w:tcPr>
            <w:tcW w:w="874" w:type="dxa"/>
            <w:vAlign w:val="center"/>
          </w:tcPr>
          <w:p w14:paraId="195E15F5">
            <w:pPr>
              <w:bidi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w:t>
            </w:r>
          </w:p>
        </w:tc>
        <w:tc>
          <w:tcPr>
            <w:tcW w:w="8324" w:type="dxa"/>
            <w:vAlign w:val="top"/>
          </w:tcPr>
          <w:p w14:paraId="6791DE29">
            <w:pPr>
              <w:bidi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付款方式：</w:t>
            </w:r>
          </w:p>
          <w:p w14:paraId="6384200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en-US"/>
              </w:rPr>
              <w:t>自合同签订后，达到付款条件起</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lang w:val="en-US" w:eastAsia="en-US"/>
              </w:rPr>
              <w:t>20</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en-US" w:eastAsia="en-US"/>
              </w:rPr>
              <w:t>日内，支付合同总金额的80.00%。项目完成并验收合格之后，达到付款条件起</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lang w:val="en-US" w:eastAsia="en-US"/>
              </w:rPr>
              <w:t>20</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lang w:val="en-US" w:eastAsia="en-US"/>
              </w:rPr>
              <w:t>日内，支付合同总金额的20.00%。</w:t>
            </w:r>
          </w:p>
          <w:p w14:paraId="3ED56D44">
            <w:pPr>
              <w:bidi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乙方应于甲方每次付款前向甲方开具等额发票。因乙方迟延开票，甲方对此不承担延迟付款的违约责任。</w:t>
            </w:r>
          </w:p>
        </w:tc>
      </w:tr>
      <w:tr w14:paraId="557B93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9" w:hRule="atLeast"/>
        </w:trPr>
        <w:tc>
          <w:tcPr>
            <w:tcW w:w="874" w:type="dxa"/>
            <w:vAlign w:val="center"/>
          </w:tcPr>
          <w:p w14:paraId="4565D499">
            <w:pPr>
              <w:bidi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w:t>
            </w:r>
          </w:p>
        </w:tc>
        <w:tc>
          <w:tcPr>
            <w:tcW w:w="8324" w:type="dxa"/>
            <w:vAlign w:val="top"/>
          </w:tcPr>
          <w:p w14:paraId="0805C736">
            <w:pPr>
              <w:bidi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违约金约定：按合同约定要求</w:t>
            </w:r>
          </w:p>
        </w:tc>
      </w:tr>
      <w:tr w14:paraId="34E83E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874" w:type="dxa"/>
            <w:vAlign w:val="center"/>
          </w:tcPr>
          <w:p w14:paraId="76B7DF73">
            <w:pPr>
              <w:bidi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w:t>
            </w:r>
          </w:p>
        </w:tc>
        <w:tc>
          <w:tcPr>
            <w:tcW w:w="8324" w:type="dxa"/>
            <w:vAlign w:val="top"/>
          </w:tcPr>
          <w:p w14:paraId="068E2051">
            <w:pPr>
              <w:bidi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误期赔偿费约定：如果乙方没有按照合同规定的时间提供服务，甲方有权从合  同款中扣除误期赔偿费而不影响合同项下的其他补救方法。赔偿费按每日加收  合同金额的0.5%(各单位可根据实际情况重新设定)计收，直至提供服务为止。 但误期赔偿费的最高限额不超过合同价的15%。</w:t>
            </w:r>
          </w:p>
        </w:tc>
      </w:tr>
      <w:tr w14:paraId="40909B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74" w:type="dxa"/>
            <w:vAlign w:val="center"/>
          </w:tcPr>
          <w:p w14:paraId="747803F9">
            <w:pPr>
              <w:bidi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w:t>
            </w:r>
          </w:p>
        </w:tc>
        <w:tc>
          <w:tcPr>
            <w:tcW w:w="8324" w:type="dxa"/>
            <w:vAlign w:val="top"/>
          </w:tcPr>
          <w:p w14:paraId="1075950B">
            <w:pPr>
              <w:bidi w:val="0"/>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合同履行期限：自合同生效之日起至合同全部权利义务履行完毕之日止。</w:t>
            </w:r>
          </w:p>
        </w:tc>
      </w:tr>
      <w:tr w14:paraId="19B348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874" w:type="dxa"/>
            <w:vAlign w:val="center"/>
          </w:tcPr>
          <w:p w14:paraId="52D986F3">
            <w:pPr>
              <w:bidi w:val="0"/>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1</w:t>
            </w:r>
          </w:p>
        </w:tc>
        <w:tc>
          <w:tcPr>
            <w:tcW w:w="8324" w:type="dxa"/>
            <w:vAlign w:val="top"/>
          </w:tcPr>
          <w:p w14:paraId="6CA8DF26">
            <w:pPr>
              <w:pStyle w:val="10"/>
              <w:spacing w:before="85" w:line="360" w:lineRule="auto"/>
              <w:ind w:left="9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合同纠纷的解决方式：</w:t>
            </w:r>
          </w:p>
          <w:p w14:paraId="094BDE12">
            <w:pPr>
              <w:pStyle w:val="10"/>
              <w:spacing w:before="134" w:line="360" w:lineRule="auto"/>
              <w:ind w:left="91" w:firstLine="1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首先通过双方协商解决，协商解决不成，则通过以下途径之一解决纠纷(</w:t>
            </w:r>
            <w:r>
              <w:rPr>
                <w:rFonts w:hint="eastAsia" w:asciiTheme="minorEastAsia" w:hAnsiTheme="minorEastAsia" w:eastAsiaTheme="minorEastAsia" w:cstheme="minorEastAsia"/>
                <w:spacing w:val="-1"/>
                <w:sz w:val="24"/>
                <w:szCs w:val="24"/>
              </w:rPr>
              <w:t>请在方</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pacing w:val="-7"/>
                <w:sz w:val="24"/>
                <w:szCs w:val="24"/>
              </w:rPr>
              <w:t>框内画“</w:t>
            </w:r>
            <w:r>
              <w:rPr>
                <w:rFonts w:hint="eastAsia" w:asciiTheme="minorEastAsia" w:hAnsiTheme="minorEastAsia" w:eastAsiaTheme="minorEastAsia" w:cstheme="minorEastAsia"/>
                <w:spacing w:val="-43"/>
                <w:sz w:val="24"/>
                <w:szCs w:val="24"/>
              </w:rPr>
              <w:t xml:space="preserve"> </w:t>
            </w:r>
            <w:r>
              <w:rPr>
                <w:rFonts w:hint="eastAsia" w:asciiTheme="minorEastAsia" w:hAnsiTheme="minorEastAsia" w:eastAsiaTheme="minorEastAsia" w:cstheme="minorEastAsia"/>
                <w:spacing w:val="-7"/>
                <w:sz w:val="24"/>
                <w:szCs w:val="24"/>
              </w:rPr>
              <w:t>√</w:t>
            </w:r>
            <w:r>
              <w:rPr>
                <w:rFonts w:hint="eastAsia" w:asciiTheme="minorEastAsia" w:hAnsiTheme="minorEastAsia" w:eastAsiaTheme="minorEastAsia" w:cstheme="minorEastAsia"/>
                <w:spacing w:val="-82"/>
                <w:sz w:val="24"/>
                <w:szCs w:val="24"/>
              </w:rPr>
              <w:t xml:space="preserve"> </w:t>
            </w:r>
            <w:r>
              <w:rPr>
                <w:rFonts w:hint="eastAsia" w:asciiTheme="minorEastAsia" w:hAnsiTheme="minorEastAsia" w:eastAsiaTheme="minorEastAsia" w:cstheme="minorEastAsia"/>
                <w:spacing w:val="-7"/>
                <w:sz w:val="24"/>
                <w:szCs w:val="24"/>
              </w:rPr>
              <w:t>”选择):</w:t>
            </w:r>
          </w:p>
          <w:p w14:paraId="75A1A8F2">
            <w:pPr>
              <w:pStyle w:val="10"/>
              <w:spacing w:line="360" w:lineRule="auto"/>
              <w:ind w:left="91" w:leftChars="0" w:right="1687" w:righ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□提请</w:t>
            </w:r>
            <w:r>
              <w:rPr>
                <w:rFonts w:hint="eastAsia" w:asciiTheme="minorEastAsia" w:hAnsiTheme="minorEastAsia" w:eastAsiaTheme="minorEastAsia" w:cstheme="minorEastAsia"/>
                <w:spacing w:val="20"/>
                <w:sz w:val="24"/>
                <w:szCs w:val="24"/>
                <w:u w:val="single" w:color="auto"/>
              </w:rPr>
              <w:t xml:space="preserve">      </w:t>
            </w:r>
            <w:r>
              <w:rPr>
                <w:rFonts w:hint="eastAsia" w:asciiTheme="minorEastAsia" w:hAnsiTheme="minorEastAsia" w:eastAsiaTheme="minorEastAsia" w:cstheme="minorEastAsia"/>
                <w:spacing w:val="1"/>
                <w:sz w:val="24"/>
                <w:szCs w:val="24"/>
              </w:rPr>
              <w:t>仲裁委员会按照仲裁程序在</w:t>
            </w:r>
            <w:r>
              <w:rPr>
                <w:rFonts w:hint="eastAsia" w:asciiTheme="minorEastAsia" w:hAnsiTheme="minorEastAsia" w:eastAsiaTheme="minorEastAsia" w:cstheme="minorEastAsia"/>
                <w:spacing w:val="21"/>
                <w:sz w:val="24"/>
                <w:szCs w:val="24"/>
                <w:u w:val="single" w:color="auto"/>
              </w:rPr>
              <w:t xml:space="preserve">     </w:t>
            </w:r>
            <w:r>
              <w:rPr>
                <w:rFonts w:hint="eastAsia" w:asciiTheme="minorEastAsia" w:hAnsiTheme="minorEastAsia" w:eastAsiaTheme="minorEastAsia" w:cstheme="minorEastAsia"/>
                <w:spacing w:val="1"/>
                <w:sz w:val="24"/>
                <w:szCs w:val="24"/>
              </w:rPr>
              <w:t>(仲裁地)仲裁</w:t>
            </w:r>
            <w:r>
              <w:rPr>
                <w:rFonts w:hint="eastAsia" w:asciiTheme="minorEastAsia" w:hAnsiTheme="minorEastAsia" w:eastAsiaTheme="minorEastAsia" w:cstheme="minorEastAsia"/>
                <w:spacing w:val="3"/>
                <w:sz w:val="24"/>
                <w:szCs w:val="24"/>
              </w:rPr>
              <w:t xml:space="preserve"> </w:t>
            </w:r>
            <w:r>
              <w:rPr>
                <w:rFonts w:hint="eastAsia" w:asciiTheme="minorEastAsia" w:hAnsiTheme="minorEastAsia" w:eastAsiaTheme="minorEastAsia" w:cstheme="minorEastAsia"/>
                <w:sz w:val="24"/>
                <w:szCs w:val="24"/>
              </w:rPr>
              <w:t>☑向甲方所在地人民法院提起诉讼</w:t>
            </w:r>
          </w:p>
        </w:tc>
      </w:tr>
    </w:tbl>
    <w:p w14:paraId="2CAB4B39">
      <w:pPr>
        <w:spacing w:line="141" w:lineRule="auto"/>
        <w:rPr>
          <w:rFonts w:hint="eastAsia" w:asciiTheme="minorEastAsia" w:hAnsiTheme="minorEastAsia" w:eastAsiaTheme="minorEastAsia" w:cstheme="minorEastAsia"/>
          <w:sz w:val="24"/>
          <w:szCs w:val="24"/>
        </w:rPr>
      </w:pPr>
    </w:p>
    <w:p w14:paraId="15E36A9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p>
    <w:p w14:paraId="66192DA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1.定义</w:t>
      </w:r>
    </w:p>
    <w:p w14:paraId="0A63B76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本合同下列术语应解释为：</w:t>
      </w:r>
    </w:p>
    <w:p w14:paraId="440B01F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1.1“甲方”是指采购人。</w:t>
      </w:r>
    </w:p>
    <w:p w14:paraId="2BA3DFF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1.2“乙方”是指中标人。</w:t>
      </w:r>
    </w:p>
    <w:p w14:paraId="2E68359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1.3“合同”系指甲乙双方签署的、合同中载明的甲乙双方所达成的协议，包括所有的附件、附录和上述文件所提到的构成合同的所有文件。</w:t>
      </w:r>
    </w:p>
    <w:p w14:paraId="5AEC53D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1.4“服务”是指乙方按照招标、</w:t>
      </w:r>
      <w:r>
        <w:rPr>
          <w:rFonts w:hint="eastAsia" w:asciiTheme="minorEastAsia" w:hAnsiTheme="minorEastAsia" w:eastAsiaTheme="minorEastAsia" w:cstheme="minorEastAsia"/>
          <w:sz w:val="24"/>
          <w:szCs w:val="24"/>
          <w:lang w:eastAsia="zh-CN"/>
        </w:rPr>
        <w:t>响应文件</w:t>
      </w:r>
      <w:r>
        <w:rPr>
          <w:rFonts w:hint="eastAsia" w:asciiTheme="minorEastAsia" w:hAnsiTheme="minorEastAsia" w:eastAsiaTheme="minorEastAsia" w:cstheme="minorEastAsia"/>
          <w:sz w:val="24"/>
          <w:szCs w:val="24"/>
        </w:rPr>
        <w:t>要求，向甲方提供的技术支持服务。</w:t>
      </w:r>
    </w:p>
    <w:p w14:paraId="2EED8F5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1.5“项目现场”是指甲方指定的最终服务地点。</w:t>
      </w:r>
    </w:p>
    <w:p w14:paraId="33809FD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1.6“天”除非特别指出，“天”均为自然天。</w:t>
      </w:r>
    </w:p>
    <w:p w14:paraId="685DE9E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2.服务标准</w:t>
      </w:r>
    </w:p>
    <w:p w14:paraId="5AB8965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2.1乙方为甲方交付的服务应符合</w:t>
      </w:r>
      <w:r>
        <w:rPr>
          <w:rFonts w:hint="eastAsia" w:asciiTheme="minorEastAsia" w:hAnsiTheme="minorEastAsia" w:eastAsiaTheme="minorEastAsia" w:cstheme="minorEastAsia"/>
          <w:sz w:val="24"/>
          <w:szCs w:val="24"/>
          <w:lang w:eastAsia="zh-CN"/>
        </w:rPr>
        <w:t>竞争性磋商文件</w:t>
      </w:r>
      <w:r>
        <w:rPr>
          <w:rFonts w:hint="eastAsia" w:asciiTheme="minorEastAsia" w:hAnsiTheme="minorEastAsia" w:eastAsiaTheme="minorEastAsia" w:cstheme="minorEastAsia"/>
          <w:sz w:val="24"/>
          <w:szCs w:val="24"/>
        </w:rPr>
        <w:t>所述的内容，如果没有提及适用标准，则应符合相应的国家标准。这些标准必须是有关机构发布的最新版本的标准。</w:t>
      </w:r>
    </w:p>
    <w:p w14:paraId="336F321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2.2除非技术要求中另有规定，计量单位均采用中华人民共和国法定计量单位。</w:t>
      </w:r>
    </w:p>
    <w:p w14:paraId="27CBB12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3.服务</w:t>
      </w:r>
    </w:p>
    <w:p w14:paraId="3F72F00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3.1乙方应按照合同的规定，提供下列服务甲方提供符合要求的服务。</w:t>
      </w:r>
    </w:p>
    <w:p w14:paraId="664452F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4.知识产权</w:t>
      </w:r>
    </w:p>
    <w:p w14:paraId="16CAF14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4.1乙方应保证所提供的服务免受第三方提出侵犯其知识产权(专利权、商标权、版权等)的起诉。因侵害他人知识产权而产生的法律责任，全部由投标人承担。</w:t>
      </w:r>
    </w:p>
    <w:p w14:paraId="2E101D9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4.2甲方委托乙方开发的产品，甲方享有知识产权，未经甲方许可不得转让任何第三人。</w:t>
      </w:r>
    </w:p>
    <w:p w14:paraId="234D86E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5.保密条款</w:t>
      </w:r>
    </w:p>
    <w:p w14:paraId="05C4831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5.1甲乙双方应对在本合同签订或履行过程中所接触的对方信息，包括但不限于知识产权、技术资料、技术诀窍、内部管理及其他相关信息，负有保密义务。</w:t>
      </w:r>
    </w:p>
    <w:p w14:paraId="140C52E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5.2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391AB8F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(1)应以审慎态度避免泄露、公开或传播甲方的信息；</w:t>
      </w:r>
    </w:p>
    <w:p w14:paraId="451E0D4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(2)未经甲方书面许可，不得对有关信息进行修改、补充、复制：</w:t>
      </w:r>
    </w:p>
    <w:p w14:paraId="1905855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(3)未经甲方书面许可，不得将信息以任何方式(如E—mail)携带出甲方场所；</w:t>
      </w:r>
    </w:p>
    <w:p w14:paraId="67EC34D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(4)未经甲方书面许可，不得将信息透露给任何其他人；</w:t>
      </w:r>
    </w:p>
    <w:p w14:paraId="10E47DD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(5)甲方以书面形式提出的其他保密措施。</w:t>
      </w:r>
    </w:p>
    <w:p w14:paraId="33C9B10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5.3保密期限不受合同有效期的限制，在合同有效期结束后，信息接受方仍应承担保密义务，直至该等信息成为公开信息。</w:t>
      </w:r>
    </w:p>
    <w:p w14:paraId="3D3DD1E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5.4甲乙双方如出现泄密行为，泄密方应承担相关的法律责任，包括但是不限于对由此给对方造成的经济损失进行赔偿。</w:t>
      </w:r>
    </w:p>
    <w:p w14:paraId="5C8A823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6.服务质量保证</w:t>
      </w:r>
    </w:p>
    <w:p w14:paraId="4829301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6.1乙方应保证所提供的服务，符合合同规定的技术要求。如不符时，乙方应负全责并尽快处理解决，由此造成的损失和相关费用由乙方负责，甲方保留终止合同及索赔的权利。</w:t>
      </w:r>
    </w:p>
    <w:p w14:paraId="1E6DAF3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6.2乙方应保证通过执行合同中全部方案后，可以取得本合同规定的结果，达到本合同规定的预期目标。对任何情况下出现问题的，应尽快提出解决方案。</w:t>
      </w:r>
    </w:p>
    <w:p w14:paraId="39F461B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6.3如果乙方提供的服务和解决方案不符合甲方要求，或在规定的时间内没有弥补缺陷，甲方有权采取一切必要的补救措施，由此产生的费用全部由乙方负责。</w:t>
      </w:r>
    </w:p>
    <w:p w14:paraId="6CDD1D9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7.服务时间、地点与验收</w:t>
      </w:r>
    </w:p>
    <w:p w14:paraId="4082FFF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7.1服务地点：合同条款前附表指定地点。</w:t>
      </w:r>
    </w:p>
    <w:p w14:paraId="39408D4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7.2服务时间：合同条款前附表指定时间。</w:t>
      </w:r>
    </w:p>
    <w:p w14:paraId="74B2384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7.3合同验收环节，甲方、乙方需共同参与验收并确认结果。</w:t>
      </w:r>
    </w:p>
    <w:p w14:paraId="1C3D248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8.违约责任</w:t>
      </w:r>
    </w:p>
    <w:p w14:paraId="09A3C0E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8.1服务缺陷的补救措施和索赔</w:t>
      </w:r>
    </w:p>
    <w:p w14:paraId="7F271FD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(1)如果乙方提供的服务不符合本合同约定以及</w:t>
      </w:r>
      <w:r>
        <w:rPr>
          <w:rFonts w:hint="eastAsia" w:asciiTheme="minorEastAsia" w:hAnsiTheme="minorEastAsia" w:eastAsiaTheme="minorEastAsia" w:cstheme="minorEastAsia"/>
          <w:sz w:val="24"/>
          <w:szCs w:val="24"/>
          <w:lang w:eastAsia="zh-CN"/>
        </w:rPr>
        <w:t>竞争性磋商文件</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响应文件</w:t>
      </w:r>
      <w:r>
        <w:rPr>
          <w:rFonts w:hint="eastAsia" w:asciiTheme="minorEastAsia" w:hAnsiTheme="minorEastAsia" w:eastAsiaTheme="minorEastAsia" w:cstheme="minorEastAsia"/>
          <w:sz w:val="24"/>
          <w:szCs w:val="24"/>
        </w:rPr>
        <w:t>关于服务的要求和承诺，乙方应按照甲方同意的下列一种或几种方式结合起来解决索赔事宜：</w:t>
      </w:r>
    </w:p>
    <w:p w14:paraId="57FE324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①乙方同意将项目服务款退还给甲方，由此发生的一切费用和损失由乙方承担。如甲方以适当的条件和方法购买与未履约标的相类似的服务，乙方应负担新购买类似服务所超出的费用。</w:t>
      </w:r>
    </w:p>
    <w:p w14:paraId="7D2A153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②根据服务的质量状况以及甲方所遭受的损失，经过甲乙双方商定降低服务的价格。</w:t>
      </w:r>
    </w:p>
    <w:p w14:paraId="055DAE3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7A8C1B5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8.2迟延履约的违约责任</w:t>
      </w:r>
    </w:p>
    <w:p w14:paraId="362AA65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(1)乙方应按照本合同规定的时间、地点提供服务。</w:t>
      </w:r>
    </w:p>
    <w:p w14:paraId="59952B5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082BD7E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计收，直至交货或提供服务为止。但误期赔偿费的最高限额不超过合同价的15%。</w:t>
      </w:r>
    </w:p>
    <w:p w14:paraId="62F37CA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5141A4C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8.3未履行合同义务的违约责任</w:t>
      </w:r>
    </w:p>
    <w:p w14:paraId="1C23CCE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(1)守约方有权终止全部或部分合同。</w:t>
      </w:r>
    </w:p>
    <w:p w14:paraId="1A5D9E7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(2)由违约一方支付违约金，违约金标准见合同条款前附表。</w:t>
      </w:r>
    </w:p>
    <w:p w14:paraId="0E7F648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(3)违约金不足以弥补守约方实际损失、可预见或者应当预见的损失，由违约方全额予以赔偿。</w:t>
      </w:r>
    </w:p>
    <w:p w14:paraId="126588D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9.不可抗力</w:t>
      </w:r>
    </w:p>
    <w:p w14:paraId="204126F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9.1如果合同双方因不可抗力而导致合同实施延误或合同无法实施，不应该承担误期赔偿或不能履行合同义务的责任。</w:t>
      </w:r>
    </w:p>
    <w:p w14:paraId="12DFE43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9.2本条所述的“不可抗力”系指那些双方不可预见、不可避免、不可克服的客观情况，但不包括双方的违约或疏忽。这些事件包括但不限于：战争、严重火灾、洪水、台风、地震等。</w:t>
      </w:r>
    </w:p>
    <w:p w14:paraId="2A24A27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9.3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236D446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10.合同纠纷的解决方式</w:t>
      </w:r>
    </w:p>
    <w:p w14:paraId="53F6EF4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10.1合同各方应通过友好协商，解决在执行合同过程中所发生的或与合同有关的一切争端。如协商30日内不能解决，可以按合同规定的方式提起仲裁或诉讼。</w:t>
      </w:r>
    </w:p>
    <w:p w14:paraId="0EA9AB5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10.2仲裁裁决应为最终裁决，对双方均具有约束力。</w:t>
      </w:r>
    </w:p>
    <w:p w14:paraId="35954B9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10.3仲裁费除仲裁机关另有裁决外应由败诉方负担。</w:t>
      </w:r>
    </w:p>
    <w:p w14:paraId="3D86E30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10.4诉讼应由甲方住所地人民法院管辖。财产保全担保保险费、财产保全申请费、律师代理费、差旅费、评估费、鉴定费及诉讼费等与仲裁或诉讼活动相关费用应由败诉方负担。</w:t>
      </w:r>
    </w:p>
    <w:p w14:paraId="26551DB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10.5如仲裁或诉讼事项不影响合同其他部分的履行，则在仲裁或诉讼期间，除正在进行仲裁或诉讼的部分外，合同的其他部分应继续执行。</w:t>
      </w:r>
    </w:p>
    <w:p w14:paraId="71C359D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11.合同修改或变更</w:t>
      </w:r>
    </w:p>
    <w:p w14:paraId="5EFA139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11.1如无重大变故，甲方双方不得擅自变更合同。</w:t>
      </w:r>
    </w:p>
    <w:p w14:paraId="7127438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11.2如确需变更合同，甲乙双方应签署书面变更协议。变更协议为本合同不可分割的一部分。</w:t>
      </w:r>
    </w:p>
    <w:p w14:paraId="3659B97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11.3在不改变合同其他条款的前提下，甲方有权在合同价款10%的范围内追加与合同标的相同的货物或服务，并就此与乙方签订补充合同，乙方不得拒绝。</w:t>
      </w:r>
    </w:p>
    <w:p w14:paraId="3167021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12.合同中止</w:t>
      </w:r>
    </w:p>
    <w:p w14:paraId="45725A4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12.1合同在履行过程中，因采购计划调整，甲方可以要求中止履行，待计划确定后继续履行；合同履行过程中因投标人就采购过程或结果提起投诉的，甲方认为有必要或财政部责令中止的，应当中止合同的履行。</w:t>
      </w:r>
    </w:p>
    <w:p w14:paraId="307A3CF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13.终止合同</w:t>
      </w:r>
    </w:p>
    <w:p w14:paraId="2DDA24C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13.1若出现如下情况，在甲方对乙方违约行为而采取的任何补救措施不受影响的情况下，甲方可向乙方发出书面通知书，提出终止部分或全部合同。</w:t>
      </w:r>
    </w:p>
    <w:p w14:paraId="3DCA845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13.1.1如果乙方未能在合同规定的期限或甲方同意延长的期限内提供服务；</w:t>
      </w:r>
    </w:p>
    <w:p w14:paraId="23FAC04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13.1.2因乙方技术人员自身技术能力、经验不足等原因造成甲方硬件设备、应用系统发生重大紧急故障或应用系统数据丢失，带来重大影响和损失的；</w:t>
      </w:r>
    </w:p>
    <w:p w14:paraId="04520F3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13.1.3乙方对甲方硬件设备、应用系统重大紧急故障没有及时响应，或不能在规定时间内解决处理故障，恢复系统正常运行的；</w:t>
      </w:r>
    </w:p>
    <w:p w14:paraId="5E18391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13.1.4不能满足本项目技术需求的管理要求和规范，且经多次整改无明显改进的；</w:t>
      </w:r>
    </w:p>
    <w:p w14:paraId="2784B1C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13.1.5在合同规定的每个服务年度(12个自然月)内，在运行维护支持服务过程中，出现2次经甲乙双方确认的违规操作的。</w:t>
      </w:r>
    </w:p>
    <w:p w14:paraId="4DBC593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13.2如果甲方根据上述第14.1条的规定，终止了全部或部分合同，甲方可以适当的条件和方法购买乙方未能提供的服务，乙方应对甲方购买类似服务所超出的费用负责。同时，乙方应继续执行合同中未终止的部分。</w:t>
      </w:r>
    </w:p>
    <w:p w14:paraId="0040FE1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14.破产终止合同</w:t>
      </w:r>
    </w:p>
    <w:p w14:paraId="5097A71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14.1如果乙方破产或无清偿能力，甲方可在任何时候以书面形式通知乙方终止合同而不给乙方补偿。</w:t>
      </w:r>
    </w:p>
    <w:p w14:paraId="25792CE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14.2该终止行为将不损害或影响甲方已经采取或将要采取的任何行动或补救措施的权利。</w:t>
      </w:r>
    </w:p>
    <w:p w14:paraId="0DF0785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15.其他情况的终止合同</w:t>
      </w:r>
    </w:p>
    <w:p w14:paraId="4637354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15.1若合同继续履行将给甲方造成重大损失的，甲方可以终止合同而不给予乙方任何补偿。</w:t>
      </w:r>
    </w:p>
    <w:p w14:paraId="639C2C5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15.2乙方在执行合同的过程中发生重大事故，对履行合同有直接影响的，甲方可以终止合同而不给予乙方任何补偿。</w:t>
      </w:r>
    </w:p>
    <w:p w14:paraId="0C4A372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15.3甲方因重大变故取消或部分取消原来的采购任务，导致合同全部或部分内容无须继续履行的，可以终止合同而不给予乙方任何补偿。</w:t>
      </w:r>
    </w:p>
    <w:p w14:paraId="6A5D778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16.合同转让和分包</w:t>
      </w:r>
    </w:p>
    <w:p w14:paraId="3837B28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16.1乙方不得以任何形式将合同转包，或部分或全部转让其应履行的合同义务。</w:t>
      </w:r>
    </w:p>
    <w:p w14:paraId="6C27681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16.2除经甲方事先书面同意外，乙方不得以任何形式将合同分包。</w:t>
      </w:r>
    </w:p>
    <w:p w14:paraId="4F043C1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17.适用法律</w:t>
      </w:r>
    </w:p>
    <w:p w14:paraId="54410B7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17.1本合同适用中华人民共和国现行法律、行政法规和规章，如合同条款与法律、行政法规和规章不一致的，按照法律、行政法规和规章修改本合同。</w:t>
      </w:r>
    </w:p>
    <w:p w14:paraId="45FCDB9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18.合同语言</w:t>
      </w:r>
    </w:p>
    <w:p w14:paraId="695D0E4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18.1本合同语言为中文。</w:t>
      </w:r>
    </w:p>
    <w:p w14:paraId="7DB226D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18.2双方交换的与合同有关的信件和其他文件应用合同语言书写。</w:t>
      </w:r>
    </w:p>
    <w:p w14:paraId="35DDC7F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19.合同生效</w:t>
      </w:r>
    </w:p>
    <w:p w14:paraId="128EC62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19.1本合同应在双方签字盖章后生效。</w:t>
      </w:r>
    </w:p>
    <w:p w14:paraId="4467674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20.合同效力</w:t>
      </w:r>
    </w:p>
    <w:p w14:paraId="6C794E4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20.1除本合同和甲乙双方书面签署的补充协议外，其他任何形式的双方约定和往来函件均不具有法律效力，对本项目无约束力。</w:t>
      </w:r>
    </w:p>
    <w:p w14:paraId="35FD19D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21.检查和审计</w:t>
      </w:r>
    </w:p>
    <w:p w14:paraId="60A2DEE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21.1在本合同的履行过程中，甲方有权对乙方的合同履约情况进行阶段性检查，并对乙方投标时提供的相关资料进行复核。</w:t>
      </w:r>
    </w:p>
    <w:p w14:paraId="58887FC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21.2在本合同的履行过程中，如果甲乙双方发生争议或者乙方没有按照合同约定履行义务，乙方应允许甲方检查乙方与实施本合同有关的账户和记录，并由甲方指定的</w:t>
      </w:r>
      <w:bookmarkStart w:id="0" w:name="_GoBack"/>
      <w:bookmarkEnd w:id="0"/>
      <w:r>
        <w:rPr>
          <w:rFonts w:hint="eastAsia" w:asciiTheme="minorEastAsia" w:hAnsiTheme="minorEastAsia" w:eastAsiaTheme="minorEastAsia" w:cstheme="minorEastAsia"/>
          <w:sz w:val="24"/>
          <w:szCs w:val="24"/>
        </w:rPr>
        <w:t>审计人员对其进行审计。</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6"/>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BB030A"/>
    <w:rsid w:val="006F60C7"/>
    <w:rsid w:val="1ABB0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rPr>
      <w:sz w:val="20"/>
    </w:rPr>
  </w:style>
  <w:style w:type="paragraph" w:styleId="4">
    <w:name w:val="Body Text"/>
    <w:basedOn w:val="1"/>
    <w:semiHidden/>
    <w:qFormat/>
    <w:uiPriority w:val="0"/>
    <w:rPr>
      <w:rFonts w:ascii="Arial" w:hAnsi="Arial" w:eastAsia="Arial" w:cs="Arial"/>
      <w:sz w:val="21"/>
      <w:szCs w:val="21"/>
      <w:lang w:val="en-US" w:eastAsia="en-US"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10">
    <w:name w:val="Table Text"/>
    <w:basedOn w:val="1"/>
    <w:semiHidden/>
    <w:qFormat/>
    <w:uiPriority w:val="0"/>
    <w:rPr>
      <w:rFonts w:ascii="宋体" w:hAnsi="宋体" w:eastAsia="宋体" w:cs="宋体"/>
      <w:sz w:val="25"/>
      <w:szCs w:val="25"/>
      <w:lang w:val="en-US" w:eastAsia="en-US" w:bidi="ar-SA"/>
    </w:rPr>
  </w:style>
  <w:style w:type="table" w:customStyle="1" w:styleId="11">
    <w:name w:val="Table Normal"/>
    <w:semiHidden/>
    <w:unhideWhenUsed/>
    <w:qFormat/>
    <w:uiPriority w:val="0"/>
    <w:tblPr>
      <w:tblCellMar>
        <w:top w:w="0" w:type="dxa"/>
        <w:left w:w="0" w:type="dxa"/>
        <w:bottom w:w="0" w:type="dxa"/>
        <w:right w:w="0" w:type="dxa"/>
      </w:tblCellMar>
    </w:tblPr>
  </w:style>
  <w:style w:type="character" w:customStyle="1" w:styleId="12">
    <w:name w:val="font71"/>
    <w:qFormat/>
    <w:uiPriority w:val="0"/>
    <w:rPr>
      <w:rFonts w:hint="eastAsia" w:ascii="仿宋" w:hAnsi="仿宋" w:eastAsia="仿宋" w:cs="仿宋"/>
      <w:b/>
      <w:bCs/>
      <w:color w:val="000000"/>
      <w:sz w:val="21"/>
      <w:szCs w:val="21"/>
      <w:u w:val="none"/>
    </w:rPr>
  </w:style>
  <w:style w:type="character" w:customStyle="1" w:styleId="13">
    <w:name w:val="font81"/>
    <w:qFormat/>
    <w:uiPriority w:val="0"/>
    <w:rPr>
      <w:rFonts w:hint="eastAsia" w:ascii="仿宋" w:hAnsi="仿宋" w:eastAsia="仿宋" w:cs="仿宋"/>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5356</Words>
  <Characters>5625</Characters>
  <Lines>0</Lines>
  <Paragraphs>0</Paragraphs>
  <TotalTime>3</TotalTime>
  <ScaleCrop>false</ScaleCrop>
  <LinksUpToDate>false</LinksUpToDate>
  <CharactersWithSpaces>5905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2025-08-26T10:42:00Z</dcterms:created>
  <dc:creator>三言两语</dc:creator>
  <cp:lastModifiedBy>三言两语</cp:lastModifiedBy>
  <dcterms:modified xsi:type="dcterms:W3CDTF">2025-08-31T15:17:30Z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CCD6F375B8824146800065AE4EED522C_11</vt:lpwstr>
  </property>
  <property fmtid="{D5CDD505-2E9C-101B-9397-08002B2CF9AE}" pid="4" name="KSOTemplateDocerSaveRecord">
    <vt:lpwstr>eyJoZGlkIjoiOGM3MDRkNDczYjc5MGMxOTg5N2ZiZDQwMjEzZDM0MzciLCJ1c2VySWQiOiIyNjgyMzQwNDYifQ==</vt:lpwstr>
  </property>
</Properties>
</file>