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版本号：SZ1252-GP-SC-147H20250826001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医务管理系统项目(二次)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SZ1252-GP-SC-147H</w:t>
      </w:r>
      <w:r>
        <w:br/>
      </w:r>
      <w:r>
        <w:br/>
      </w:r>
      <w:r>
        <w:br/>
      </w:r>
    </w:p>
    <w:p>
      <w:pPr>
        <w:pStyle w:val="null3"/>
        <w:jc w:val="center"/>
        <w:outlineLvl w:val="2"/>
      </w:pPr>
      <w:r>
        <w:rPr>
          <w:rFonts w:ascii="仿宋_GB2312" w:hAnsi="仿宋_GB2312" w:cs="仿宋_GB2312" w:eastAsia="仿宋_GB2312"/>
          <w:sz w:val="28"/>
          <w:b/>
        </w:rPr>
        <w:t>西北妇女儿童医院</w:t>
      </w:r>
    </w:p>
    <w:p>
      <w:pPr>
        <w:pStyle w:val="null3"/>
        <w:jc w:val="center"/>
        <w:outlineLvl w:val="2"/>
      </w:pPr>
      <w:r>
        <w:rPr>
          <w:rFonts w:ascii="仿宋_GB2312" w:hAnsi="仿宋_GB2312" w:cs="仿宋_GB2312" w:eastAsia="仿宋_GB2312"/>
          <w:sz w:val="28"/>
          <w:b/>
        </w:rPr>
        <w:t>陕西省招标有限责任公司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陕西省招标有限责任公司</w:t>
      </w:r>
      <w:r>
        <w:rPr>
          <w:rFonts w:ascii="仿宋_GB2312" w:hAnsi="仿宋_GB2312" w:cs="仿宋_GB2312" w:eastAsia="仿宋_GB2312"/>
        </w:rPr>
        <w:t>（以下简称“代理机构”）受</w:t>
      </w:r>
      <w:r>
        <w:rPr>
          <w:rFonts w:ascii="仿宋_GB2312" w:hAnsi="仿宋_GB2312" w:cs="仿宋_GB2312" w:eastAsia="仿宋_GB2312"/>
        </w:rPr>
        <w:t>西北妇女儿童医院</w:t>
      </w:r>
      <w:r>
        <w:rPr>
          <w:rFonts w:ascii="仿宋_GB2312" w:hAnsi="仿宋_GB2312" w:cs="仿宋_GB2312" w:eastAsia="仿宋_GB2312"/>
        </w:rPr>
        <w:t>委托，拟对</w:t>
      </w:r>
      <w:r>
        <w:rPr>
          <w:rFonts w:ascii="仿宋_GB2312" w:hAnsi="仿宋_GB2312" w:cs="仿宋_GB2312" w:eastAsia="仿宋_GB2312"/>
        </w:rPr>
        <w:t>医务管理系统项目(二次)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SZ1252-GP-SC-147H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医务管理系统项目(二次)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西北妇女儿童医院医务管理系统项目（二次），具体内容详见采购文件。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度或2024年度经审计的财务会计报告（至少包括资产负债表、利润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2024年8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4、社会保障资金缴纳证明：提供2024年8月至今已缴存的至少一个月的社会保障资金缴存单据或社保机构开具的社会保险参保缴费情况证明，依法不需要缴纳社会保障资金的单位应提供相关证明材料。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法定代表人授权书：法定代表人授权书及被授权人身份证复印件。（法定代表人直接投标须提交法定代表人身份证明书及身份证原件，被授权人参与投标的需提供投标人为其缴纳的2024年8月至今任意一个月的社保证明材料）</w:t>
      </w:r>
    </w:p>
    <w:p>
      <w:pPr>
        <w:pStyle w:val="null3"/>
      </w:pPr>
      <w:r>
        <w:rPr>
          <w:rFonts w:ascii="仿宋_GB2312" w:hAnsi="仿宋_GB2312" w:cs="仿宋_GB2312" w:eastAsia="仿宋_GB2312"/>
        </w:rPr>
        <w:t>6、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7、控股管理关系：提供直接控股和管理关系清单。若与其他投标人存在单位负责人为同一人或者存在直接控股、管理关系的，则投标无效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9、是否接受联合体投标：本项目不接受联合体参与。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西北妇女儿童医院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西安市雁翔路1616号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029-89550065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陕西省西安市碑林区和平路108号佳腾大厦7楼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孙东 李楚瑶 朱颖华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17791415127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开户名称：陕西省招标有限责任公司</w:t>
            </w:r>
          </w:p>
          <w:p>
            <w:pPr>
              <w:pStyle w:val="null3"/>
            </w:pPr>
            <w:r>
              <w:rPr>
                <w:rFonts w:ascii="仿宋_GB2312" w:hAnsi="仿宋_GB2312" w:cs="仿宋_GB2312" w:eastAsia="仿宋_GB2312"/>
              </w:rPr>
              <w:t>开户银行：中国民生银行股份有限公司西安雁塔路支行</w:t>
            </w:r>
          </w:p>
          <w:p>
            <w:pPr>
              <w:pStyle w:val="null3"/>
            </w:pPr>
            <w:r>
              <w:rPr>
                <w:rFonts w:ascii="仿宋_GB2312" w:hAnsi="仿宋_GB2312" w:cs="仿宋_GB2312" w:eastAsia="仿宋_GB2312"/>
              </w:rPr>
              <w:t>银行账号：9902001766572554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中标金额计算招标代理服务费，招标代理服务费由中标人支付，按照国家计委颁布的《招标代理服务收费管理暂行办法》(计价格[2002]1980号)文件规定的标准下浮20%计取，招标代理服务收费按差额定率累进法计算。 2、本项目中标服务费按货物计取。 3、代理服务费账户： 开户名称：陕西省招标有限责任公司 开户银行：招商银行西安朝阳门支行 账号：1299 0424 2010 801 （注：中标供应商转账时请从对公账户转出，备注“代理服务费”及“项目编号后四位”信息）</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西北妇女儿童医院</w:t>
      </w:r>
      <w:r>
        <w:rPr>
          <w:rFonts w:ascii="仿宋_GB2312" w:hAnsi="仿宋_GB2312" w:cs="仿宋_GB2312" w:eastAsia="仿宋_GB2312"/>
        </w:rPr>
        <w:t>和</w:t>
      </w:r>
      <w:r>
        <w:rPr>
          <w:rFonts w:ascii="仿宋_GB2312" w:hAnsi="仿宋_GB2312" w:cs="仿宋_GB2312" w:eastAsia="仿宋_GB2312"/>
        </w:rPr>
        <w:t>陕西省招标有限责任公司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西北妇女儿童医院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西北妇女儿童医院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需满足最新国家标准；无国家标准的以行业标准及合同约定为准。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联系人：胡蕊</w:t>
      </w:r>
    </w:p>
    <w:p>
      <w:pPr>
        <w:pStyle w:val="null3"/>
      </w:pPr>
      <w:r>
        <w:rPr>
          <w:rFonts w:ascii="仿宋_GB2312" w:hAnsi="仿宋_GB2312" w:cs="仿宋_GB2312" w:eastAsia="仿宋_GB2312"/>
        </w:rPr>
        <w:t>联系电话：029-87517633</w:t>
      </w:r>
    </w:p>
    <w:p>
      <w:pPr>
        <w:pStyle w:val="null3"/>
      </w:pPr>
      <w:r>
        <w:rPr>
          <w:rFonts w:ascii="仿宋_GB2312" w:hAnsi="仿宋_GB2312" w:cs="仿宋_GB2312" w:eastAsia="仿宋_GB2312"/>
        </w:rPr>
        <w:t>地址：西安市和平路108号佳腾大厦7层</w:t>
      </w:r>
    </w:p>
    <w:p>
      <w:pPr>
        <w:pStyle w:val="null3"/>
      </w:pPr>
      <w:r>
        <w:rPr>
          <w:rFonts w:ascii="仿宋_GB2312" w:hAnsi="仿宋_GB2312" w:cs="仿宋_GB2312" w:eastAsia="仿宋_GB2312"/>
        </w:rPr>
        <w:t>邮编：71001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西北妇女儿童医院医务管理系统项目（二次），具体内容详见采购文件。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1,120,000.00</w:t>
      </w:r>
    </w:p>
    <w:p>
      <w:pPr>
        <w:pStyle w:val="null3"/>
      </w:pPr>
      <w:r>
        <w:rPr>
          <w:rFonts w:ascii="仿宋_GB2312" w:hAnsi="仿宋_GB2312" w:cs="仿宋_GB2312" w:eastAsia="仿宋_GB2312"/>
        </w:rPr>
        <w:t>采购包最高限价（元）: 1,120,000.00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医务管理系统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1,120,000.00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标的名称：医务管理系统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4"/>
              <w:gridCol w:w="490"/>
              <w:gridCol w:w="1725"/>
            </w:tblGrid>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序号</w:t>
                  </w:r>
                </w:p>
              </w:tc>
              <w:tc>
                <w:tcPr>
                  <w:tcW w:type="dxa" w:w="4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功能名称</w:t>
                  </w:r>
                </w:p>
              </w:tc>
              <w:tc>
                <w:tcPr>
                  <w:tcW w:type="dxa" w:w="17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rPr>
                    <w:t>功能要求</w:t>
                  </w:r>
                </w:p>
              </w:tc>
            </w:tr>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医师档案管理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1）医师档案管理涵盖全院医师基本档案，包括基本信息、获得荣誉情况、培训情况、多点执业、各类证书上传等。新技术申报及新技术获奖情况。</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2）医师档案管理涵盖各项权限信息，包括药品权限、手术权限、技术权限等。将获得限制类技术资质的信息纳入医师档案库。</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3）医师档案管理涵盖医疗执业情况，包括执业奖励、执业违纪等，涉及医疗纠纷例数、违反依法执业次数等。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4）所有医师档案信息实现动态储存和查询功能，可以搜索查看动态变更情况。</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5）可以导入和导出相关信息，以及各类信息的统计功能，有报表。</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6）实现医师资质类信息到期提醒功能，资质申请流程状态提示等。</w:t>
                  </w:r>
                </w:p>
              </w:tc>
            </w:tr>
            <w:tr>
              <w:tc>
                <w:tcPr>
                  <w:tcW w:type="dxa" w:w="3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处方权审批授权管理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1）处方权涵盖普通药物、抗菌药物、麻醉药品及精神药品、医疗用毒性药品、抗肿瘤药物、激素类药物、中成药及中药饮片等，实现分类别药物权限审批授权管理。</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2）实现对全院医师处方权审批授权全流程管理。</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3）实现对全院医师处方权审批授权动态管理，包括定期评价与再授权过程。</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实现医师处方权申请表单，申请时医师可填写基本信息（包括姓名、性别、科室、工号、身份证号、执业证号等）、申请权限信息（处方权类型）、相关佐证材料（包括医师资格证、执业证、职称证等）上传、部门审批等内容。同时实现佐证材料与基本信息中相应信息的符合程度审核，并提示不符合，无法提交功能（例：基本信息中填写执业证号为61235，但佐证材料上的执业证号为61234，提示信息填写有误，无法提交）。</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5）实现医师处方权申请提交后流程自动送达至相关审核人员，并有督促提醒功能。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6）有处方权限考试功能，并且将考试结果关联至处方权申请表中。</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7）实现医师处方权审批后，关联至HIS系统可开通或限制医师处方权，限制后医师无法越级开出相应处方。且住院处方权与门诊处方权权限分开。</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8）实现医师处方权通过后，在处方权申请表中的医师签名可以上传至HIS系统中。</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9）实现医师处方权申请流程查看、个人申请信息查看等功能。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10）实现医师处方权审批情况、医师处方权获取情况统计功能，有报表。能打印及预览医师个人申请的处方权审批表。</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11）实现每次医师处方权申请能查询到记录，以及职能部门审批过程，动态的记录。</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放射审批授权管理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1）实现放射人员档案，包括培训、个人剂量监测、体检情况及放射证件情况。</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2）实现放射人员审批授权，同处方权，有申请表及考核，有签名，可查看流程、实现信息统计。</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3）实现放射人员动态评估，和医院系统关联，了解是否有放射诊疗不规范情况，动态授权，能查到动态授权记录。</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新技术新项目管理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需要包含资料库、项目申请、审核审批、评价监测、统计分析、转常规审批等模块。具体功能要求：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1）资料库：包括制度公示，既往批准开展项目清单、获奖项目清单、申报资料等。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2）项目申请：建立申请表单，能自动上传项目组人员基础信息。</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审核审批：按照医院制度流程，在不同审批环节将审批表发送给相应审核人员。在院技术管理委员会、伦理委员会等审批环节能够实现设置通过数量等审批规则。同时审批流程要实现申请人撤销、修改、管理员退回或终止等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4）评价监测：实现新技术新项目开展情况动态评估，和医院系统关联，抓取患者基本信息、诊断、技术施行日期、并发症、不良事件、患者治疗结局等开展效果。</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5）统计分析：统计所有项目开展例数并能自动生成技术开展情况分析图标，内容包含开展数量、同比、环比、趋势、并发症及不良事件发生情况等。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6）转常规审批：实现项目负责人或职能部门管理员发起转常规流程，按照医院制度流程发送给相应审核人员。</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限制类技术管理系统</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需要包含资料库、项目申请、审核审批、评价监测、统计分析、人员资质审批等模块。具体功能要求：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1）资料库：包括制度公示，开展项目清单、国家及省级规范等。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2）项目申请：建立申请表单，能自动上传项目组人员基础信息。</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审核审批：按照医院制度流程，在不同审批环节将审批表发送给相应审核人员。在院技术管理委员会、伦理委员会等审批环节能够实现设置通过数量等审批规则。同时审批流程要实现申请人撤销、修改、管理员退回或终止等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4）评价监测：实现技术开展情况动态评估，和医院系统关联，抓取患者基本信息、诊断、技术施行日期、并发症、不良事件、患者治疗结局等开展效果。</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5）统计分析：统计所有技术开展例数并能自动生成技术开展情况分析图标，内容包含开展数量、同比、环比、趋势、并发症及不良事件发生情况等。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6）人员资质审批：建立资质审批表，按照医院流程发送给相应审核人员。</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6</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手术资质管理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1）支持维护、修改、更新手术目录，每次手术目录的更改都留有相应的操作记录。</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2）支持管理院内所有的手术权限，可对已授权的手术权限进行暂停、取消等操作；对接病案系统后获得包括该手术权限申请人作为主刀和一助开展该手术的例数信息。</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3）支持医师按手术级别申请手术权限，要求手术权限申请具体到手术级别和手术名称。</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4）支持实现对全院医师手术审批授权全流程管理，按照医院制度流程，实现手术审批不同环节的相应人员审批。审批流程可实现撤销、修改、退回或终止等功能。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5）支持多维度（手术医师、医务部）查看查询手术医师手术开展情况及已具备的手术权限，显示手术授权审批的时间记录；</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6）支持对手术医师不同级别手术能力的定期评价与动态授权，实现查看手术违规记录、动态更新手术医师的手术权限。</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7）支持手术权限与HIS系统关联，医生不能超权限开展未经授权的手术。</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8）支持统计手术医师各项手术能力的评价，能自动生成手术开展情况分析图标。</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9）支持提示医生对符合非计划二次手术患者进行按照医院管理流程进行审批上报。</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7</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会诊管理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1）会诊管理模块应包含普通会诊、急诊会、邀请院外会诊、门诊多学科会诊、住院多学科会诊。</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2）支持会诊审批，临床医师发起，科主任审核，职能管理部门审批，根据医院实际工作可增加或减少审批节点，支持多人审评。</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3）会诊管理系统与HIS对接，发起会诊时可自动生成患者基本信息、病历摘要等，会诊申请单应包含申请时间、拟会诊时间、会诊地点、邀请会诊医院/科室/专家/人员等。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4）具有会诊提醒功能，通过会诊系统、短信等方式对会诊审批人员、被邀请人员进行提醒。</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5）支持会诊专家库人员管理（含本院/外院），会诊人员排班。</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6）被邀请科室/专家可查看会诊患者就诊记录、检验检查结果、病程记录、手术记录等。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7）支持会诊意见书写、记录，多学科会诊支持各专家分别书写提交会诊意见，会诊申请人可进行归纳总结书写记录，会诊意见可同步至病历。书写会诊意见支持电子签名。</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8）支持记录会诊申请时间、审批时间、会诊人员到达时间、会诊结束时间，会诊结束可生成报告，支持打印。</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9）可按会诊类型、申请科室、被邀请科室/专家等进行统计分析。</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10）支持会诊评价反馈，对组织会诊科室、参加会诊人员进行评价反馈。</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11）可抓取科室、人员记录工作量，与绩效考核系统对接，实现绩效发放。</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8</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排班管理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1）根据科室需求可设置不同排班模板。</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2）支持对值班人员的限定。</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3）支持排班的审核、调整报备。</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4）可导出、导入排班，统计个人值班数。</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9</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医疗投诉（纠纷）管理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1）投诉案件登记管理：支持电话、现场、上级、各科室转办等多方式登记功能。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2）院内调查管理：投诉分发到各相关科室进行调查，多科室协同调查处理，处理要求留痕且可自动生成处理过程（包括科室及投诉科工作人员），纠纷处理过程各阶段消息提醒</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3）第三方介入管理：医调委、法院诉讼、上级部门、司法（医疗事故）鉴定管理等管理。</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4）病案或实物封存管理：病案封存，包含复制件封存及原件封存/电子封存和实物封存，要求和病案室系统进行对接，实现科室查看及登记功能。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医疗投诉（纠纷）统计分析、原因分析：多种数据维度的统计分析，包括案件统计、赔付统计、原因统计分析、科室投诉纠纷量对比、投诉纠纷数据历史变化趋势、司法诉讼量统计等，实现月度分析、季度分析、年度分析，时间可选择。</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6）投诉判定管理：支持医务对投诉案件的有效性进行判定与分类，可划分为有效投诉与无效投诉两类。</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7）纠赔付管理：纠纷赔付过程、赔付金额申请审批管理、转账后通知管理。</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8）医疗纠纷归档管理：案件归档处理，案件下载管理，可自动生成目录。</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9）整改管理：科室整改计划、整改过程、整改效果管理。</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10）风险人员管理：风险人员（黑名单）人员管理。</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11）重复投诉提醒：对于发生重复投诉的患者，可定义标签，在再入院时进行预警，提醒医务处及相关部门重点关注，避免发生类似纠纷事件。</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10</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医疗人员下乡管理</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医务人员可通过系统内置表单引擎在线检索并填写《下乡申请表》，提交后需经科室主任通过数字签名知情同意。申请表自动进入待办任务队列，主任通过登录系统进行在线审批，审批通过后系统通过推送通知至科室管理员终端。</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支持移动客户端应用程序（Android/iOS）下载与安装，后台管理系统实现下乡人员动态权限管理列表的创建与维护。不同管理员可通过管理控制台实时执行各自负责下乡人员信息的增删操作，实现账号唯一性绑定，确保仅授权人员在移动端可访问下乡管理页面。</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移动端集成GPS定位服务与生物特征识别技术（如人脸识别/指纹认证），自动校验打卡位置是否位于预设下乡区域实现异地实名制打卡，规避代打卡风险。系统自动按月度和下乡帮扶单位生成考勤报表，管理端支持可视化查询和PDF批量下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4）移动端支持PDF住宿发票上传至云端存储，管理端实现PDF归档文件的批量下载。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5）移动端支持车票付款记录的多张截图（不限数量）上传，管理端支持分类查看与自动化Word汇总文档合成以及批量文件下载。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6）移动端提供结构化表单录入界面，支持下乡工作量每人按日填报，工作量内容填写分为“必填”与“非必填”，月底生成每位医务人员在对方帮扶单位的工作量汇总表，并实现管理端批量文件下载。此外，“必填”项之一的佐证图片支持云端永久存储，支持管理端和授权人员多次查看和批量下载。</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7）系统集成消息推送服务，在每月报销周期内触发每位下乡医务人员移动端的每日弹窗提醒直至完成上传，涵盖打卡、票据上传、工作量填报等任务节点。管理端能实时记录每位医务人员上报资料后的处理进度（如“已办/未读/暂存代办”）。</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w:t>
                  </w:r>
                  <w:r>
                    <w:rPr>
                      <w:rFonts w:ascii="仿宋_GB2312" w:hAnsi="仿宋_GB2312" w:cs="仿宋_GB2312" w:eastAsia="仿宋_GB2312"/>
                      <w:sz w:val="18"/>
                    </w:rPr>
                    <w:t>11</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医疗风险预警</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一、预警管理</w:t>
                  </w:r>
                </w:p>
                <w:p>
                  <w:pPr>
                    <w:pStyle w:val="null3"/>
                    <w:jc w:val="both"/>
                  </w:pPr>
                  <w:r>
                    <w:rPr>
                      <w:rFonts w:ascii="仿宋_GB2312" w:hAnsi="仿宋_GB2312" w:cs="仿宋_GB2312" w:eastAsia="仿宋_GB2312"/>
                      <w:sz w:val="18"/>
                    </w:rPr>
                    <w:t>1.支持自定义预警级别，支持颜色标识与阈值配置。</w:t>
                  </w:r>
                </w:p>
                <w:p>
                  <w:pPr>
                    <w:pStyle w:val="null3"/>
                    <w:jc w:val="both"/>
                  </w:pPr>
                  <w:r>
                    <w:rPr>
                      <w:rFonts w:ascii="仿宋_GB2312" w:hAnsi="仿宋_GB2312" w:cs="仿宋_GB2312" w:eastAsia="仿宋_GB2312"/>
                      <w:sz w:val="18"/>
                    </w:rPr>
                    <w:t>2.支持根据风险性质、危害程度、可控性、影响范围、配置权重与分值等对预警参数动态调整。</w:t>
                  </w:r>
                </w:p>
                <w:p>
                  <w:pPr>
                    <w:pStyle w:val="null3"/>
                    <w:jc w:val="both"/>
                  </w:pPr>
                  <w:r>
                    <w:rPr>
                      <w:rFonts w:ascii="仿宋_GB2312" w:hAnsi="仿宋_GB2312" w:cs="仿宋_GB2312" w:eastAsia="仿宋_GB2312"/>
                      <w:sz w:val="18"/>
                    </w:rPr>
                    <w:t>3.支持对风险评估模型反馈的特殊关注患者（如在院投诉、投诉再入院患者、短期再入院、特殊疾病等）在科室首页展示，展示内容包括床位号、病人姓名、命中指标等。</w:t>
                  </w:r>
                </w:p>
                <w:p>
                  <w:pPr>
                    <w:pStyle w:val="null3"/>
                    <w:jc w:val="both"/>
                  </w:pPr>
                  <w:r>
                    <w:rPr>
                      <w:rFonts w:ascii="仿宋_GB2312" w:hAnsi="仿宋_GB2312" w:cs="仿宋_GB2312" w:eastAsia="仿宋_GB2312"/>
                      <w:sz w:val="18"/>
                    </w:rPr>
                    <w:t>4.预警级别与电子病历系统关联，自动标记高风险患者。</w:t>
                  </w:r>
                </w:p>
                <w:p>
                  <w:pPr>
                    <w:pStyle w:val="null3"/>
                    <w:jc w:val="both"/>
                  </w:pPr>
                  <w:r>
                    <w:rPr>
                      <w:rFonts w:ascii="仿宋_GB2312" w:hAnsi="仿宋_GB2312" w:cs="仿宋_GB2312" w:eastAsia="仿宋_GB2312"/>
                      <w:sz w:val="18"/>
                    </w:rPr>
                    <w:t>二、预警通知</w:t>
                  </w:r>
                </w:p>
                <w:p>
                  <w:pPr>
                    <w:pStyle w:val="null3"/>
                    <w:jc w:val="both"/>
                  </w:pPr>
                  <w:r>
                    <w:rPr>
                      <w:rFonts w:ascii="仿宋_GB2312" w:hAnsi="仿宋_GB2312" w:cs="仿宋_GB2312" w:eastAsia="仿宋_GB2312"/>
                      <w:sz w:val="18"/>
                    </w:rPr>
                    <w:t>1.支持多端实时推送：短信、PC端弹窗、手机APP通知，支持按科室/角色设置接收规则。</w:t>
                  </w:r>
                </w:p>
                <w:p>
                  <w:pPr>
                    <w:pStyle w:val="null3"/>
                    <w:jc w:val="both"/>
                  </w:pPr>
                  <w:r>
                    <w:rPr>
                      <w:rFonts w:ascii="仿宋_GB2312" w:hAnsi="仿宋_GB2312" w:cs="仿宋_GB2312" w:eastAsia="仿宋_GB2312"/>
                      <w:sz w:val="18"/>
                    </w:rPr>
                    <w:t>2.支持通知模板自定义，支持添加处理建议、紧急联系人等信息。</w:t>
                  </w:r>
                </w:p>
                <w:p>
                  <w:pPr>
                    <w:pStyle w:val="null3"/>
                    <w:jc w:val="both"/>
                  </w:pPr>
                  <w:r>
                    <w:rPr>
                      <w:rFonts w:ascii="仿宋_GB2312" w:hAnsi="仿宋_GB2312" w:cs="仿宋_GB2312" w:eastAsia="仿宋_GB2312"/>
                      <w:sz w:val="18"/>
                    </w:rPr>
                    <w:t>3.支持AI自主学习优化，根据历史处理反馈动态调整推送优先级。</w:t>
                  </w:r>
                </w:p>
                <w:p>
                  <w:pPr>
                    <w:pStyle w:val="null3"/>
                    <w:jc w:val="both"/>
                  </w:pPr>
                  <w:r>
                    <w:rPr>
                      <w:rFonts w:ascii="仿宋_GB2312" w:hAnsi="仿宋_GB2312" w:cs="仿宋_GB2312" w:eastAsia="仿宋_GB2312"/>
                      <w:sz w:val="18"/>
                    </w:rPr>
                    <w:t>4.支持预警通知以Excel表格形式导出。</w:t>
                  </w:r>
                </w:p>
                <w:p>
                  <w:pPr>
                    <w:pStyle w:val="null3"/>
                    <w:jc w:val="both"/>
                  </w:pPr>
                  <w:r>
                    <w:rPr>
                      <w:rFonts w:ascii="仿宋_GB2312" w:hAnsi="仿宋_GB2312" w:cs="仿宋_GB2312" w:eastAsia="仿宋_GB2312"/>
                      <w:sz w:val="18"/>
                    </w:rPr>
                    <w:t>三、预警信息查询</w:t>
                  </w:r>
                </w:p>
                <w:p>
                  <w:pPr>
                    <w:pStyle w:val="null3"/>
                    <w:jc w:val="both"/>
                  </w:pPr>
                  <w:r>
                    <w:rPr>
                      <w:rFonts w:ascii="仿宋_GB2312" w:hAnsi="仿宋_GB2312" w:cs="仿宋_GB2312" w:eastAsia="仿宋_GB2312"/>
                      <w:sz w:val="18"/>
                    </w:rPr>
                    <w:t>1.支持按患者姓名、性别、入院时间、住院号、科室、预警级别、时间范围等自定义组合查询预警信息，支持以Excel表格形式导出。</w:t>
                  </w:r>
                </w:p>
                <w:p>
                  <w:pPr>
                    <w:pStyle w:val="null3"/>
                    <w:jc w:val="both"/>
                  </w:pPr>
                  <w:r>
                    <w:rPr>
                      <w:rFonts w:ascii="仿宋_GB2312" w:hAnsi="仿宋_GB2312" w:cs="仿宋_GB2312" w:eastAsia="仿宋_GB2312"/>
                      <w:sz w:val="18"/>
                    </w:rPr>
                    <w:t>2.支持全院/科室预警人次、级别分布的统计，统计图表自动生成。</w:t>
                  </w:r>
                </w:p>
                <w:p>
                  <w:pPr>
                    <w:pStyle w:val="null3"/>
                    <w:jc w:val="both"/>
                  </w:pPr>
                  <w:r>
                    <w:rPr>
                      <w:rFonts w:ascii="仿宋_GB2312" w:hAnsi="仿宋_GB2312" w:cs="仿宋_GB2312" w:eastAsia="仿宋_GB2312"/>
                      <w:sz w:val="18"/>
                    </w:rPr>
                    <w:t>3.支持预警响应时效统计（平均处理时长、超时预警比例等）。</w:t>
                  </w:r>
                </w:p>
                <w:p>
                  <w:pPr>
                    <w:pStyle w:val="null3"/>
                    <w:jc w:val="both"/>
                  </w:pPr>
                  <w:r>
                    <w:rPr>
                      <w:rFonts w:ascii="仿宋_GB2312" w:hAnsi="仿宋_GB2312" w:cs="仿宋_GB2312" w:eastAsia="仿宋_GB2312"/>
                      <w:sz w:val="18"/>
                    </w:rPr>
                    <w:t>4.数据追溯：支持查看历史预警记录及关联处理日志。</w:t>
                  </w:r>
                </w:p>
                <w:p>
                  <w:pPr>
                    <w:pStyle w:val="null3"/>
                    <w:jc w:val="both"/>
                  </w:pPr>
                  <w:r>
                    <w:rPr>
                      <w:rFonts w:ascii="仿宋_GB2312" w:hAnsi="仿宋_GB2312" w:cs="仿宋_GB2312" w:eastAsia="仿宋_GB2312"/>
                      <w:sz w:val="18"/>
                    </w:rPr>
                    <w:t>四、实时监控与展示</w:t>
                  </w:r>
                </w:p>
                <w:p>
                  <w:pPr>
                    <w:pStyle w:val="null3"/>
                    <w:jc w:val="both"/>
                  </w:pPr>
                  <w:r>
                    <w:rPr>
                      <w:rFonts w:ascii="仿宋_GB2312" w:hAnsi="仿宋_GB2312" w:cs="仿宋_GB2312" w:eastAsia="仿宋_GB2312"/>
                      <w:sz w:val="18"/>
                      <w:b/>
                    </w:rPr>
                    <w:t>（一）实时看板</w:t>
                  </w:r>
                </w:p>
                <w:p>
                  <w:pPr>
                    <w:pStyle w:val="null3"/>
                    <w:ind w:firstLine="420"/>
                    <w:jc w:val="both"/>
                  </w:pPr>
                  <w:r>
                    <w:rPr>
                      <w:rFonts w:ascii="仿宋_GB2312" w:hAnsi="仿宋_GB2312" w:cs="仿宋_GB2312" w:eastAsia="仿宋_GB2312"/>
                      <w:sz w:val="18"/>
                    </w:rPr>
                    <w:t>1.首页展示全院当日预警总人数、各科室预警人数热力图。</w:t>
                  </w:r>
                </w:p>
                <w:p>
                  <w:pPr>
                    <w:pStyle w:val="null3"/>
                    <w:ind w:firstLine="420"/>
                    <w:jc w:val="both"/>
                  </w:pPr>
                  <w:r>
                    <w:rPr>
                      <w:rFonts w:ascii="仿宋_GB2312" w:hAnsi="仿宋_GB2312" w:cs="仿宋_GB2312" w:eastAsia="仿宋_GB2312"/>
                      <w:sz w:val="18"/>
                    </w:rPr>
                    <w:t>2.显示全院预警科室排名、风控点类型分布。</w:t>
                  </w:r>
                </w:p>
                <w:p>
                  <w:pPr>
                    <w:pStyle w:val="null3"/>
                    <w:ind w:firstLine="420"/>
                    <w:jc w:val="both"/>
                  </w:pPr>
                  <w:r>
                    <w:rPr>
                      <w:rFonts w:ascii="仿宋_GB2312" w:hAnsi="仿宋_GB2312" w:cs="仿宋_GB2312" w:eastAsia="仿宋_GB2312"/>
                      <w:sz w:val="18"/>
                    </w:rPr>
                    <w:t>3.支持自定义显示预警趋势图，支持与去年同期对比。</w:t>
                  </w:r>
                </w:p>
                <w:p>
                  <w:pPr>
                    <w:pStyle w:val="null3"/>
                    <w:ind w:firstLine="420"/>
                    <w:jc w:val="both"/>
                  </w:pPr>
                  <w:r>
                    <w:rPr>
                      <w:rFonts w:ascii="仿宋_GB2312" w:hAnsi="仿宋_GB2312" w:cs="仿宋_GB2312" w:eastAsia="仿宋_GB2312"/>
                      <w:sz w:val="18"/>
                    </w:rPr>
                    <w:t>4.首页显示预警列表，按级别、科室分类，展示患者姓名、住院号、床位号、预警分数，并支持一键跳转患者风控画像。</w:t>
                  </w:r>
                </w:p>
                <w:p>
                  <w:pPr>
                    <w:pStyle w:val="null3"/>
                    <w:ind w:firstLine="420"/>
                    <w:jc w:val="both"/>
                  </w:pPr>
                  <w:r>
                    <w:rPr>
                      <w:rFonts w:ascii="仿宋_GB2312" w:hAnsi="仿宋_GB2312" w:cs="仿宋_GB2312" w:eastAsia="仿宋_GB2312"/>
                      <w:sz w:val="18"/>
                    </w:rPr>
                    <w:t>5.支持显示告病危/重患者科室占比、死亡患者回溯分析（时间轴视图）。</w:t>
                  </w:r>
                </w:p>
                <w:p>
                  <w:pPr>
                    <w:pStyle w:val="null3"/>
                    <w:jc w:val="both"/>
                  </w:pPr>
                  <w:r>
                    <w:rPr>
                      <w:rFonts w:ascii="仿宋_GB2312" w:hAnsi="仿宋_GB2312" w:cs="仿宋_GB2312" w:eastAsia="仿宋_GB2312"/>
                      <w:sz w:val="18"/>
                      <w:b/>
                    </w:rPr>
                    <w:t>（二）预警事件追踪</w:t>
                  </w:r>
                </w:p>
                <w:p>
                  <w:pPr>
                    <w:pStyle w:val="null3"/>
                    <w:ind w:firstLine="420"/>
                    <w:jc w:val="both"/>
                  </w:pPr>
                  <w:r>
                    <w:rPr>
                      <w:rFonts w:ascii="仿宋_GB2312" w:hAnsi="仿宋_GB2312" w:cs="仿宋_GB2312" w:eastAsia="仿宋_GB2312"/>
                      <w:sz w:val="18"/>
                    </w:rPr>
                    <w:t>1.支持展示预警触发时间、处理人、处理方案、反馈记录、最终评价。</w:t>
                  </w:r>
                </w:p>
                <w:p>
                  <w:pPr>
                    <w:pStyle w:val="null3"/>
                    <w:ind w:firstLine="420"/>
                    <w:jc w:val="both"/>
                  </w:pPr>
                  <w:r>
                    <w:rPr>
                      <w:rFonts w:ascii="仿宋_GB2312" w:hAnsi="仿宋_GB2312" w:cs="仿宋_GB2312" w:eastAsia="仿宋_GB2312"/>
                      <w:sz w:val="18"/>
                    </w:rPr>
                    <w:t>2.支持按“未处理/处理中/已闭环”状态筛选。</w:t>
                  </w:r>
                </w:p>
                <w:p>
                  <w:pPr>
                    <w:pStyle w:val="null3"/>
                    <w:ind w:firstLine="420"/>
                    <w:jc w:val="both"/>
                  </w:pPr>
                  <w:r>
                    <w:rPr>
                      <w:rFonts w:ascii="仿宋_GB2312" w:hAnsi="仿宋_GB2312" w:cs="仿宋_GB2312" w:eastAsia="仿宋_GB2312"/>
                      <w:sz w:val="18"/>
                    </w:rPr>
                    <w:t>3.事件详情支持Excel/PDF导出，含操作日志。</w:t>
                  </w:r>
                </w:p>
                <w:p>
                  <w:pPr>
                    <w:pStyle w:val="null3"/>
                    <w:jc w:val="both"/>
                  </w:pPr>
                  <w:r>
                    <w:rPr>
                      <w:rFonts w:ascii="仿宋_GB2312" w:hAnsi="仿宋_GB2312" w:cs="仿宋_GB2312" w:eastAsia="仿宋_GB2312"/>
                      <w:sz w:val="18"/>
                    </w:rPr>
                    <w:t>五、风险干预</w:t>
                  </w:r>
                </w:p>
                <w:p>
                  <w:pPr>
                    <w:pStyle w:val="null3"/>
                    <w:jc w:val="both"/>
                  </w:pPr>
                  <w:r>
                    <w:rPr>
                      <w:rFonts w:ascii="仿宋_GB2312" w:hAnsi="仿宋_GB2312" w:cs="仿宋_GB2312" w:eastAsia="仿宋_GB2312"/>
                      <w:sz w:val="18"/>
                      <w:b/>
                    </w:rPr>
                    <w:t>（一）预警闭环管理</w:t>
                  </w:r>
                </w:p>
                <w:p>
                  <w:pPr>
                    <w:pStyle w:val="null3"/>
                    <w:ind w:firstLine="420"/>
                    <w:jc w:val="both"/>
                  </w:pPr>
                  <w:r>
                    <w:rPr>
                      <w:rFonts w:ascii="仿宋_GB2312" w:hAnsi="仿宋_GB2312" w:cs="仿宋_GB2312" w:eastAsia="仿宋_GB2312"/>
                      <w:sz w:val="18"/>
                    </w:rPr>
                    <w:t>1.支持分级推送，根据事件级别向对应的部门及人员进行预警消息推送。超时预警自动升级，触发二次提醒。</w:t>
                  </w:r>
                </w:p>
                <w:p>
                  <w:pPr>
                    <w:pStyle w:val="null3"/>
                    <w:ind w:firstLine="420"/>
                    <w:jc w:val="both"/>
                  </w:pPr>
                  <w:r>
                    <w:rPr>
                      <w:rFonts w:ascii="仿宋_GB2312" w:hAnsi="仿宋_GB2312" w:cs="仿宋_GB2312" w:eastAsia="仿宋_GB2312"/>
                      <w:sz w:val="18"/>
                    </w:rPr>
                    <w:t>2.预设干预方案库：用药调整、会诊申请、手术预案等。</w:t>
                  </w:r>
                </w:p>
                <w:p>
                  <w:pPr>
                    <w:pStyle w:val="null3"/>
                    <w:ind w:firstLine="420"/>
                    <w:jc w:val="both"/>
                  </w:pPr>
                  <w:r>
                    <w:rPr>
                      <w:rFonts w:ascii="仿宋_GB2312" w:hAnsi="仿宋_GB2312" w:cs="仿宋_GB2312" w:eastAsia="仿宋_GB2312"/>
                      <w:sz w:val="18"/>
                    </w:rPr>
                    <w:t>3.临床医生在线提交处理记录（文字+附件），支持语音输入。</w:t>
                  </w:r>
                </w:p>
                <w:p>
                  <w:pPr>
                    <w:pStyle w:val="null3"/>
                    <w:ind w:firstLine="420"/>
                    <w:jc w:val="both"/>
                  </w:pPr>
                  <w:r>
                    <w:rPr>
                      <w:rFonts w:ascii="仿宋_GB2312" w:hAnsi="仿宋_GB2312" w:cs="仿宋_GB2312" w:eastAsia="仿宋_GB2312"/>
                      <w:sz w:val="18"/>
                    </w:rPr>
                    <w:t>4.职能部门审核后生成闭环报告，自动归档至患者病历。</w:t>
                  </w:r>
                </w:p>
                <w:p>
                  <w:pPr>
                    <w:pStyle w:val="null3"/>
                    <w:jc w:val="both"/>
                  </w:pPr>
                  <w:r>
                    <w:rPr>
                      <w:rFonts w:ascii="仿宋_GB2312" w:hAnsi="仿宋_GB2312" w:cs="仿宋_GB2312" w:eastAsia="仿宋_GB2312"/>
                      <w:sz w:val="18"/>
                      <w:b/>
                    </w:rPr>
                    <w:t>（二）处理记录与公告</w:t>
                  </w:r>
                </w:p>
                <w:p>
                  <w:pPr>
                    <w:pStyle w:val="null3"/>
                    <w:ind w:firstLine="420"/>
                    <w:jc w:val="both"/>
                  </w:pPr>
                  <w:r>
                    <w:rPr>
                      <w:rFonts w:ascii="仿宋_GB2312" w:hAnsi="仿宋_GB2312" w:cs="仿宋_GB2312" w:eastAsia="仿宋_GB2312"/>
                      <w:sz w:val="18"/>
                    </w:rPr>
                    <w:t>1.支持处理记录查询，按科室、处理人、时间范围等条件检索查询，并支持导出为Excel。</w:t>
                  </w:r>
                </w:p>
                <w:p>
                  <w:pPr>
                    <w:pStyle w:val="null3"/>
                    <w:ind w:firstLine="420"/>
                    <w:jc w:val="both"/>
                  </w:pPr>
                  <w:r>
                    <w:rPr>
                      <w:rFonts w:ascii="仿宋_GB2312" w:hAnsi="仿宋_GB2312" w:cs="仿宋_GB2312" w:eastAsia="仿宋_GB2312"/>
                      <w:sz w:val="18"/>
                    </w:rPr>
                    <w:t>2.支持职能部门发布、删除、修改全院风险预警公告（可添加附件；上传文件资料支持多种格式文件），医务人员可查询或下载，支持阅读统计。</w:t>
                  </w:r>
                </w:p>
                <w:p>
                  <w:pPr>
                    <w:pStyle w:val="null3"/>
                    <w:jc w:val="both"/>
                  </w:pPr>
                  <w:r>
                    <w:rPr>
                      <w:rFonts w:ascii="仿宋_GB2312" w:hAnsi="仿宋_GB2312" w:cs="仿宋_GB2312" w:eastAsia="仿宋_GB2312"/>
                      <w:sz w:val="18"/>
                    </w:rPr>
                    <w:t>六、系统管理</w:t>
                  </w:r>
                </w:p>
                <w:p>
                  <w:pPr>
                    <w:pStyle w:val="null3"/>
                    <w:jc w:val="both"/>
                  </w:pPr>
                  <w:r>
                    <w:rPr>
                      <w:rFonts w:ascii="仿宋_GB2312" w:hAnsi="仿宋_GB2312" w:cs="仿宋_GB2312" w:eastAsia="仿宋_GB2312"/>
                      <w:sz w:val="18"/>
                      <w:b/>
                    </w:rPr>
                    <w:t>（一）指标库与规则库</w:t>
                  </w:r>
                </w:p>
                <w:p>
                  <w:pPr>
                    <w:pStyle w:val="null3"/>
                    <w:ind w:firstLine="420"/>
                    <w:jc w:val="both"/>
                  </w:pPr>
                  <w:r>
                    <w:rPr>
                      <w:rFonts w:ascii="仿宋_GB2312" w:hAnsi="仿宋_GB2312" w:cs="仿宋_GB2312" w:eastAsia="仿宋_GB2312"/>
                      <w:sz w:val="18"/>
                    </w:rPr>
                    <w:t>1.预警指标库支持基于医、护、技、药等维度的八大指标体系建设体系化风险指标库，支持自定义扩展。</w:t>
                  </w:r>
                </w:p>
                <w:p>
                  <w:pPr>
                    <w:pStyle w:val="null3"/>
                    <w:ind w:firstLine="420"/>
                    <w:jc w:val="both"/>
                  </w:pPr>
                  <w:r>
                    <w:rPr>
                      <w:rFonts w:ascii="仿宋_GB2312" w:hAnsi="仿宋_GB2312" w:cs="仿宋_GB2312" w:eastAsia="仿宋_GB2312"/>
                      <w:sz w:val="18"/>
                    </w:rPr>
                    <w:t>2.支持主观性指标配置。</w:t>
                  </w:r>
                </w:p>
                <w:p>
                  <w:pPr>
                    <w:pStyle w:val="null3"/>
                    <w:ind w:firstLine="420"/>
                    <w:jc w:val="both"/>
                  </w:pPr>
                  <w:r>
                    <w:rPr>
                      <w:rFonts w:ascii="仿宋_GB2312" w:hAnsi="仿宋_GB2312" w:cs="仿宋_GB2312" w:eastAsia="仿宋_GB2312"/>
                      <w:sz w:val="18"/>
                    </w:rPr>
                    <w:t>3.支持系统建设风险模型规则库，将患者风险预警指标生成不同预测规则，做不同模型的底层积累，并阶段性迭代。</w:t>
                  </w:r>
                </w:p>
                <w:p>
                  <w:pPr>
                    <w:pStyle w:val="null3"/>
                    <w:jc w:val="both"/>
                  </w:pPr>
                  <w:r>
                    <w:rPr>
                      <w:rFonts w:ascii="仿宋_GB2312" w:hAnsi="仿宋_GB2312" w:cs="仿宋_GB2312" w:eastAsia="仿宋_GB2312"/>
                      <w:sz w:val="18"/>
                      <w:b/>
                    </w:rPr>
                    <w:t>（二）风险模型与</w:t>
                  </w:r>
                  <w:r>
                    <w:rPr>
                      <w:rFonts w:ascii="仿宋_GB2312" w:hAnsi="仿宋_GB2312" w:cs="仿宋_GB2312" w:eastAsia="仿宋_GB2312"/>
                      <w:sz w:val="18"/>
                      <w:b/>
                    </w:rPr>
                    <w:t>AI</w:t>
                  </w:r>
                </w:p>
                <w:p>
                  <w:pPr>
                    <w:pStyle w:val="null3"/>
                    <w:ind w:firstLine="420"/>
                    <w:jc w:val="both"/>
                  </w:pPr>
                  <w:r>
                    <w:rPr>
                      <w:rFonts w:ascii="仿宋_GB2312" w:hAnsi="仿宋_GB2312" w:cs="仿宋_GB2312" w:eastAsia="仿宋_GB2312"/>
                      <w:sz w:val="18"/>
                    </w:rPr>
                    <w:t>1.动态评估模型：基于机器学习实时计算患者风险分数。</w:t>
                  </w:r>
                </w:p>
                <w:p>
                  <w:pPr>
                    <w:pStyle w:val="null3"/>
                    <w:ind w:firstLine="420"/>
                    <w:jc w:val="both"/>
                  </w:pPr>
                  <w:r>
                    <w:rPr>
                      <w:rFonts w:ascii="仿宋_GB2312" w:hAnsi="仿宋_GB2312" w:cs="仿宋_GB2312" w:eastAsia="仿宋_GB2312"/>
                      <w:sz w:val="18"/>
                    </w:rPr>
                    <w:t>2.模型可解释性：展示关键指标贡献度。</w:t>
                  </w:r>
                </w:p>
                <w:p>
                  <w:pPr>
                    <w:pStyle w:val="null3"/>
                    <w:ind w:firstLine="420"/>
                    <w:jc w:val="both"/>
                  </w:pPr>
                  <w:r>
                    <w:rPr>
                      <w:rFonts w:ascii="仿宋_GB2312" w:hAnsi="仿宋_GB2312" w:cs="仿宋_GB2312" w:eastAsia="仿宋_GB2312"/>
                      <w:sz w:val="18"/>
                    </w:rPr>
                    <w:t>3.AI增强功能：自然语言处理（NLP）解析病历文本，自动提取潜在风险点。</w:t>
                  </w:r>
                </w:p>
                <w:p>
                  <w:pPr>
                    <w:pStyle w:val="null3"/>
                    <w:jc w:val="both"/>
                  </w:pPr>
                  <w:r>
                    <w:rPr>
                      <w:rFonts w:ascii="仿宋_GB2312" w:hAnsi="仿宋_GB2312" w:cs="仿宋_GB2312" w:eastAsia="仿宋_GB2312"/>
                      <w:sz w:val="18"/>
                      <w:b/>
                    </w:rPr>
                    <w:t>（三）系统配置与安全</w:t>
                  </w:r>
                </w:p>
                <w:p>
                  <w:pPr>
                    <w:pStyle w:val="null3"/>
                    <w:ind w:firstLine="420"/>
                    <w:jc w:val="both"/>
                  </w:pPr>
                  <w:r>
                    <w:rPr>
                      <w:rFonts w:ascii="仿宋_GB2312" w:hAnsi="仿宋_GB2312" w:cs="仿宋_GB2312" w:eastAsia="仿宋_GB2312"/>
                      <w:sz w:val="18"/>
                    </w:rPr>
                    <w:t>1.精细化权限分配，支持由管理员账号进行统一授权管理，添加、删除用户使用平台的权限，根据用户科室、角色设置用户数据权限等级。</w:t>
                  </w:r>
                </w:p>
                <w:p>
                  <w:pPr>
                    <w:pStyle w:val="null3"/>
                    <w:ind w:firstLine="420"/>
                    <w:jc w:val="both"/>
                  </w:pPr>
                  <w:r>
                    <w:rPr>
                      <w:rFonts w:ascii="仿宋_GB2312" w:hAnsi="仿宋_GB2312" w:cs="仿宋_GB2312" w:eastAsia="仿宋_GB2312"/>
                      <w:sz w:val="18"/>
                    </w:rPr>
                    <w:t>2.支持查看平台用户操作日志，包括：操作内容、操作时间、是否操作成功、登录IP等，支持异常行为告警。</w:t>
                  </w:r>
                </w:p>
                <w:p>
                  <w:pPr>
                    <w:pStyle w:val="null3"/>
                    <w:ind w:firstLine="420"/>
                    <w:jc w:val="both"/>
                  </w:pPr>
                  <w:r>
                    <w:rPr>
                      <w:rFonts w:ascii="仿宋_GB2312" w:hAnsi="仿宋_GB2312" w:cs="仿宋_GB2312" w:eastAsia="仿宋_GB2312"/>
                      <w:sz w:val="18"/>
                    </w:rPr>
                    <w:t>3.系统兼容性：支持与HIS、LIS、PACS系统数据对接，实时同步患者信息。</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12</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医疗质量安全核心制度落实情况监测</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1）患者入院48 小时内转科的比例；（2）患者入院8 小时内查房率；（3）上级医师查房记录规范率；（4）住院患者非计划手术率；（5）急会诊及时到位率；（6）急会诊有效率；（7）普通会诊及时完成率；（8）普通会诊有效率；（9）手术患者特级护理/一级护理出院率；（10）四级手术患者手术当日床旁交接班占比；（11）非计划再次住院/手术患者疑难病例讨论完成率；（12）非计划再次住院/手术患者疑难病例讨论记录完整率；（13）高额异常费用患者进行疑难病例讨论的占比；（14）急危重症患者抢救成功率；（15）术前讨论完成率；（16）术者参加术前讨论率；（17）术前讨论计划手术一致率；（18）实际手术术者与计划手术术者一致率；（19）死亡病例讨论5日完成率；（20）医务部门组织讨论的死亡病例与发生纠纷的死亡病例比值；（21）科主任主持死亡病例讨论率；（22）死亡患者病案上传率；（23）长期医嘱当日终止率；（24）手术医师手术时间重合率；（25）麻醉医师手术时间重合率；（26）四级手术与三级手术并发症发生率比；（27）四级手术与三级手术患者死亡率比；（28）四级手术术前多学科讨论完成率；（29）三、四级手术实际开展率；（30）新技术新项目留存转化率；（31）危急值报告时间；（32）住院患者危急值当日及时处置率；（33）特殊使用级抗菌药物使用会诊率；（34）临床用血后评估记录率；（35）术中自体血回输率。</w:t>
                  </w:r>
                  <w:r>
                    <w:rPr>
                      <w:rFonts w:ascii="仿宋_GB2312" w:hAnsi="仿宋_GB2312" w:cs="仿宋_GB2312" w:eastAsia="仿宋_GB2312"/>
                      <w:sz w:val="18"/>
                      <w:b/>
                    </w:rPr>
                    <w:t>（注：具体内容详见国家卫生健康委官网：发布《医疗质量安全核心制度落实情况监测指标（</w:t>
                  </w:r>
                  <w:r>
                    <w:rPr>
                      <w:rFonts w:ascii="仿宋_GB2312" w:hAnsi="仿宋_GB2312" w:cs="仿宋_GB2312" w:eastAsia="仿宋_GB2312"/>
                      <w:sz w:val="18"/>
                      <w:b/>
                    </w:rPr>
                    <w:t>2025 年版）》）</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13</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其他</w:t>
                  </w: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1）以上功能涉及审批流程要求支持PC端和移动端。</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2）可以实现中、省各级各类卫生政策/标准等查询浏览。</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14</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技术要求前须知</w:t>
                  </w:r>
                </w:p>
                <w:p>
                  <w:pPr>
                    <w:pStyle w:val="null3"/>
                    <w:jc w:val="center"/>
                  </w:pP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1.投标人所投产品须满足但不局限于以下规范要求：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1）满足及遵循《全国医院信息化建设标准与规范（试行）》（2018年版）相关要求。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2）满足及遵循《智慧医疗分级评价方法及标准》（2025年版）6级标准相关要求。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3）满足及遵循《国家医疗健康信息医院信息互联互通标准化成熟度测评方案》（2020年版）五级乙等相关要求。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4）满足及遵循《医院智慧服务分级评估标准体系（试行）》（最新版）四级相关要求。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5）满足及遵循《医院智慧管理分级评估标准体系（试行）》三级相关要求。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6）满足及遵循《国务院办公厅关于推动公立医院高质量发展的意见》</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7）满足及遵循《国家三级公立医院绩效考核操作手册》（2020版）相关条款。</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8）满足及遵循国家卫健委关于进一步改善医疗服务行动计划相关要求。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9）满足及遵循《三级医院评审标准实施细则》和《三级妇幼保健院评审标准实施细则》要求。</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10）满足及遵循《陕西省智慧医院建设细则》（2024年版）相关要求。</w:t>
                  </w:r>
                </w:p>
                <w:p>
                  <w:pPr>
                    <w:pStyle w:val="null3"/>
                    <w:jc w:val="both"/>
                  </w:pPr>
                  <w:r>
                    <w:rPr>
                      <w:rFonts w:ascii="仿宋_GB2312" w:hAnsi="仿宋_GB2312" w:cs="仿宋_GB2312" w:eastAsia="仿宋_GB2312"/>
                      <w:sz w:val="18"/>
                    </w:rPr>
                    <w:t>2.投标人须保证采购人在使用该货物或其任何一部分时，不受第三方侵权指控，同时不得向第三方泄露采购人提供的任何技术文件和相关信息等。</w:t>
                  </w:r>
                </w:p>
                <w:p>
                  <w:pPr>
                    <w:pStyle w:val="null3"/>
                    <w:jc w:val="both"/>
                  </w:pPr>
                  <w:r>
                    <w:rPr>
                      <w:rFonts w:ascii="仿宋_GB2312" w:hAnsi="仿宋_GB2312" w:cs="仿宋_GB2312" w:eastAsia="仿宋_GB2312"/>
                      <w:sz w:val="18"/>
                    </w:rPr>
                    <w:t>3.投标人所投产品必须为最新版本，且必须不低于已通过互联互通四甲、电子病历5级案例应用功能，并且承诺在项目实施过程中无条件满足符合中、省的技术类标准和业务规范变化的需求修改，非增加子系统或功能类的个性化需求，中标人须一并满足。</w:t>
                  </w:r>
                </w:p>
                <w:p>
                  <w:pPr>
                    <w:pStyle w:val="null3"/>
                    <w:jc w:val="both"/>
                  </w:pPr>
                  <w:r>
                    <w:rPr>
                      <w:rFonts w:ascii="仿宋_GB2312" w:hAnsi="仿宋_GB2312" w:cs="仿宋_GB2312" w:eastAsia="仿宋_GB2312"/>
                      <w:sz w:val="18"/>
                    </w:rPr>
                    <w:t>4.投标人所投产品必须包含原厂商授权的知识库并在上线前提供原厂商的授权许可使用证明文件。</w:t>
                  </w:r>
                </w:p>
                <w:p>
                  <w:pPr>
                    <w:pStyle w:val="null3"/>
                    <w:jc w:val="both"/>
                  </w:pPr>
                  <w:r>
                    <w:rPr>
                      <w:rFonts w:ascii="仿宋_GB2312" w:hAnsi="仿宋_GB2312" w:cs="仿宋_GB2312" w:eastAsia="仿宋_GB2312"/>
                      <w:sz w:val="18"/>
                    </w:rPr>
                    <w:t>5.系统接口：投标报价中需包含本次采购系统与集成平台、系统与电子病历以及系统与数据中心等双方所有接口费用。</w:t>
                  </w:r>
                </w:p>
              </w:tc>
            </w:tr>
            <w:tr>
              <w:tc>
                <w:tcPr>
                  <w:tcW w:type="dxa" w:w="3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15</w:t>
                  </w:r>
                </w:p>
              </w:tc>
              <w:tc>
                <w:tcPr>
                  <w:tcW w:type="dxa" w:w="4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其他要求</w:t>
                  </w:r>
                </w:p>
                <w:p>
                  <w:pPr>
                    <w:pStyle w:val="null3"/>
                    <w:jc w:val="center"/>
                  </w:pPr>
                </w:p>
              </w:tc>
              <w:tc>
                <w:tcPr>
                  <w:tcW w:type="dxa" w:w="17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1.实施范围：本项目所有招标采购内容，需覆盖采购人同一法人下的所有院区中所有涉及的业务科室，并且不限制终端使用数量。</w:t>
                  </w:r>
                </w:p>
                <w:p>
                  <w:pPr>
                    <w:pStyle w:val="null3"/>
                    <w:jc w:val="both"/>
                  </w:pPr>
                  <w:r>
                    <w:rPr>
                      <w:rFonts w:ascii="仿宋_GB2312" w:hAnsi="仿宋_GB2312" w:cs="仿宋_GB2312" w:eastAsia="仿宋_GB2312"/>
                      <w:sz w:val="18"/>
                    </w:rPr>
                    <w:t>2.实施方案：投标人针对本项目情况制定科学、合理可行的实施方案，包括但不限于实施方案的科学性、合理性、规范性和可操作性，包括软件开发、安装调试、测试、试运行、调优等内容，以及组织机构、工作时间进度表、工作程序和步骤、管理和协调方法、关键步骤的思路和要点等；现场实施人员配置不少于两人，并对任务角色进行明确，经过双方确认后方可开工。</w:t>
                  </w:r>
                </w:p>
                <w:p>
                  <w:pPr>
                    <w:pStyle w:val="null3"/>
                    <w:jc w:val="both"/>
                  </w:pPr>
                  <w:r>
                    <w:rPr>
                      <w:rFonts w:ascii="仿宋_GB2312" w:hAnsi="仿宋_GB2312" w:cs="仿宋_GB2312" w:eastAsia="仿宋_GB2312"/>
                      <w:sz w:val="18"/>
                    </w:rPr>
                    <w:t>3.实施情况</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1）中标人需配合采购人完成规范要求的评估工作，包括：协助评价/测评/评估标准的解读、数据填报、实证/文审材料准备、现场迎评以及评审后功能整改等技术支持。</w:t>
                  </w:r>
                </w:p>
                <w:p>
                  <w:pPr>
                    <w:pStyle w:val="null3"/>
                    <w:jc w:val="both"/>
                  </w:pPr>
                  <w:r>
                    <w:rPr>
                      <w:rFonts w:ascii="仿宋_GB2312" w:hAnsi="仿宋_GB2312" w:cs="仿宋_GB2312" w:eastAsia="仿宋_GB2312"/>
                      <w:sz w:val="18"/>
                    </w:rPr>
                    <w:t>注：投标报价需包含上述咨询、技术支持涉及的相关费用。</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2）中标人需提供和协助采购人通过信息安全等级保护测评工作，等保测评涉及的本次采购软件系统的改造、升级费用一并包含在本次报价中。</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3）中标人必须为后续的新增功能接口的开发提供统一、规范、友好的接口开发机制。</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4）一经确定的项目组成员在实施过程中如因中标人单方面需更换，须提供书面说明，经采购人同意后方可进行调换，项目实施过程中，中标人按照项目所处阶段按需委派相应数量的专业工程师参与项目实施，采购人保留要求和建议的权利。</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5）中标人对实施团队的管理应充分尊重采购人对实施团队的评价和考核。如果不满足采购人的要求，采购人有权提出更换实施经理在内的人员。</w:t>
                  </w:r>
                </w:p>
                <w:p>
                  <w:pPr>
                    <w:pStyle w:val="null3"/>
                    <w:jc w:val="both"/>
                  </w:pPr>
                  <w:r>
                    <w:rPr>
                      <w:rFonts w:ascii="仿宋_GB2312" w:hAnsi="仿宋_GB2312" w:cs="仿宋_GB2312" w:eastAsia="仿宋_GB2312"/>
                      <w:sz w:val="18"/>
                    </w:rPr>
                    <w:t>4.培训</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1）中标人需提供完整的培训方案，培训的内容、次数和方式由采购人提出，采购人负责提供培训场地、培训电脑和培训人员的召集，中标人负责培训环境的搭建、培训文档的准备、培训的实施等。</w:t>
                  </w:r>
                </w:p>
                <w:p>
                  <w:pPr>
                    <w:pStyle w:val="null3"/>
                    <w:jc w:val="both"/>
                  </w:pPr>
                  <w:r>
                    <w:rPr>
                      <w:rFonts w:ascii="仿宋_GB2312" w:hAnsi="仿宋_GB2312" w:cs="仿宋_GB2312" w:eastAsia="仿宋_GB2312"/>
                      <w:sz w:val="18"/>
                    </w:rPr>
                    <w:t>（</w:t>
                  </w:r>
                  <w:r>
                    <w:rPr>
                      <w:rFonts w:ascii="仿宋_GB2312" w:hAnsi="仿宋_GB2312" w:cs="仿宋_GB2312" w:eastAsia="仿宋_GB2312"/>
                      <w:sz w:val="18"/>
                    </w:rPr>
                    <w:t>2）培训内容：</w:t>
                  </w:r>
                </w:p>
                <w:p>
                  <w:pPr>
                    <w:pStyle w:val="null3"/>
                    <w:jc w:val="both"/>
                  </w:pPr>
                  <w:r>
                    <w:rPr>
                      <w:rFonts w:ascii="仿宋_GB2312" w:hAnsi="仿宋_GB2312" w:cs="仿宋_GB2312" w:eastAsia="仿宋_GB2312"/>
                      <w:sz w:val="18"/>
                    </w:rPr>
                    <w:t>1）系统软件的用户使用培训，应用软件操作培训；</w:t>
                  </w:r>
                </w:p>
                <w:p>
                  <w:pPr>
                    <w:pStyle w:val="null3"/>
                    <w:jc w:val="both"/>
                  </w:pPr>
                  <w:r>
                    <w:rPr>
                      <w:rFonts w:ascii="仿宋_GB2312" w:hAnsi="仿宋_GB2312" w:cs="仿宋_GB2312" w:eastAsia="仿宋_GB2312"/>
                      <w:sz w:val="18"/>
                    </w:rPr>
                    <w:t>2）系统管理培训、采购人技术人员维护培训；</w:t>
                  </w:r>
                </w:p>
                <w:p>
                  <w:pPr>
                    <w:pStyle w:val="null3"/>
                    <w:jc w:val="both"/>
                  </w:pPr>
                  <w:r>
                    <w:rPr>
                      <w:rFonts w:ascii="仿宋_GB2312" w:hAnsi="仿宋_GB2312" w:cs="仿宋_GB2312" w:eastAsia="仿宋_GB2312"/>
                      <w:sz w:val="18"/>
                    </w:rPr>
                    <w:t>3）应用软件操作疑难问题解答。</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合同签订后45天内完成安装、调试、培训、上线工作。</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中标人完成合同及招投标文件规定的全部内容，采购人确认系统正式上线运行并验收合格后，乙方提供符合税法规定的全额正式发票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中标人完成合同及招标文件规定的全部内容，由中标人提出正式上线验收申请，采购人组织相关人员（必要时组成院外专家组）进行项目验收，出具验收报告。正式验收完成后，须继续配合完成相关评级内容。（2）系统上线后，中标人不但向采购人用户提供系统使用培训，还需提供技术人员培训，以保证采购人工程师能够掌握软件表结构、数据业务流等技术信息。（3）验收资料。在项目验收时，中标人需提供但不限于项目实施方案、需求说明书、使用人员签字的培训记录、系统操作说明、系统维护说明、验收申请、数据业务流、数据字典及表结构说明、用户手册、数据库用户名及密码等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1.免费维保期：项目维保期从正式上线验收合格之日开始计算，三年免费维保期； 2.各投标人根据采购文件提供售后服务方案，并针对免费维保期满后的年服务费率进行报价承诺，原则上不超过中标总金额的10%。</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中标人的违约责任：1.中标人不能按期交货的，每逾期1日，中标人应向采购人赔付合同金额的1%作为违约金。 2.中标人所交货物不符合国家法律法规和合同规定的，采购人有权拒收，并由中标人承担一切费用。采购人的违约责任：采购人无正当理由拒绝接货的，应当承担由此对中标人造成的损失。按合同约定执行。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1.为顺利推进政府采购电子化交易平台应用工作，投标人需要在线提交所有通过电子化交易平台实施的政府采购项目的投标文件，同时，线下提交纸质投标文件正本壹份、副本壹份。 2.纸质投标文件正、副本分别胶装，标明投标人名称密封递交，线下递交截止时间同在线递交投标电子文件截止时间一致，线下递交地址：西安市和平路108号佳腾大厦七楼。 3.若线上电子投标文件与纸质投标文件不一致的，以线上电子投标文件为准；若正本和副本不符，以正本为准。4.本项目落实政府采购政策：（1）《关于在政府采购活动中查询及使用信用记录有关问题的通知》（财库〔2016〕125号）。（2）《政府采购促进中小企业发展管理办法》（财库〔2020〕46号）、《关于进一步加大政府采购支持中小企业力度的通知》（财库〔2022〕19号）、《陕西省财政厅关于进一步加大政府采购支持中小企业力度的通知》（陕财办采〔2022〕5号）、《关于政府采购支持监狱企业发展有关问题的通知》（财库〔2014〕68号）以及《关于促进残疾人就业政府采购政策的通知》（财库〔2017〕141号）。（3）《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4）《财政部 农业农村部 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5）《陕西省财政厅关于加快推进我省中小企业政府采购信用融资工作的通知》（陕财办采〔2020〕15号）、陕西省财政厅关于印发《陕西省中小企业政府采购信用融资办法》（陕财办采〔2018〕23号）。（6）其他需要落实的政府采购政策（如有最新颁布的政府采购政策，按最新的文件执行）。5.本项目采购预算为1120000.00元（其中包含75000元的接口固定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至少包括资产负债表、利润表，成立时间至提交投标文件截止时间不足一年的可提供成立后任意时段的资产负债表），或其开标前六个月内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8月至今任意一个月的依法缴纳税收的相关凭据（时间以税款所属日期为准、税种须包含增值税或企业所得税），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提供2024年8月至今已缴存的至少一个月的社会保障资金缴存单据或社保机构开具的社会保险参保缴费情况证明，依法不需要缴纳社会保障资金的单位应提供相关证明材料。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法定代表人授权书及被授权人身份证复印件。（法定代表人直接投标须提交法定代表人身份证明书及身份证原件，被授权人参与投标的需提供投标人为其缴纳的2024年8月至今任意一个月的社保证明材料）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本项目不接受联合体参与。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按招标文件要求签署、盖章的</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报价超过招标文件中规定的最高限价的</w:t>
            </w:r>
          </w:p>
        </w:tc>
        <w:tc>
          <w:tcPr>
            <w:tcW w:type="dxa" w:w="3322"/>
          </w:tcPr>
          <w:p>
            <w:pPr>
              <w:pStyle w:val="null3"/>
            </w:pPr>
            <w:r>
              <w:rPr>
                <w:rFonts w:ascii="仿宋_GB2312" w:hAnsi="仿宋_GB2312" w:cs="仿宋_GB2312" w:eastAsia="仿宋_GB2312"/>
              </w:rPr>
              <w:t>报价超过招标文件中规定的最高限价和单价限价的</w:t>
            </w:r>
          </w:p>
        </w:tc>
        <w:tc>
          <w:tcPr>
            <w:tcW w:type="dxa" w:w="1661"/>
          </w:tcPr>
          <w:p>
            <w:pPr>
              <w:pStyle w:val="null3"/>
            </w:pPr>
            <w:r>
              <w:rPr>
                <w:rFonts w:ascii="仿宋_GB2312" w:hAnsi="仿宋_GB2312" w:cs="仿宋_GB2312" w:eastAsia="仿宋_GB2312"/>
              </w:rPr>
              <w:t>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“★”参数条款</w:t>
            </w:r>
          </w:p>
        </w:tc>
        <w:tc>
          <w:tcPr>
            <w:tcW w:type="dxa" w:w="3322"/>
          </w:tcPr>
          <w:p>
            <w:pPr>
              <w:pStyle w:val="null3"/>
            </w:pPr>
            <w:r>
              <w:rPr>
                <w:rFonts w:ascii="仿宋_GB2312" w:hAnsi="仿宋_GB2312" w:cs="仿宋_GB2312" w:eastAsia="仿宋_GB2312"/>
              </w:rPr>
              <w:t>参数需求带“★”的参数需求为实质性要求，投标人响应并满足参数需求，必须提供佐证材料，佐证材料包括但不限于资质证书或其他证明材料或承诺书等。</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未发现法律、法规和招标文件规定的其他无效情形</w:t>
            </w:r>
          </w:p>
        </w:tc>
        <w:tc>
          <w:tcPr>
            <w:tcW w:type="dxa" w:w="1661"/>
          </w:tcPr>
          <w:p>
            <w:pPr>
              <w:pStyle w:val="null3"/>
            </w:pPr>
            <w:r>
              <w:rPr>
                <w:rFonts w:ascii="仿宋_GB2312" w:hAnsi="仿宋_GB2312" w:cs="仿宋_GB2312" w:eastAsia="仿宋_GB2312"/>
              </w:rPr>
              <w:t>开标一览表 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不同投标人的投标文件是否由同一单位或者个人编制</w:t>
            </w:r>
          </w:p>
        </w:tc>
        <w:tc>
          <w:tcPr>
            <w:tcW w:type="dxa" w:w="3322"/>
          </w:tcPr>
          <w:p>
            <w:pPr>
              <w:pStyle w:val="null3"/>
            </w:pPr>
            <w:r>
              <w:rPr>
                <w:rFonts w:ascii="仿宋_GB2312" w:hAnsi="仿宋_GB2312" w:cs="仿宋_GB2312" w:eastAsia="仿宋_GB2312"/>
              </w:rPr>
              <w:t>不同投标人的投标文件不是由同一单位或者个人编制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不同投标人是否委托同一单位或者个人办理投标事宜</w:t>
            </w:r>
          </w:p>
        </w:tc>
        <w:tc>
          <w:tcPr>
            <w:tcW w:type="dxa" w:w="3322"/>
          </w:tcPr>
          <w:p>
            <w:pPr>
              <w:pStyle w:val="null3"/>
            </w:pPr>
            <w:r>
              <w:rPr>
                <w:rFonts w:ascii="仿宋_GB2312" w:hAnsi="仿宋_GB2312" w:cs="仿宋_GB2312" w:eastAsia="仿宋_GB2312"/>
              </w:rPr>
              <w:t>不同投标人不是委托同一单位或者个人办理投标事宜</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不同投标人的投标文件载明的项目管理成员或者联系人员是否为同一人</w:t>
            </w:r>
          </w:p>
        </w:tc>
        <w:tc>
          <w:tcPr>
            <w:tcW w:type="dxa" w:w="3322"/>
          </w:tcPr>
          <w:p>
            <w:pPr>
              <w:pStyle w:val="null3"/>
            </w:pPr>
            <w:r>
              <w:rPr>
                <w:rFonts w:ascii="仿宋_GB2312" w:hAnsi="仿宋_GB2312" w:cs="仿宋_GB2312" w:eastAsia="仿宋_GB2312"/>
              </w:rPr>
              <w:t>不同投标人的投标文件载明的项目管理成员或者联系人员不是为同一人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不同投标人的投标文件是否异常一致或者投标报价呈规律性差异</w:t>
            </w:r>
          </w:p>
        </w:tc>
        <w:tc>
          <w:tcPr>
            <w:tcW w:type="dxa" w:w="3322"/>
          </w:tcPr>
          <w:p>
            <w:pPr>
              <w:pStyle w:val="null3"/>
            </w:pPr>
            <w:r>
              <w:rPr>
                <w:rFonts w:ascii="仿宋_GB2312" w:hAnsi="仿宋_GB2312" w:cs="仿宋_GB2312" w:eastAsia="仿宋_GB2312"/>
              </w:rPr>
              <w:t>不同投标人的投标文件未发现异常一致或者投标报价呈规律性差异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是否缴纳保证金且不同投标人的投标保证金是否由一单位或者个人出具</w:t>
            </w:r>
          </w:p>
        </w:tc>
        <w:tc>
          <w:tcPr>
            <w:tcW w:type="dxa" w:w="3322"/>
          </w:tcPr>
          <w:p>
            <w:pPr>
              <w:pStyle w:val="null3"/>
            </w:pPr>
            <w:r>
              <w:rPr>
                <w:rFonts w:ascii="仿宋_GB2312" w:hAnsi="仿宋_GB2312" w:cs="仿宋_GB2312" w:eastAsia="仿宋_GB2312"/>
              </w:rPr>
              <w:t>已缴纳且不同投标人的投标保证金不是由一单位或者个人出具</w:t>
            </w:r>
          </w:p>
        </w:tc>
        <w:tc>
          <w:tcPr>
            <w:tcW w:type="dxa" w:w="1661"/>
          </w:tcPr>
          <w:p>
            <w:pPr>
              <w:pStyle w:val="null3"/>
            </w:pPr>
            <w:r>
              <w:rPr>
                <w:rFonts w:ascii="仿宋_GB2312" w:hAnsi="仿宋_GB2312" w:cs="仿宋_GB2312" w:eastAsia="仿宋_GB2312"/>
              </w:rPr>
              <w:t>投标保证金缴纳凭证</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不同投标人的投标文件是否相互混装</w:t>
            </w:r>
          </w:p>
        </w:tc>
        <w:tc>
          <w:tcPr>
            <w:tcW w:type="dxa" w:w="3322"/>
          </w:tcPr>
          <w:p>
            <w:pPr>
              <w:pStyle w:val="null3"/>
            </w:pPr>
            <w:r>
              <w:rPr>
                <w:rFonts w:ascii="仿宋_GB2312" w:hAnsi="仿宋_GB2312" w:cs="仿宋_GB2312" w:eastAsia="仿宋_GB2312"/>
              </w:rPr>
              <w:t>不同投标人的投标文件是否相互混装</w:t>
            </w:r>
          </w:p>
        </w:tc>
        <w:tc>
          <w:tcPr>
            <w:tcW w:type="dxa" w:w="1661"/>
          </w:tcPr>
          <w:p>
            <w:pPr>
              <w:pStyle w:val="null3"/>
            </w:pPr>
            <w:r>
              <w:rPr>
                <w:rFonts w:ascii="仿宋_GB2312" w:hAnsi="仿宋_GB2312" w:cs="仿宋_GB2312" w:eastAsia="仿宋_GB2312"/>
              </w:rPr>
              <w:t>投标函 投标人认为有必要说明的问题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系统设计方案</w:t>
            </w:r>
          </w:p>
        </w:tc>
        <w:tc>
          <w:tcPr>
            <w:tcW w:type="dxa" w:w="2492"/>
          </w:tcPr>
          <w:p>
            <w:pPr>
              <w:pStyle w:val="null3"/>
            </w:pPr>
            <w:r>
              <w:rPr>
                <w:rFonts w:ascii="仿宋_GB2312" w:hAnsi="仿宋_GB2312" w:cs="仿宋_GB2312" w:eastAsia="仿宋_GB2312"/>
              </w:rPr>
              <w:t>针对本项目提供具体可行的系统设计方案，包括但不限于总体设计的全面性、整体技术和架构的先进性、开放性，考察方案是否可行并具备可落地性、可扩展性，后续升级扩容的便捷性等方面进行赋分。根据响应情况进行赋分，满足项目要求，无瑕疵的得10分；内容存在1处瑕疵得8分；内容存在2处瑕疵得6分；内容存在3处瑕疵得4分；内容存在4处瑕疵得2分；未提供或内容存在5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系统设计方案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针对本项目提供具体可行的实施方案，包括但不限于实施方案的科学性、合理性、规范性和可操作性，包括软件开发、安装调试、测试 、试运行、调优等内容，以及组织机构、工作时间进度表、工作程序和步骤、管理和协调方法、关键步骤的思路和要点等，根据响应情况进行赋分，满足项目要求，无瑕疵的得8分；内容存在1处瑕疵得5分；内容存在2处瑕疵得3分；内容存在3处瑕疵得1分； 未提供或内容存在4处及以上瑕疵得0分。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w:t>
            </w:r>
          </w:p>
        </w:tc>
      </w:tr>
      <w:tr>
        <w:tc>
          <w:tcPr>
            <w:tcW w:type="dxa" w:w="831"/>
            <w:vMerge/>
          </w:tcPr>
          <w:p/>
        </w:tc>
        <w:tc>
          <w:tcPr>
            <w:tcW w:type="dxa" w:w="1661"/>
          </w:tcPr>
          <w:p>
            <w:pPr>
              <w:pStyle w:val="null3"/>
            </w:pPr>
            <w:r>
              <w:rPr>
                <w:rFonts w:ascii="仿宋_GB2312" w:hAnsi="仿宋_GB2312" w:cs="仿宋_GB2312" w:eastAsia="仿宋_GB2312"/>
              </w:rPr>
              <w:t>功能模板响应</w:t>
            </w:r>
          </w:p>
        </w:tc>
        <w:tc>
          <w:tcPr>
            <w:tcW w:type="dxa" w:w="2492"/>
          </w:tcPr>
          <w:p>
            <w:pPr>
              <w:pStyle w:val="null3"/>
            </w:pPr>
            <w:r>
              <w:rPr>
                <w:rFonts w:ascii="仿宋_GB2312" w:hAnsi="仿宋_GB2312" w:cs="仿宋_GB2312" w:eastAsia="仿宋_GB2312"/>
              </w:rPr>
              <w:t>根据响应情况进行赋分，技术参数响应要求提供清晰的系统截图并加盖公章。 投标人技术参数完全满足或优于招标文件要求并提供加盖公章的清晰截图的，得满分8分；技术参数低于招标文件要求或未提供加盖公章的系统截图的即为负偏离，每项负偏离扣1分，存在5处及以上负偏离得零分。（除“★”参数之外）</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功能模板响应</w:t>
            </w:r>
          </w:p>
        </w:tc>
      </w:tr>
      <w:tr>
        <w:tc>
          <w:tcPr>
            <w:tcW w:type="dxa" w:w="831"/>
            <w:vMerge/>
          </w:tcPr>
          <w:p/>
        </w:tc>
        <w:tc>
          <w:tcPr>
            <w:tcW w:type="dxa" w:w="1661"/>
          </w:tcPr>
          <w:p>
            <w:pPr>
              <w:pStyle w:val="null3"/>
            </w:pPr>
            <w:r>
              <w:rPr>
                <w:rFonts w:ascii="仿宋_GB2312" w:hAnsi="仿宋_GB2312" w:cs="仿宋_GB2312" w:eastAsia="仿宋_GB2312"/>
              </w:rPr>
              <w:t>系统演示</w:t>
            </w:r>
          </w:p>
        </w:tc>
        <w:tc>
          <w:tcPr>
            <w:tcW w:type="dxa" w:w="2492"/>
          </w:tcPr>
          <w:p>
            <w:pPr>
              <w:pStyle w:val="null3"/>
            </w:pPr>
            <w:r>
              <w:rPr>
                <w:rFonts w:ascii="仿宋_GB2312" w:hAnsi="仿宋_GB2312" w:cs="仿宋_GB2312" w:eastAsia="仿宋_GB2312"/>
              </w:rPr>
              <w:t>投标人须使用真实环境下的系统进行现场演示，演示时长不超过10分钟。演示内容包含：医师档案信息、手术分级授权、新技术、新项目、投诉纠纷管理、医疗质量安全核心制度落实情况监测五大模块，从演示流畅度、系统操作便捷性、界面设计合理性、功能完整性等方面进行综合评价。根据响应情况进行赋分，满足项目要求，无瑕疵的得10分；内容存在1处瑕疵得8分；内容存在2处瑕疵得6分；内容存在3处瑕疵得4分； 内容存在4处瑕疵得2分； 未提供或内容存在5处及以上瑕疵得0分。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重要说明：1.投标人须将演示的视频用U盘形式密封（至少两份，损坏自负）在开标前交到西安市和平路108号佳腾大厦七层；2.投标人演示人员须在演示环节开始后(演示环节开始后30分钟内未到场视为放弃演示)在西安市和平路108号佳腾大厦七层按照招标文件要求进行现场操作演示，演示形式不接受采用ppt、截图等代替所投产品进行演示，同时供应商自行负责演示所必须的电脑、投屏转接头等，否则相关不利风险由供应商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系统演示</w:t>
            </w:r>
          </w:p>
        </w:tc>
      </w:tr>
      <w:tr>
        <w:tc>
          <w:tcPr>
            <w:tcW w:type="dxa" w:w="831"/>
            <w:vMerge/>
          </w:tcPr>
          <w:p/>
        </w:tc>
        <w:tc>
          <w:tcPr>
            <w:tcW w:type="dxa" w:w="1661"/>
          </w:tcPr>
          <w:p>
            <w:pPr>
              <w:pStyle w:val="null3"/>
            </w:pPr>
            <w:r>
              <w:rPr>
                <w:rFonts w:ascii="仿宋_GB2312" w:hAnsi="仿宋_GB2312" w:cs="仿宋_GB2312" w:eastAsia="仿宋_GB2312"/>
              </w:rPr>
              <w:t>项目实施团队</w:t>
            </w:r>
          </w:p>
        </w:tc>
        <w:tc>
          <w:tcPr>
            <w:tcW w:type="dxa" w:w="2492"/>
          </w:tcPr>
          <w:p>
            <w:pPr>
              <w:pStyle w:val="null3"/>
            </w:pPr>
            <w:r>
              <w:rPr>
                <w:rFonts w:ascii="仿宋_GB2312" w:hAnsi="仿宋_GB2312" w:cs="仿宋_GB2312" w:eastAsia="仿宋_GB2312"/>
              </w:rPr>
              <w:t>1.拟派项目经理：具有类似项目2年及以上相关从业经验，得3分，未提供不得分。（提供相关佐证材料）； 2、项目实施团队：需具有信息系统项目管理师(PHP或软考的信息系统管理师)1人、系统分析师1人、系统架构师1人、信息安全工程师1人，每满足1人计1分，以上人员不重复计分，总计4分。提供实施团队人员名单和资格证书复印件并加盖公章（未提供资格证书的不得分），须包含但不限于需求调研，软件研发，测试、管理等角色。 备注：提供以上人员有效的技术能力、相关经验证明材料及2025年1月至今任意三个月社会保障资金缴纳证明，相关经验所提供材料必须真实、可信，如未完整提供不计分，虚假提供的取消投标资格。</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项目实施团队</w:t>
            </w:r>
          </w:p>
        </w:tc>
      </w:tr>
      <w:tr>
        <w:tc>
          <w:tcPr>
            <w:tcW w:type="dxa" w:w="831"/>
            <w:vMerge/>
          </w:tcPr>
          <w:p/>
        </w:tc>
        <w:tc>
          <w:tcPr>
            <w:tcW w:type="dxa" w:w="1661"/>
          </w:tcPr>
          <w:p>
            <w:pPr>
              <w:pStyle w:val="null3"/>
            </w:pPr>
            <w:r>
              <w:rPr>
                <w:rFonts w:ascii="仿宋_GB2312" w:hAnsi="仿宋_GB2312" w:cs="仿宋_GB2312" w:eastAsia="仿宋_GB2312"/>
              </w:rPr>
              <w:t>交付方案</w:t>
            </w:r>
          </w:p>
        </w:tc>
        <w:tc>
          <w:tcPr>
            <w:tcW w:type="dxa" w:w="2492"/>
          </w:tcPr>
          <w:p>
            <w:pPr>
              <w:pStyle w:val="null3"/>
            </w:pPr>
            <w:r>
              <w:rPr>
                <w:rFonts w:ascii="仿宋_GB2312" w:hAnsi="仿宋_GB2312" w:cs="仿宋_GB2312" w:eastAsia="仿宋_GB2312"/>
              </w:rPr>
              <w:t>针对投标人提供的交付方案（包括但不限于交付标准、交付成果、验收方式、验收结论）进行综合评价。根据响应情况进行赋分，满足项目要求，无瑕疵的得5分；内容存在1处瑕疵得3分；内容存在2处瑕疵得1分； 未提供或内容存在3处及以上瑕疵得0分。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交付方案</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投标人提供完整的培训方案，能够针对不同的系统使用角色提供不同的培训课程内容和计划。根据响应情况进行赋分，满足项目要求，无瑕疵的得3分；内容存在1处瑕疵得2分；内容存在2处瑕疵得1分； 未提供或内容存在3处及以上瑕疵得0分。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投标人针对本项目有明确的售后服务措施，项目质保期内提供包括但不限于售后服务内容、服务流程、各类故障解决响应时间、服务方式等内容： 根据响应情况进行赋分，满足项目要求，无瑕疵的得4分；内容存在1处瑕疵得3分；内容存在2处瑕疵得2分；未提供或内容存在3处及以上瑕疵得0分。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w:t>
            </w:r>
          </w:p>
        </w:tc>
      </w:tr>
      <w:tr>
        <w:tc>
          <w:tcPr>
            <w:tcW w:type="dxa" w:w="831"/>
            <w:vMerge/>
          </w:tcPr>
          <w:p/>
        </w:tc>
        <w:tc>
          <w:tcPr>
            <w:tcW w:type="dxa" w:w="1661"/>
          </w:tcPr>
          <w:p>
            <w:pPr>
              <w:pStyle w:val="null3"/>
            </w:pPr>
            <w:r>
              <w:rPr>
                <w:rFonts w:ascii="仿宋_GB2312" w:hAnsi="仿宋_GB2312" w:cs="仿宋_GB2312" w:eastAsia="仿宋_GB2312"/>
              </w:rPr>
              <w:t>认证证书</w:t>
            </w:r>
          </w:p>
        </w:tc>
        <w:tc>
          <w:tcPr>
            <w:tcW w:type="dxa" w:w="2492"/>
          </w:tcPr>
          <w:p>
            <w:pPr>
              <w:pStyle w:val="null3"/>
            </w:pPr>
            <w:r>
              <w:rPr>
                <w:rFonts w:ascii="仿宋_GB2312" w:hAnsi="仿宋_GB2312" w:cs="仿宋_GB2312" w:eastAsia="仿宋_GB2312"/>
              </w:rPr>
              <w:t>（1）具有有效的CMMI软件成熟度认证证书（5级）、ISO9001质量管理体系认证证书、ISO20000信息技术服务管理体系认证证书计、ISO27001信息安全管理体系认证证书、ITSS信息技术服务运行维护标准（三级或以上）证书。以上资质证书提供齐全计2分，少提供一个扣0.4分，扣完为止。 （2）投标人具有与本项目相关系统的软件著作权登记证书，需提供证书复印件并加盖公章，每提供一个得0.5分，最高得2分，未提供不得分。 （3）投标人具有公安机关颁发的信息安全等级保护三级备案证书，同时具有网络安全等级保护测评报告，提供证书复印件并加盖公章得2分，未提供不得分，备案证书与测评报告缺任何一项不得分。 （4）投标人提供的与本项目相关的系统能满足“信创”国产化要求，具有国产化技术认证证书：1）国产服务器、2）国产服务器操作系统、3）国产数据库、4）国产中间件，需提供证书复印件并加盖公章，每提供一个得0.5分，最高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认证证书</w:t>
            </w:r>
          </w:p>
        </w:tc>
      </w:tr>
      <w:tr>
        <w:tc>
          <w:tcPr>
            <w:tcW w:type="dxa" w:w="831"/>
            <w:vMerge/>
          </w:tcPr>
          <w:p/>
        </w:tc>
        <w:tc>
          <w:tcPr>
            <w:tcW w:type="dxa" w:w="1661"/>
          </w:tcPr>
          <w:p>
            <w:pPr>
              <w:pStyle w:val="null3"/>
            </w:pPr>
            <w:r>
              <w:rPr>
                <w:rFonts w:ascii="仿宋_GB2312" w:hAnsi="仿宋_GB2312" w:cs="仿宋_GB2312" w:eastAsia="仿宋_GB2312"/>
              </w:rPr>
              <w:t>后期服务费</w:t>
            </w:r>
          </w:p>
        </w:tc>
        <w:tc>
          <w:tcPr>
            <w:tcW w:type="dxa" w:w="2492"/>
          </w:tcPr>
          <w:p>
            <w:pPr>
              <w:pStyle w:val="null3"/>
            </w:pPr>
            <w:r>
              <w:rPr>
                <w:rFonts w:ascii="仿宋_GB2312" w:hAnsi="仿宋_GB2312" w:cs="仿宋_GB2312" w:eastAsia="仿宋_GB2312"/>
              </w:rPr>
              <w:t>各投标人根据项目建设情况及医疗软件项目行业现状，以每年不超过投标金额的10%对项目质保期满后的服务费进行报价，按报价比例赋分。投标金额的10%不得分，投标金额的9%计0.5分，投标金额的8%计1分；投标金额的7%计1.5分，投标金额的6%计2分，投标金额的5%计3分，最高得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后期服务费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2023年1月1日至今）提供与本项目内容同类型项目业绩证明文件，每提供1份得1分，最高得4分。投标人须提供项目案例的中标通知书、合同以及验收报告，相关证明文件资料原件的复印件并加盖公章（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详见附件：投标保证金缴纳凭证</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详见附件：系统设计方案</w:t>
      </w:r>
    </w:p>
    <w:p>
      <w:pPr>
        <w:pStyle w:val="null3"/>
        <w:ind w:firstLine="960"/>
      </w:pPr>
      <w:r>
        <w:rPr>
          <w:rFonts w:ascii="仿宋_GB2312" w:hAnsi="仿宋_GB2312" w:cs="仿宋_GB2312" w:eastAsia="仿宋_GB2312"/>
        </w:rPr>
        <w:t>详见附件：实施方案</w:t>
      </w:r>
    </w:p>
    <w:p>
      <w:pPr>
        <w:pStyle w:val="null3"/>
        <w:ind w:firstLine="960"/>
      </w:pPr>
      <w:r>
        <w:rPr>
          <w:rFonts w:ascii="仿宋_GB2312" w:hAnsi="仿宋_GB2312" w:cs="仿宋_GB2312" w:eastAsia="仿宋_GB2312"/>
        </w:rPr>
        <w:t>详见附件：功能模板响应</w:t>
      </w:r>
    </w:p>
    <w:p>
      <w:pPr>
        <w:pStyle w:val="null3"/>
        <w:ind w:firstLine="960"/>
      </w:pPr>
      <w:r>
        <w:rPr>
          <w:rFonts w:ascii="仿宋_GB2312" w:hAnsi="仿宋_GB2312" w:cs="仿宋_GB2312" w:eastAsia="仿宋_GB2312"/>
        </w:rPr>
        <w:t>详见附件：系统演示</w:t>
      </w:r>
    </w:p>
    <w:p>
      <w:pPr>
        <w:pStyle w:val="null3"/>
        <w:ind w:firstLine="960"/>
      </w:pPr>
      <w:r>
        <w:rPr>
          <w:rFonts w:ascii="仿宋_GB2312" w:hAnsi="仿宋_GB2312" w:cs="仿宋_GB2312" w:eastAsia="仿宋_GB2312"/>
        </w:rPr>
        <w:t>详见附件：项目实施团队</w:t>
      </w:r>
    </w:p>
    <w:p>
      <w:pPr>
        <w:pStyle w:val="null3"/>
        <w:ind w:firstLine="960"/>
      </w:pPr>
      <w:r>
        <w:rPr>
          <w:rFonts w:ascii="仿宋_GB2312" w:hAnsi="仿宋_GB2312" w:cs="仿宋_GB2312" w:eastAsia="仿宋_GB2312"/>
        </w:rPr>
        <w:t>详见附件：交付方案</w:t>
      </w:r>
    </w:p>
    <w:p>
      <w:pPr>
        <w:pStyle w:val="null3"/>
        <w:ind w:firstLine="960"/>
      </w:pPr>
      <w:r>
        <w:rPr>
          <w:rFonts w:ascii="仿宋_GB2312" w:hAnsi="仿宋_GB2312" w:cs="仿宋_GB2312" w:eastAsia="仿宋_GB2312"/>
        </w:rPr>
        <w:t>详见附件：培训服务方案</w:t>
      </w:r>
    </w:p>
    <w:p>
      <w:pPr>
        <w:pStyle w:val="null3"/>
        <w:ind w:firstLine="960"/>
      </w:pPr>
      <w:r>
        <w:rPr>
          <w:rFonts w:ascii="仿宋_GB2312" w:hAnsi="仿宋_GB2312" w:cs="仿宋_GB2312" w:eastAsia="仿宋_GB2312"/>
        </w:rPr>
        <w:t>详见附件：售后服务方案</w:t>
      </w:r>
    </w:p>
    <w:p>
      <w:pPr>
        <w:pStyle w:val="null3"/>
        <w:ind w:firstLine="960"/>
      </w:pPr>
      <w:r>
        <w:rPr>
          <w:rFonts w:ascii="仿宋_GB2312" w:hAnsi="仿宋_GB2312" w:cs="仿宋_GB2312" w:eastAsia="仿宋_GB2312"/>
        </w:rPr>
        <w:t>详见附件：认证证书</w:t>
      </w:r>
    </w:p>
    <w:p>
      <w:pPr>
        <w:pStyle w:val="null3"/>
        <w:ind w:firstLine="960"/>
      </w:pPr>
      <w:r>
        <w:rPr>
          <w:rFonts w:ascii="仿宋_GB2312" w:hAnsi="仿宋_GB2312" w:cs="仿宋_GB2312" w:eastAsia="仿宋_GB2312"/>
        </w:rPr>
        <w:t>详见附件：后期服务费</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详见附件：投标人认为有必要说明的问题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