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E777E">
      <w:pPr>
        <w:jc w:val="center"/>
        <w:rPr>
          <w:rFonts w:hint="eastAsia" w:ascii="华文中宋" w:hAnsi="华文中宋" w:eastAsia="华文中宋"/>
          <w:b/>
          <w:bCs/>
          <w:color w:val="000000"/>
          <w:kern w:val="0"/>
          <w:sz w:val="48"/>
          <w:szCs w:val="48"/>
          <w:lang w:eastAsia="zh-CN"/>
        </w:rPr>
      </w:pPr>
    </w:p>
    <w:p w14:paraId="44EDC691">
      <w:pPr>
        <w:pStyle w:val="12"/>
        <w:rPr>
          <w:rFonts w:hint="eastAsia" w:ascii="华文中宋" w:hAnsi="华文中宋" w:eastAsia="华文中宋"/>
          <w:b/>
          <w:bCs/>
          <w:color w:val="000000"/>
          <w:kern w:val="0"/>
          <w:sz w:val="48"/>
          <w:szCs w:val="48"/>
          <w:lang w:eastAsia="zh-CN"/>
        </w:rPr>
      </w:pPr>
    </w:p>
    <w:p w14:paraId="367C71F6">
      <w:pPr>
        <w:jc w:val="center"/>
        <w:rPr>
          <w:rFonts w:hint="default" w:ascii="华文中宋" w:hAnsi="华文中宋" w:eastAsia="华文中宋" w:cs="Times New Roman"/>
          <w:b/>
          <w:bCs/>
          <w:color w:val="000000"/>
          <w:kern w:val="0"/>
          <w:sz w:val="52"/>
          <w:szCs w:val="52"/>
          <w:lang w:val="en-US" w:eastAsia="zh-CN"/>
        </w:rPr>
      </w:pPr>
      <w:r>
        <w:rPr>
          <w:rFonts w:hint="eastAsia" w:ascii="华文中宋" w:hAnsi="华文中宋" w:eastAsia="华文中宋"/>
          <w:b/>
          <w:bCs/>
          <w:color w:val="000000"/>
          <w:kern w:val="0"/>
          <w:sz w:val="52"/>
          <w:szCs w:val="52"/>
          <w:lang w:val="en-US" w:eastAsia="zh-CN"/>
        </w:rPr>
        <w:t>基 础 设 施 服 务 项 目</w:t>
      </w:r>
    </w:p>
    <w:p w14:paraId="65C13CC3">
      <w:pPr>
        <w:pStyle w:val="13"/>
        <w:rPr>
          <w:rFonts w:hint="eastAsia"/>
          <w:lang w:eastAsia="zh-CN"/>
        </w:rPr>
      </w:pPr>
    </w:p>
    <w:p w14:paraId="6AA8E2DF">
      <w:pPr>
        <w:rPr>
          <w:rFonts w:hint="eastAsia"/>
          <w:lang w:eastAsia="zh-CN"/>
        </w:rPr>
      </w:pPr>
    </w:p>
    <w:p w14:paraId="370E8A75">
      <w:pPr>
        <w:jc w:val="center"/>
        <w:rPr>
          <w:rFonts w:hint="default" w:ascii="华文中宋" w:hAnsi="华文中宋" w:eastAsia="华文中宋" w:cs="Times New Roman"/>
          <w:b/>
          <w:bCs/>
          <w:color w:val="000000"/>
          <w:kern w:val="0"/>
          <w:sz w:val="72"/>
          <w:szCs w:val="72"/>
          <w:lang w:val="en-US" w:eastAsia="zh-CN"/>
        </w:rPr>
      </w:pPr>
      <w:r>
        <w:rPr>
          <w:rFonts w:hint="eastAsia" w:ascii="华文中宋" w:hAnsi="华文中宋" w:eastAsia="华文中宋" w:cs="Times New Roman"/>
          <w:b/>
          <w:bCs/>
          <w:color w:val="000000"/>
          <w:kern w:val="0"/>
          <w:sz w:val="72"/>
          <w:szCs w:val="72"/>
          <w:lang w:val="en-US" w:eastAsia="zh-CN"/>
        </w:rPr>
        <w:t>合 同 书</w:t>
      </w:r>
    </w:p>
    <w:p w14:paraId="1A946F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华文中宋" w:hAnsi="华文中宋" w:eastAsia="华文中宋" w:cs="Times New Roman"/>
          <w:color w:val="000000"/>
          <w:kern w:val="0"/>
          <w:sz w:val="52"/>
          <w:szCs w:val="52"/>
        </w:rPr>
      </w:pPr>
    </w:p>
    <w:p w14:paraId="6DAE1147">
      <w:pPr>
        <w:pStyle w:val="13"/>
        <w:rPr>
          <w:rFonts w:hint="eastAsia" w:ascii="华文中宋" w:hAnsi="华文中宋" w:eastAsia="华文中宋" w:cs="Times New Roman"/>
          <w:color w:val="000000"/>
          <w:kern w:val="0"/>
          <w:sz w:val="52"/>
          <w:szCs w:val="52"/>
        </w:rPr>
      </w:pPr>
    </w:p>
    <w:p w14:paraId="563557A4">
      <w:pPr>
        <w:rPr>
          <w:rFonts w:hint="eastAsia" w:ascii="华文中宋" w:hAnsi="华文中宋" w:eastAsia="华文中宋" w:cs="Times New Roman"/>
          <w:color w:val="000000"/>
          <w:kern w:val="0"/>
          <w:sz w:val="52"/>
          <w:szCs w:val="52"/>
        </w:rPr>
      </w:pPr>
    </w:p>
    <w:p w14:paraId="048B8B10">
      <w:pPr>
        <w:rPr>
          <w:rFonts w:hint="eastAsia" w:ascii="华文中宋" w:hAnsi="华文中宋" w:eastAsia="华文中宋" w:cs="Times New Roman"/>
          <w:color w:val="000000"/>
          <w:kern w:val="0"/>
          <w:sz w:val="52"/>
          <w:szCs w:val="52"/>
        </w:rPr>
      </w:pPr>
    </w:p>
    <w:p w14:paraId="3920E041">
      <w:pPr>
        <w:spacing w:line="660" w:lineRule="exact"/>
        <w:ind w:firstLine="1760" w:firstLineChars="550"/>
        <w:rPr>
          <w:rFonts w:hint="default"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项目编号：SNJZ-2025-143</w:t>
      </w:r>
    </w:p>
    <w:p w14:paraId="0358D7F0">
      <w:pPr>
        <w:spacing w:line="660" w:lineRule="exact"/>
        <w:ind w:firstLine="1760" w:firstLineChars="550"/>
        <w:rPr>
          <w:rFonts w:hint="eastAsia" w:ascii="华文中宋" w:hAnsi="华文中宋" w:eastAsia="华文中宋"/>
          <w:color w:val="000000"/>
          <w:kern w:val="0"/>
          <w:sz w:val="32"/>
          <w:szCs w:val="32"/>
          <w:lang w:eastAsia="zh-CN"/>
        </w:rPr>
      </w:pPr>
      <w:r>
        <w:rPr>
          <w:rFonts w:hint="eastAsia" w:ascii="华文中宋" w:hAnsi="华文中宋" w:eastAsia="华文中宋"/>
          <w:color w:val="000000"/>
          <w:kern w:val="0"/>
          <w:sz w:val="32"/>
          <w:szCs w:val="32"/>
        </w:rPr>
        <w:t>甲    方：</w:t>
      </w:r>
      <w:r>
        <w:rPr>
          <w:rFonts w:hint="eastAsia" w:ascii="华文中宋" w:hAnsi="华文中宋" w:eastAsia="华文中宋"/>
          <w:color w:val="000000"/>
          <w:kern w:val="0"/>
          <w:sz w:val="32"/>
          <w:szCs w:val="32"/>
          <w:lang w:eastAsia="zh-CN"/>
        </w:rPr>
        <w:t>陕西省政务</w:t>
      </w:r>
      <w:r>
        <w:rPr>
          <w:rFonts w:hint="eastAsia" w:ascii="华文中宋" w:hAnsi="华文中宋" w:eastAsia="华文中宋"/>
          <w:color w:val="000000"/>
          <w:kern w:val="0"/>
          <w:sz w:val="32"/>
          <w:szCs w:val="32"/>
          <w:lang w:val="en-US" w:eastAsia="zh-CN"/>
        </w:rPr>
        <w:t>大数据</w:t>
      </w:r>
      <w:r>
        <w:rPr>
          <w:rFonts w:hint="eastAsia" w:ascii="华文中宋" w:hAnsi="华文中宋" w:eastAsia="华文中宋"/>
          <w:color w:val="000000"/>
          <w:kern w:val="0"/>
          <w:sz w:val="32"/>
          <w:szCs w:val="32"/>
          <w:lang w:eastAsia="zh-CN"/>
        </w:rPr>
        <w:t>服务中心</w:t>
      </w:r>
    </w:p>
    <w:p w14:paraId="12009406">
      <w:pPr>
        <w:spacing w:line="660" w:lineRule="exact"/>
        <w:ind w:firstLine="1760" w:firstLineChars="550"/>
        <w:rPr>
          <w:rFonts w:hint="eastAsia" w:ascii="华文中宋" w:hAnsi="华文中宋" w:eastAsia="华文中宋" w:cs="Times New Roman"/>
          <w:color w:val="000000"/>
          <w:kern w:val="0"/>
          <w:sz w:val="32"/>
          <w:szCs w:val="32"/>
          <w:lang w:eastAsia="zh-CN"/>
        </w:rPr>
      </w:pPr>
      <w:r>
        <w:rPr>
          <w:rFonts w:hint="eastAsia" w:ascii="华文中宋" w:hAnsi="华文中宋" w:eastAsia="华文中宋" w:cs="Times New Roman"/>
          <w:color w:val="000000"/>
          <w:kern w:val="0"/>
          <w:sz w:val="32"/>
          <w:szCs w:val="32"/>
          <w:lang w:eastAsia="zh-CN"/>
        </w:rPr>
        <w:t>乙    方：</w:t>
      </w:r>
    </w:p>
    <w:p w14:paraId="369ECF03">
      <w:pPr>
        <w:spacing w:line="660" w:lineRule="exact"/>
        <w:ind w:firstLine="1760" w:firstLineChars="550"/>
        <w:rPr>
          <w:rFonts w:hint="eastAsia"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签定地点：陕西·西安</w:t>
      </w:r>
    </w:p>
    <w:p w14:paraId="1799871A">
      <w:pPr>
        <w:spacing w:line="660" w:lineRule="exact"/>
        <w:ind w:firstLine="1760" w:firstLineChars="550"/>
        <w:rPr>
          <w:rFonts w:hint="default"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签订时间：   年   月</w:t>
      </w:r>
    </w:p>
    <w:p w14:paraId="4F8D7818">
      <w:pPr>
        <w:spacing w:line="440" w:lineRule="exact"/>
        <w:jc w:val="center"/>
        <w:rPr>
          <w:rFonts w:hint="eastAsia" w:asciiTheme="minorEastAsia" w:hAnsiTheme="minorEastAsia" w:eastAsiaTheme="minorEastAsia" w:cstheme="minorEastAsia"/>
          <w:b/>
          <w:color w:val="auto"/>
          <w:sz w:val="32"/>
          <w:szCs w:val="32"/>
          <w:highlight w:val="none"/>
        </w:rPr>
      </w:pPr>
    </w:p>
    <w:p w14:paraId="2892ACC8">
      <w:pPr>
        <w:pStyle w:val="11"/>
        <w:spacing w:line="338" w:lineRule="auto"/>
        <w:rPr>
          <w:rFonts w:ascii="仿宋" w:hAnsi="仿宋" w:eastAsia="仿宋"/>
          <w:sz w:val="24"/>
          <w:szCs w:val="24"/>
        </w:rPr>
      </w:pPr>
    </w:p>
    <w:p w14:paraId="72BE9304">
      <w:pPr>
        <w:pStyle w:val="11"/>
        <w:spacing w:line="338" w:lineRule="auto"/>
        <w:rPr>
          <w:rFonts w:ascii="仿宋" w:hAnsi="仿宋" w:eastAsia="仿宋"/>
          <w:sz w:val="24"/>
          <w:szCs w:val="24"/>
        </w:rPr>
      </w:pPr>
    </w:p>
    <w:p w14:paraId="1B35C0B1">
      <w:pPr>
        <w:spacing w:before="374" w:after="374" w:line="440" w:lineRule="exact"/>
        <w:jc w:val="center"/>
        <w:rPr>
          <w:rFonts w:ascii="仿宋" w:hAnsi="仿宋" w:eastAsia="仿宋"/>
          <w:b/>
          <w:bCs/>
          <w:color w:val="000000" w:themeColor="text1"/>
          <w:sz w:val="36"/>
          <w:szCs w:val="36"/>
          <w14:textFill>
            <w14:solidFill>
              <w14:schemeClr w14:val="tx1"/>
            </w14:solidFill>
          </w14:textFill>
        </w:rPr>
      </w:pPr>
      <w:r>
        <w:rPr>
          <w:rFonts w:hint="eastAsia" w:ascii="仿宋" w:hAnsi="仿宋" w:eastAsia="仿宋"/>
          <w:b/>
          <w:bCs/>
          <w:color w:val="000000" w:themeColor="text1"/>
          <w:sz w:val="36"/>
          <w:szCs w:val="36"/>
          <w14:textFill>
            <w14:solidFill>
              <w14:schemeClr w14:val="tx1"/>
            </w14:solidFill>
          </w14:textFill>
        </w:rPr>
        <w:t>合  同</w:t>
      </w:r>
    </w:p>
    <w:p w14:paraId="2B82F8C6">
      <w:pPr>
        <w:pStyle w:val="11"/>
        <w:spacing w:line="338" w:lineRule="auto"/>
        <w:rPr>
          <w:rFonts w:ascii="仿宋" w:hAnsi="仿宋" w:eastAsia="仿宋"/>
          <w:sz w:val="24"/>
          <w:szCs w:val="24"/>
        </w:rPr>
      </w:pPr>
    </w:p>
    <w:p w14:paraId="029BDBCF">
      <w:pPr>
        <w:pStyle w:val="11"/>
        <w:spacing w:line="338" w:lineRule="auto"/>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甲方:</w:t>
      </w:r>
      <w:r>
        <w:rPr>
          <w:rFonts w:ascii="仿宋" w:hAnsi="仿宋" w:eastAsia="仿宋"/>
          <w:color w:val="000000" w:themeColor="text1"/>
          <w:sz w:val="24"/>
          <w:szCs w:val="24"/>
          <w:lang w:eastAsia="zh-CN"/>
          <w14:textFill>
            <w14:solidFill>
              <w14:schemeClr w14:val="tx1"/>
            </w14:solidFill>
          </w14:textFill>
        </w:rPr>
        <w:t>陕西</w:t>
      </w:r>
      <w:r>
        <w:rPr>
          <w:rFonts w:hint="eastAsia" w:ascii="仿宋" w:hAnsi="仿宋" w:eastAsia="仿宋"/>
          <w:color w:val="000000" w:themeColor="text1"/>
          <w:sz w:val="24"/>
          <w:szCs w:val="24"/>
          <w:lang w:eastAsia="zh-CN"/>
          <w14:textFill>
            <w14:solidFill>
              <w14:schemeClr w14:val="tx1"/>
            </w14:solidFill>
          </w14:textFill>
        </w:rPr>
        <w:t>省政务大数据服务中心</w:t>
      </w:r>
    </w:p>
    <w:p w14:paraId="530B515D">
      <w:pPr>
        <w:pStyle w:val="11"/>
        <w:spacing w:line="338" w:lineRule="auto"/>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乙方:</w:t>
      </w:r>
    </w:p>
    <w:p w14:paraId="439841D6">
      <w:pPr>
        <w:pStyle w:val="11"/>
        <w:spacing w:line="338" w:lineRule="auto"/>
        <w:ind w:firstLine="960"/>
        <w:rPr>
          <w:rFonts w:hint="default" w:ascii="仿宋" w:hAnsi="仿宋" w:eastAsia="仿宋"/>
          <w:color w:val="auto"/>
          <w:sz w:val="24"/>
          <w:szCs w:val="24"/>
        </w:rPr>
      </w:pPr>
    </w:p>
    <w:p w14:paraId="610CE4E0">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陕西省政务大数据服务中心</w:t>
      </w:r>
      <w:r>
        <w:rPr>
          <w:rFonts w:ascii="仿宋" w:hAnsi="仿宋" w:eastAsia="仿宋"/>
          <w:color w:val="auto"/>
          <w:sz w:val="24"/>
          <w:szCs w:val="24"/>
        </w:rPr>
        <w:t>（以下简称甲方）</w:t>
      </w:r>
      <w:r>
        <w:rPr>
          <w:rFonts w:ascii="仿宋" w:hAnsi="仿宋" w:eastAsia="仿宋"/>
          <w:color w:val="auto"/>
          <w:sz w:val="24"/>
          <w:szCs w:val="24"/>
          <w:u w:val="single"/>
          <w:lang w:eastAsia="zh-CN"/>
        </w:rPr>
        <w:t>基础设施服务项目</w:t>
      </w:r>
      <w:r>
        <w:rPr>
          <w:rFonts w:ascii="仿宋" w:hAnsi="仿宋" w:eastAsia="仿宋"/>
          <w:color w:val="auto"/>
          <w:sz w:val="24"/>
          <w:szCs w:val="24"/>
          <w:lang w:eastAsia="zh-CN"/>
        </w:rPr>
        <w:t>采购</w:t>
      </w:r>
      <w:r>
        <w:rPr>
          <w:rFonts w:ascii="仿宋" w:hAnsi="仿宋" w:eastAsia="仿宋"/>
          <w:color w:val="auto"/>
          <w:sz w:val="24"/>
          <w:szCs w:val="24"/>
        </w:rPr>
        <w:t>，在</w:t>
      </w:r>
      <w:r>
        <w:rPr>
          <w:rFonts w:ascii="仿宋" w:hAnsi="仿宋" w:eastAsia="仿宋"/>
          <w:color w:val="auto"/>
          <w:sz w:val="24"/>
          <w:szCs w:val="24"/>
          <w:u w:val="single"/>
        </w:rPr>
        <w:t xml:space="preserve"> </w:t>
      </w:r>
      <w:r>
        <w:rPr>
          <w:rFonts w:ascii="仿宋" w:hAnsi="仿宋" w:eastAsia="仿宋"/>
          <w:color w:val="auto"/>
          <w:sz w:val="24"/>
          <w:szCs w:val="24"/>
          <w:u w:val="single"/>
          <w:lang w:eastAsia="zh-CN"/>
        </w:rPr>
        <w:t>陕西省财政厅</w:t>
      </w:r>
      <w:r>
        <w:rPr>
          <w:rFonts w:ascii="仿宋" w:hAnsi="仿宋" w:eastAsia="仿宋"/>
          <w:color w:val="auto"/>
          <w:sz w:val="24"/>
          <w:szCs w:val="24"/>
          <w:u w:val="single"/>
        </w:rPr>
        <w:t xml:space="preserve">  </w:t>
      </w:r>
      <w:r>
        <w:rPr>
          <w:rFonts w:ascii="仿宋" w:hAnsi="仿宋" w:eastAsia="仿宋"/>
          <w:color w:val="auto"/>
          <w:sz w:val="24"/>
          <w:szCs w:val="24"/>
        </w:rPr>
        <w:t>的监督管理下，由陕西教育招标有限责任公司组织采购，选定</w:t>
      </w:r>
      <w:r>
        <w:rPr>
          <w:rFonts w:ascii="仿宋" w:hAnsi="仿宋" w:eastAsia="仿宋"/>
          <w:color w:val="auto"/>
          <w:sz w:val="24"/>
          <w:szCs w:val="24"/>
          <w:u w:val="single"/>
        </w:rPr>
        <w:t xml:space="preserve"> </w:t>
      </w:r>
      <w:r>
        <w:rPr>
          <w:rFonts w:ascii="仿宋" w:hAnsi="仿宋" w:eastAsia="仿宋"/>
          <w:color w:val="auto"/>
          <w:sz w:val="24"/>
          <w:szCs w:val="24"/>
          <w:u w:val="single"/>
          <w:lang w:eastAsia="zh-CN"/>
        </w:rPr>
        <w:t xml:space="preserve">   </w:t>
      </w:r>
      <w:r>
        <w:rPr>
          <w:rFonts w:ascii="仿宋" w:hAnsi="仿宋" w:eastAsia="仿宋"/>
          <w:color w:val="auto"/>
          <w:sz w:val="24"/>
          <w:szCs w:val="24"/>
          <w:u w:val="single"/>
        </w:rPr>
        <w:t xml:space="preserve">         (</w:t>
      </w:r>
      <w:r>
        <w:rPr>
          <w:rFonts w:ascii="仿宋" w:hAnsi="仿宋" w:eastAsia="仿宋"/>
          <w:color w:val="auto"/>
          <w:sz w:val="24"/>
          <w:szCs w:val="24"/>
        </w:rPr>
        <w:t>以下简称乙方）为该项目</w:t>
      </w:r>
      <w:r>
        <w:rPr>
          <w:rFonts w:ascii="仿宋" w:hAnsi="仿宋" w:eastAsia="仿宋"/>
          <w:color w:val="auto"/>
          <w:sz w:val="24"/>
          <w:szCs w:val="24"/>
          <w:lang w:eastAsia="zh-CN"/>
        </w:rPr>
        <w:t>中标</w:t>
      </w:r>
      <w:r>
        <w:rPr>
          <w:rFonts w:hint="eastAsia" w:ascii="仿宋" w:hAnsi="仿宋" w:eastAsia="仿宋"/>
          <w:color w:val="auto"/>
          <w:sz w:val="24"/>
          <w:szCs w:val="24"/>
          <w:lang w:val="en-US" w:eastAsia="zh-CN"/>
        </w:rPr>
        <w:t>人</w:t>
      </w:r>
      <w:r>
        <w:rPr>
          <w:rFonts w:ascii="仿宋" w:hAnsi="仿宋" w:eastAsia="仿宋"/>
          <w:color w:val="auto"/>
          <w:sz w:val="24"/>
          <w:szCs w:val="24"/>
        </w:rPr>
        <w:t>。根据《中华人民共和国民法典》《中华人民共和国政府采购法》及国家的有关法律、行政法规之规定，遵循平等、自愿、公平和诚实信用的原则，甲乙双方就甲方委托乙方提供</w:t>
      </w:r>
      <w:r>
        <w:rPr>
          <w:rFonts w:ascii="仿宋" w:hAnsi="仿宋" w:eastAsia="仿宋"/>
          <w:color w:val="auto"/>
          <w:sz w:val="24"/>
          <w:szCs w:val="24"/>
          <w:u w:val="single"/>
          <w:lang w:eastAsia="zh-CN"/>
        </w:rPr>
        <w:t>基础设施服务</w:t>
      </w:r>
      <w:r>
        <w:rPr>
          <w:rFonts w:ascii="仿宋" w:hAnsi="仿宋" w:eastAsia="仿宋"/>
          <w:color w:val="auto"/>
          <w:sz w:val="24"/>
          <w:szCs w:val="24"/>
          <w:lang w:eastAsia="zh-CN"/>
        </w:rPr>
        <w:t>事宜</w:t>
      </w:r>
      <w:r>
        <w:rPr>
          <w:rFonts w:ascii="仿宋" w:hAnsi="仿宋" w:eastAsia="仿宋"/>
          <w:color w:val="auto"/>
          <w:sz w:val="24"/>
          <w:szCs w:val="24"/>
        </w:rPr>
        <w:t>，经友好协商一致,订立本合同，以兹共同遵守。</w:t>
      </w:r>
    </w:p>
    <w:p w14:paraId="46B55D2F">
      <w:pPr>
        <w:pStyle w:val="11"/>
        <w:spacing w:line="338" w:lineRule="auto"/>
        <w:ind w:firstLine="480" w:firstLineChars="200"/>
        <w:rPr>
          <w:rFonts w:hint="default" w:ascii="仿宋" w:hAnsi="仿宋" w:eastAsia="仿宋"/>
          <w:color w:val="auto"/>
          <w:sz w:val="24"/>
          <w:szCs w:val="24"/>
          <w:lang w:val="en-US" w:eastAsia="zh-CN"/>
        </w:rPr>
      </w:pPr>
      <w:r>
        <w:rPr>
          <w:rFonts w:ascii="仿宋" w:hAnsi="仿宋" w:eastAsia="仿宋"/>
          <w:color w:val="auto"/>
          <w:sz w:val="24"/>
          <w:szCs w:val="24"/>
        </w:rPr>
        <w:t>一、</w:t>
      </w:r>
      <w:r>
        <w:rPr>
          <w:rFonts w:hint="eastAsia" w:ascii="仿宋" w:hAnsi="仿宋" w:eastAsia="仿宋"/>
          <w:color w:val="auto"/>
          <w:sz w:val="24"/>
          <w:szCs w:val="24"/>
          <w:lang w:val="en-US" w:eastAsia="zh-CN"/>
        </w:rPr>
        <w:t>服务范围</w:t>
      </w:r>
    </w:p>
    <w:p w14:paraId="36C4BEEC">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主要包括省信息中心数据中心（以下统称11号楼数据中心）运维、西咸信创数据中心运维、省政府视频会议运维保障、秦岭视频综合监管服务、链路专项考核、陕西RA密码认证、风险排查及备品备件等。</w:t>
      </w:r>
    </w:p>
    <w:p w14:paraId="34DD3E53">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rPr>
        <w:t>二、</w:t>
      </w:r>
      <w:r>
        <w:rPr>
          <w:rFonts w:ascii="仿宋" w:hAnsi="仿宋" w:eastAsia="仿宋"/>
          <w:color w:val="auto"/>
          <w:sz w:val="24"/>
          <w:szCs w:val="24"/>
          <w:lang w:eastAsia="zh-CN"/>
        </w:rPr>
        <w:t>服务内容及要求</w:t>
      </w:r>
    </w:p>
    <w:tbl>
      <w:tblPr>
        <w:tblStyle w:val="8"/>
        <w:tblW w:w="88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
        <w:gridCol w:w="1162"/>
        <w:gridCol w:w="1314"/>
        <w:gridCol w:w="5916"/>
      </w:tblGrid>
      <w:tr w14:paraId="484E8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74" w:type="pct"/>
            <w:shd w:val="clear" w:color="000000" w:fill="D9D9D9"/>
            <w:vAlign w:val="center"/>
          </w:tcPr>
          <w:p w14:paraId="26ACC0C8">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序号</w:t>
            </w:r>
          </w:p>
        </w:tc>
        <w:tc>
          <w:tcPr>
            <w:tcW w:w="654" w:type="pct"/>
            <w:shd w:val="clear" w:color="000000" w:fill="D9D9D9"/>
            <w:vAlign w:val="center"/>
          </w:tcPr>
          <w:p w14:paraId="4C6C8F33">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服务分项</w:t>
            </w:r>
          </w:p>
        </w:tc>
        <w:tc>
          <w:tcPr>
            <w:tcW w:w="740" w:type="pct"/>
            <w:shd w:val="clear" w:color="000000" w:fill="D9D9D9"/>
            <w:vAlign w:val="center"/>
          </w:tcPr>
          <w:p w14:paraId="7BBE697F">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服务对象</w:t>
            </w:r>
          </w:p>
        </w:tc>
        <w:tc>
          <w:tcPr>
            <w:tcW w:w="3329" w:type="pct"/>
            <w:shd w:val="clear" w:color="000000" w:fill="D9D9D9"/>
            <w:vAlign w:val="center"/>
          </w:tcPr>
          <w:p w14:paraId="52E22266">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范围</w:t>
            </w:r>
          </w:p>
        </w:tc>
      </w:tr>
      <w:tr w14:paraId="0183D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restart"/>
            <w:noWrap/>
            <w:vAlign w:val="center"/>
          </w:tcPr>
          <w:p w14:paraId="07A6DD05">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w:t>
            </w:r>
          </w:p>
        </w:tc>
        <w:tc>
          <w:tcPr>
            <w:tcW w:w="654" w:type="pct"/>
            <w:vMerge w:val="restart"/>
            <w:vAlign w:val="center"/>
          </w:tcPr>
          <w:p w14:paraId="2779C297">
            <w:pPr>
              <w:widowControl/>
              <w:spacing w:before="0" w:after="0" w:line="240" w:lineRule="auto"/>
              <w:jc w:val="center"/>
              <w:rPr>
                <w:rFonts w:hint="eastAsia" w:ascii="仿宋" w:hAnsi="仿宋" w:eastAsia="仿宋" w:cs="仿宋"/>
                <w:color w:val="auto"/>
                <w:kern w:val="0"/>
                <w:sz w:val="24"/>
                <w:szCs w:val="24"/>
                <w:lang w:val="en-US" w:eastAsia="zh-CN"/>
              </w:rPr>
            </w:pPr>
            <w:bookmarkStart w:id="0" w:name="RANGE!C2"/>
            <w:r>
              <w:rPr>
                <w:rFonts w:hint="eastAsia" w:ascii="仿宋" w:hAnsi="仿宋" w:eastAsia="仿宋" w:cs="仿宋"/>
                <w:color w:val="auto"/>
                <w:kern w:val="0"/>
                <w:sz w:val="24"/>
                <w:szCs w:val="24"/>
              </w:rPr>
              <w:t>11号楼数据中心</w:t>
            </w:r>
            <w:bookmarkEnd w:id="0"/>
            <w:r>
              <w:rPr>
                <w:rFonts w:hint="eastAsia" w:ascii="仿宋" w:hAnsi="仿宋" w:eastAsia="仿宋" w:cs="仿宋"/>
                <w:color w:val="auto"/>
                <w:kern w:val="0"/>
                <w:sz w:val="24"/>
                <w:szCs w:val="24"/>
                <w:lang w:val="en-US" w:eastAsia="zh-CN"/>
              </w:rPr>
              <w:t>运维</w:t>
            </w:r>
          </w:p>
        </w:tc>
        <w:tc>
          <w:tcPr>
            <w:tcW w:w="740" w:type="pct"/>
            <w:vAlign w:val="center"/>
          </w:tcPr>
          <w:p w14:paraId="052AD00F">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基础环境资源</w:t>
            </w:r>
          </w:p>
        </w:tc>
        <w:tc>
          <w:tcPr>
            <w:tcW w:w="3329" w:type="pct"/>
            <w:vAlign w:val="center"/>
          </w:tcPr>
          <w:p w14:paraId="567C8193">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网络设备监控模块、机房监控模块、精密空调、UPS、门禁系统、电力电缆等共计578项</w:t>
            </w:r>
          </w:p>
        </w:tc>
      </w:tr>
      <w:tr w14:paraId="6A1D2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continue"/>
            <w:vAlign w:val="center"/>
          </w:tcPr>
          <w:p w14:paraId="391FDFED">
            <w:pPr>
              <w:widowControl/>
              <w:spacing w:before="0" w:after="0" w:line="240" w:lineRule="auto"/>
              <w:jc w:val="left"/>
              <w:rPr>
                <w:rFonts w:hint="eastAsia" w:ascii="仿宋" w:hAnsi="仿宋" w:eastAsia="仿宋" w:cs="仿宋"/>
                <w:color w:val="auto"/>
                <w:kern w:val="0"/>
                <w:sz w:val="24"/>
                <w:szCs w:val="24"/>
              </w:rPr>
            </w:pPr>
          </w:p>
        </w:tc>
        <w:tc>
          <w:tcPr>
            <w:tcW w:w="654" w:type="pct"/>
            <w:vMerge w:val="continue"/>
            <w:vAlign w:val="center"/>
          </w:tcPr>
          <w:p w14:paraId="16DE4E95">
            <w:pPr>
              <w:widowControl/>
              <w:spacing w:before="0" w:after="0" w:line="240" w:lineRule="auto"/>
              <w:jc w:val="left"/>
              <w:rPr>
                <w:rFonts w:hint="eastAsia" w:ascii="仿宋" w:hAnsi="仿宋" w:eastAsia="仿宋" w:cs="仿宋"/>
                <w:color w:val="auto"/>
                <w:kern w:val="0"/>
                <w:sz w:val="24"/>
                <w:szCs w:val="24"/>
              </w:rPr>
            </w:pPr>
          </w:p>
        </w:tc>
        <w:tc>
          <w:tcPr>
            <w:tcW w:w="740" w:type="pct"/>
            <w:vAlign w:val="center"/>
          </w:tcPr>
          <w:p w14:paraId="69797402">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硬件资源</w:t>
            </w:r>
          </w:p>
        </w:tc>
        <w:tc>
          <w:tcPr>
            <w:tcW w:w="3329" w:type="pct"/>
            <w:vAlign w:val="center"/>
          </w:tcPr>
          <w:p w14:paraId="73644E4F">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数据中心服务器241台、网络设备120台、存储设备53台等共计414台</w:t>
            </w:r>
          </w:p>
        </w:tc>
      </w:tr>
      <w:tr w14:paraId="1D237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continue"/>
            <w:vAlign w:val="center"/>
          </w:tcPr>
          <w:p w14:paraId="7B8FD440">
            <w:pPr>
              <w:widowControl/>
              <w:spacing w:before="0" w:after="0" w:line="240" w:lineRule="auto"/>
              <w:jc w:val="left"/>
              <w:rPr>
                <w:rFonts w:hint="eastAsia" w:ascii="仿宋" w:hAnsi="仿宋" w:eastAsia="仿宋" w:cs="仿宋"/>
                <w:color w:val="auto"/>
                <w:kern w:val="0"/>
                <w:sz w:val="24"/>
                <w:szCs w:val="24"/>
              </w:rPr>
            </w:pPr>
          </w:p>
        </w:tc>
        <w:tc>
          <w:tcPr>
            <w:tcW w:w="654" w:type="pct"/>
            <w:vMerge w:val="continue"/>
            <w:vAlign w:val="center"/>
          </w:tcPr>
          <w:p w14:paraId="57CEA292">
            <w:pPr>
              <w:widowControl/>
              <w:spacing w:before="0" w:after="0" w:line="240" w:lineRule="auto"/>
              <w:jc w:val="left"/>
              <w:rPr>
                <w:rFonts w:hint="eastAsia" w:ascii="仿宋" w:hAnsi="仿宋" w:eastAsia="仿宋" w:cs="仿宋"/>
                <w:color w:val="auto"/>
                <w:kern w:val="0"/>
                <w:sz w:val="24"/>
                <w:szCs w:val="24"/>
              </w:rPr>
            </w:pPr>
          </w:p>
        </w:tc>
        <w:tc>
          <w:tcPr>
            <w:tcW w:w="740" w:type="pct"/>
            <w:vAlign w:val="center"/>
          </w:tcPr>
          <w:p w14:paraId="2D3F96AE">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软件及平台资源</w:t>
            </w:r>
          </w:p>
        </w:tc>
        <w:tc>
          <w:tcPr>
            <w:tcW w:w="3329" w:type="pct"/>
            <w:vAlign w:val="center"/>
          </w:tcPr>
          <w:p w14:paraId="7B844A4E">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陕西省政务服务平台运维保障系统、环境监控集中管理系统（含授权）、统一服务器安全管理系统、政务云平台、操作系统、中间件、数据库系统等共计922套</w:t>
            </w:r>
          </w:p>
        </w:tc>
      </w:tr>
      <w:tr w14:paraId="38B1E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continue"/>
            <w:vAlign w:val="center"/>
          </w:tcPr>
          <w:p w14:paraId="755570EF">
            <w:pPr>
              <w:widowControl/>
              <w:spacing w:before="0" w:after="0" w:line="240" w:lineRule="auto"/>
              <w:jc w:val="left"/>
              <w:rPr>
                <w:rFonts w:hint="eastAsia" w:ascii="仿宋" w:hAnsi="仿宋" w:eastAsia="仿宋" w:cs="仿宋"/>
                <w:color w:val="auto"/>
                <w:kern w:val="0"/>
                <w:sz w:val="24"/>
                <w:szCs w:val="24"/>
              </w:rPr>
            </w:pPr>
          </w:p>
        </w:tc>
        <w:tc>
          <w:tcPr>
            <w:tcW w:w="654" w:type="pct"/>
            <w:vMerge w:val="continue"/>
            <w:vAlign w:val="center"/>
          </w:tcPr>
          <w:p w14:paraId="69DA721D">
            <w:pPr>
              <w:widowControl/>
              <w:spacing w:before="0" w:after="0" w:line="240" w:lineRule="auto"/>
              <w:jc w:val="left"/>
              <w:rPr>
                <w:rFonts w:hint="eastAsia" w:ascii="仿宋" w:hAnsi="仿宋" w:eastAsia="仿宋" w:cs="仿宋"/>
                <w:color w:val="auto"/>
                <w:kern w:val="0"/>
                <w:sz w:val="24"/>
                <w:szCs w:val="24"/>
              </w:rPr>
            </w:pPr>
          </w:p>
        </w:tc>
        <w:tc>
          <w:tcPr>
            <w:tcW w:w="740" w:type="pct"/>
            <w:vAlign w:val="center"/>
          </w:tcPr>
          <w:p w14:paraId="7C58B4F3">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安全资源</w:t>
            </w:r>
          </w:p>
        </w:tc>
        <w:tc>
          <w:tcPr>
            <w:tcW w:w="3329" w:type="pct"/>
            <w:vAlign w:val="center"/>
          </w:tcPr>
          <w:p w14:paraId="7222B620">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数据中心安全设备等共计103台</w:t>
            </w:r>
          </w:p>
        </w:tc>
      </w:tr>
      <w:tr w14:paraId="38F98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continue"/>
            <w:vAlign w:val="center"/>
          </w:tcPr>
          <w:p w14:paraId="1AFFCBCD">
            <w:pPr>
              <w:widowControl/>
              <w:spacing w:before="0" w:after="0" w:line="240" w:lineRule="auto"/>
              <w:jc w:val="left"/>
              <w:rPr>
                <w:rFonts w:hint="eastAsia" w:ascii="仿宋" w:hAnsi="仿宋" w:eastAsia="仿宋" w:cs="仿宋"/>
                <w:color w:val="auto"/>
                <w:kern w:val="0"/>
                <w:sz w:val="24"/>
                <w:szCs w:val="24"/>
              </w:rPr>
            </w:pPr>
          </w:p>
        </w:tc>
        <w:tc>
          <w:tcPr>
            <w:tcW w:w="654" w:type="pct"/>
            <w:vMerge w:val="continue"/>
            <w:vAlign w:val="center"/>
          </w:tcPr>
          <w:p w14:paraId="623A3DC1">
            <w:pPr>
              <w:widowControl/>
              <w:spacing w:before="0" w:after="0" w:line="240" w:lineRule="auto"/>
              <w:jc w:val="left"/>
              <w:rPr>
                <w:rFonts w:hint="eastAsia" w:ascii="仿宋" w:hAnsi="仿宋" w:eastAsia="仿宋" w:cs="仿宋"/>
                <w:color w:val="auto"/>
                <w:kern w:val="0"/>
                <w:sz w:val="24"/>
                <w:szCs w:val="24"/>
              </w:rPr>
            </w:pPr>
          </w:p>
        </w:tc>
        <w:tc>
          <w:tcPr>
            <w:tcW w:w="740" w:type="pct"/>
            <w:vAlign w:val="center"/>
          </w:tcPr>
          <w:p w14:paraId="6F5FFD7C">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其他资源</w:t>
            </w:r>
          </w:p>
        </w:tc>
        <w:tc>
          <w:tcPr>
            <w:tcW w:w="3329" w:type="pct"/>
            <w:vAlign w:val="center"/>
          </w:tcPr>
          <w:p w14:paraId="508C7F39">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监控终端、应急演练、重要时期保障、运维审计等</w:t>
            </w:r>
          </w:p>
        </w:tc>
      </w:tr>
      <w:tr w14:paraId="076D1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restart"/>
            <w:vAlign w:val="center"/>
          </w:tcPr>
          <w:p w14:paraId="58AC4DB4">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654" w:type="pct"/>
            <w:vMerge w:val="restart"/>
            <w:vAlign w:val="center"/>
          </w:tcPr>
          <w:p w14:paraId="652DC57C">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西咸信创数据中心运维</w:t>
            </w:r>
          </w:p>
        </w:tc>
        <w:tc>
          <w:tcPr>
            <w:tcW w:w="740" w:type="pct"/>
            <w:vAlign w:val="center"/>
          </w:tcPr>
          <w:p w14:paraId="27FE10BF">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基础环境资源（租赁）</w:t>
            </w:r>
          </w:p>
        </w:tc>
        <w:tc>
          <w:tcPr>
            <w:tcW w:w="3329" w:type="pct"/>
            <w:vAlign w:val="center"/>
          </w:tcPr>
          <w:p w14:paraId="58D53C0A">
            <w:pPr>
              <w:widowControl/>
              <w:spacing w:before="0" w:after="0" w:line="24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rPr>
              <w:t>西咸信创政务云404机房90个机柜租赁（配套提供空调系统、供配电系统、发电机、UPS系统、消防系统等），404机房至11号楼1G专线链路资源租赁</w:t>
            </w:r>
          </w:p>
        </w:tc>
      </w:tr>
      <w:tr w14:paraId="4B2BA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continue"/>
            <w:vAlign w:val="center"/>
          </w:tcPr>
          <w:p w14:paraId="003810A9">
            <w:pPr>
              <w:widowControl/>
              <w:spacing w:before="0" w:after="0" w:line="240" w:lineRule="auto"/>
              <w:jc w:val="left"/>
              <w:rPr>
                <w:rFonts w:hint="eastAsia" w:ascii="仿宋" w:hAnsi="仿宋" w:eastAsia="仿宋" w:cs="仿宋"/>
                <w:color w:val="auto"/>
                <w:kern w:val="0"/>
                <w:sz w:val="24"/>
                <w:szCs w:val="24"/>
              </w:rPr>
            </w:pPr>
          </w:p>
        </w:tc>
        <w:tc>
          <w:tcPr>
            <w:tcW w:w="654" w:type="pct"/>
            <w:vMerge w:val="continue"/>
            <w:vAlign w:val="center"/>
          </w:tcPr>
          <w:p w14:paraId="01E3D60D">
            <w:pPr>
              <w:widowControl/>
              <w:spacing w:before="0" w:after="0" w:line="240" w:lineRule="auto"/>
              <w:jc w:val="left"/>
              <w:rPr>
                <w:rFonts w:hint="eastAsia" w:ascii="仿宋" w:hAnsi="仿宋" w:eastAsia="仿宋" w:cs="仿宋"/>
                <w:color w:val="auto"/>
                <w:kern w:val="0"/>
                <w:sz w:val="24"/>
                <w:szCs w:val="24"/>
              </w:rPr>
            </w:pPr>
          </w:p>
        </w:tc>
        <w:tc>
          <w:tcPr>
            <w:tcW w:w="740" w:type="pct"/>
            <w:vAlign w:val="center"/>
          </w:tcPr>
          <w:p w14:paraId="1C975C1C">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硬件资源</w:t>
            </w:r>
          </w:p>
        </w:tc>
        <w:tc>
          <w:tcPr>
            <w:tcW w:w="3329" w:type="pct"/>
            <w:vAlign w:val="center"/>
          </w:tcPr>
          <w:p w14:paraId="75B5668A">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西咸信创政务云404机房网络链路、网络节点设备，数据中心服务器341台、网络设备74台、存储设备9台共计424台</w:t>
            </w:r>
          </w:p>
        </w:tc>
      </w:tr>
      <w:tr w14:paraId="64B66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continue"/>
            <w:vAlign w:val="center"/>
          </w:tcPr>
          <w:p w14:paraId="64D5B444">
            <w:pPr>
              <w:widowControl/>
              <w:spacing w:before="0" w:after="0" w:line="240" w:lineRule="auto"/>
              <w:jc w:val="left"/>
              <w:rPr>
                <w:rFonts w:hint="eastAsia" w:ascii="仿宋" w:hAnsi="仿宋" w:eastAsia="仿宋" w:cs="仿宋"/>
                <w:color w:val="auto"/>
                <w:kern w:val="0"/>
                <w:sz w:val="24"/>
                <w:szCs w:val="24"/>
              </w:rPr>
            </w:pPr>
          </w:p>
        </w:tc>
        <w:tc>
          <w:tcPr>
            <w:tcW w:w="654" w:type="pct"/>
            <w:vMerge w:val="continue"/>
            <w:vAlign w:val="center"/>
          </w:tcPr>
          <w:p w14:paraId="757182FF">
            <w:pPr>
              <w:widowControl/>
              <w:spacing w:before="0" w:after="0" w:line="240" w:lineRule="auto"/>
              <w:jc w:val="left"/>
              <w:rPr>
                <w:rFonts w:hint="eastAsia" w:ascii="仿宋" w:hAnsi="仿宋" w:eastAsia="仿宋" w:cs="仿宋"/>
                <w:color w:val="auto"/>
                <w:kern w:val="0"/>
                <w:sz w:val="24"/>
                <w:szCs w:val="24"/>
              </w:rPr>
            </w:pPr>
          </w:p>
        </w:tc>
        <w:tc>
          <w:tcPr>
            <w:tcW w:w="740" w:type="pct"/>
            <w:vAlign w:val="center"/>
          </w:tcPr>
          <w:p w14:paraId="1EBB58DD">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软件及平台资源</w:t>
            </w:r>
          </w:p>
        </w:tc>
        <w:tc>
          <w:tcPr>
            <w:tcW w:w="3329" w:type="pct"/>
            <w:vAlign w:val="center"/>
          </w:tcPr>
          <w:p w14:paraId="144CE33D">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西咸信创云平台、操作系统、中间件、数据库、工具软件、等1387套，虚拟机757个</w:t>
            </w:r>
          </w:p>
        </w:tc>
      </w:tr>
      <w:tr w14:paraId="391F6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continue"/>
            <w:vAlign w:val="center"/>
          </w:tcPr>
          <w:p w14:paraId="441590CE">
            <w:pPr>
              <w:widowControl/>
              <w:spacing w:before="0" w:after="0" w:line="240" w:lineRule="auto"/>
              <w:jc w:val="left"/>
              <w:rPr>
                <w:rFonts w:hint="eastAsia" w:ascii="仿宋" w:hAnsi="仿宋" w:eastAsia="仿宋" w:cs="仿宋"/>
                <w:color w:val="auto"/>
                <w:kern w:val="0"/>
                <w:sz w:val="24"/>
                <w:szCs w:val="24"/>
              </w:rPr>
            </w:pPr>
          </w:p>
        </w:tc>
        <w:tc>
          <w:tcPr>
            <w:tcW w:w="654" w:type="pct"/>
            <w:vMerge w:val="continue"/>
            <w:vAlign w:val="center"/>
          </w:tcPr>
          <w:p w14:paraId="0A61095A">
            <w:pPr>
              <w:widowControl/>
              <w:spacing w:before="0" w:after="0" w:line="240" w:lineRule="auto"/>
              <w:jc w:val="left"/>
              <w:rPr>
                <w:rFonts w:hint="eastAsia" w:ascii="仿宋" w:hAnsi="仿宋" w:eastAsia="仿宋" w:cs="仿宋"/>
                <w:color w:val="auto"/>
                <w:kern w:val="0"/>
                <w:sz w:val="24"/>
                <w:szCs w:val="24"/>
              </w:rPr>
            </w:pPr>
          </w:p>
        </w:tc>
        <w:tc>
          <w:tcPr>
            <w:tcW w:w="740" w:type="pct"/>
            <w:vAlign w:val="center"/>
          </w:tcPr>
          <w:p w14:paraId="47B0855B">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安全资源</w:t>
            </w:r>
          </w:p>
        </w:tc>
        <w:tc>
          <w:tcPr>
            <w:tcW w:w="3329" w:type="pct"/>
            <w:vAlign w:val="center"/>
          </w:tcPr>
          <w:p w14:paraId="59F8CEB8">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数据中心安全设备等共计66台</w:t>
            </w:r>
          </w:p>
        </w:tc>
      </w:tr>
      <w:tr w14:paraId="26CC4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continue"/>
            <w:vAlign w:val="center"/>
          </w:tcPr>
          <w:p w14:paraId="03D19143">
            <w:pPr>
              <w:widowControl/>
              <w:spacing w:before="0" w:after="0" w:line="240" w:lineRule="auto"/>
              <w:jc w:val="left"/>
              <w:rPr>
                <w:rFonts w:hint="eastAsia" w:ascii="仿宋" w:hAnsi="仿宋" w:eastAsia="仿宋" w:cs="仿宋"/>
                <w:color w:val="auto"/>
                <w:kern w:val="0"/>
                <w:sz w:val="24"/>
                <w:szCs w:val="24"/>
              </w:rPr>
            </w:pPr>
          </w:p>
        </w:tc>
        <w:tc>
          <w:tcPr>
            <w:tcW w:w="654" w:type="pct"/>
            <w:vMerge w:val="continue"/>
            <w:vAlign w:val="center"/>
          </w:tcPr>
          <w:p w14:paraId="19BE6353">
            <w:pPr>
              <w:widowControl/>
              <w:spacing w:before="0" w:after="0" w:line="240" w:lineRule="auto"/>
              <w:jc w:val="left"/>
              <w:rPr>
                <w:rFonts w:hint="eastAsia" w:ascii="仿宋" w:hAnsi="仿宋" w:eastAsia="仿宋" w:cs="仿宋"/>
                <w:color w:val="auto"/>
                <w:kern w:val="0"/>
                <w:sz w:val="24"/>
                <w:szCs w:val="24"/>
              </w:rPr>
            </w:pPr>
          </w:p>
        </w:tc>
        <w:tc>
          <w:tcPr>
            <w:tcW w:w="740" w:type="pct"/>
            <w:vAlign w:val="center"/>
          </w:tcPr>
          <w:p w14:paraId="37F53288">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其他资源</w:t>
            </w:r>
          </w:p>
        </w:tc>
        <w:tc>
          <w:tcPr>
            <w:tcW w:w="3329" w:type="pct"/>
            <w:vAlign w:val="center"/>
          </w:tcPr>
          <w:p w14:paraId="54A05AE7">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监控终端、应急演练、重要时期保障、运维审计等</w:t>
            </w:r>
          </w:p>
        </w:tc>
      </w:tr>
      <w:tr w14:paraId="364E6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continue"/>
            <w:vAlign w:val="center"/>
          </w:tcPr>
          <w:p w14:paraId="058F796E">
            <w:pPr>
              <w:widowControl/>
              <w:spacing w:before="0" w:after="0" w:line="240" w:lineRule="auto"/>
              <w:jc w:val="left"/>
              <w:rPr>
                <w:rFonts w:hint="eastAsia" w:ascii="仿宋" w:hAnsi="仿宋" w:eastAsia="仿宋" w:cs="仿宋"/>
                <w:color w:val="auto"/>
                <w:kern w:val="0"/>
                <w:sz w:val="24"/>
                <w:szCs w:val="24"/>
              </w:rPr>
            </w:pPr>
          </w:p>
        </w:tc>
        <w:tc>
          <w:tcPr>
            <w:tcW w:w="654" w:type="pct"/>
            <w:vMerge w:val="continue"/>
            <w:vAlign w:val="center"/>
          </w:tcPr>
          <w:p w14:paraId="6C3231D9">
            <w:pPr>
              <w:widowControl/>
              <w:spacing w:before="0" w:after="0" w:line="240" w:lineRule="auto"/>
              <w:jc w:val="left"/>
              <w:rPr>
                <w:rFonts w:hint="eastAsia" w:ascii="仿宋" w:hAnsi="仿宋" w:eastAsia="仿宋" w:cs="仿宋"/>
                <w:color w:val="auto"/>
                <w:kern w:val="0"/>
                <w:sz w:val="24"/>
                <w:szCs w:val="24"/>
              </w:rPr>
            </w:pPr>
          </w:p>
        </w:tc>
        <w:tc>
          <w:tcPr>
            <w:tcW w:w="740" w:type="pct"/>
            <w:vAlign w:val="center"/>
          </w:tcPr>
          <w:p w14:paraId="5CAF3735">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软硬件维保及其他</w:t>
            </w:r>
          </w:p>
        </w:tc>
        <w:tc>
          <w:tcPr>
            <w:tcW w:w="3329" w:type="pct"/>
            <w:vAlign w:val="center"/>
          </w:tcPr>
          <w:p w14:paraId="48E5E351">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西咸信创政务云404机房软硬件提供维保；其他包括安全评估相关服务，设备及产品信息配置服务。</w:t>
            </w:r>
          </w:p>
        </w:tc>
      </w:tr>
      <w:tr w14:paraId="63D87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restart"/>
            <w:vAlign w:val="center"/>
          </w:tcPr>
          <w:p w14:paraId="78AA1F13">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w:t>
            </w:r>
          </w:p>
        </w:tc>
        <w:tc>
          <w:tcPr>
            <w:tcW w:w="654" w:type="pct"/>
            <w:vMerge w:val="restart"/>
            <w:vAlign w:val="center"/>
          </w:tcPr>
          <w:p w14:paraId="31770926">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省政府视频会议运维</w:t>
            </w:r>
          </w:p>
        </w:tc>
        <w:tc>
          <w:tcPr>
            <w:tcW w:w="740" w:type="pct"/>
            <w:vAlign w:val="center"/>
          </w:tcPr>
          <w:p w14:paraId="3EA6CA5A">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硬件资源</w:t>
            </w:r>
          </w:p>
        </w:tc>
        <w:tc>
          <w:tcPr>
            <w:tcW w:w="3329" w:type="pct"/>
            <w:vAlign w:val="center"/>
          </w:tcPr>
          <w:p w14:paraId="1FADA67B">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省政府会议终端设备（视频会议系统（MCU、终端及视音频设备、中控系统等）、会议系统（扩声设备、反馈抑制器））及硬件设备12套</w:t>
            </w:r>
          </w:p>
        </w:tc>
      </w:tr>
      <w:tr w14:paraId="1816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continue"/>
            <w:vAlign w:val="center"/>
          </w:tcPr>
          <w:p w14:paraId="0164E5CB">
            <w:pPr>
              <w:widowControl/>
              <w:spacing w:before="0" w:after="0" w:line="240" w:lineRule="auto"/>
              <w:jc w:val="left"/>
              <w:rPr>
                <w:rFonts w:hint="eastAsia" w:ascii="仿宋" w:hAnsi="仿宋" w:eastAsia="仿宋" w:cs="仿宋"/>
                <w:color w:val="auto"/>
                <w:kern w:val="0"/>
                <w:sz w:val="24"/>
                <w:szCs w:val="24"/>
              </w:rPr>
            </w:pPr>
          </w:p>
        </w:tc>
        <w:tc>
          <w:tcPr>
            <w:tcW w:w="654" w:type="pct"/>
            <w:vMerge w:val="continue"/>
            <w:vAlign w:val="center"/>
          </w:tcPr>
          <w:p w14:paraId="16D05D69">
            <w:pPr>
              <w:widowControl/>
              <w:spacing w:before="0" w:after="0" w:line="240" w:lineRule="auto"/>
              <w:jc w:val="left"/>
              <w:rPr>
                <w:rFonts w:hint="eastAsia" w:ascii="仿宋" w:hAnsi="仿宋" w:eastAsia="仿宋" w:cs="仿宋"/>
                <w:color w:val="auto"/>
                <w:kern w:val="0"/>
                <w:sz w:val="24"/>
                <w:szCs w:val="24"/>
              </w:rPr>
            </w:pPr>
          </w:p>
        </w:tc>
        <w:tc>
          <w:tcPr>
            <w:tcW w:w="740" w:type="pct"/>
            <w:vAlign w:val="center"/>
          </w:tcPr>
          <w:p w14:paraId="529C559E">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软件资源</w:t>
            </w:r>
          </w:p>
        </w:tc>
        <w:tc>
          <w:tcPr>
            <w:tcW w:w="3329" w:type="pct"/>
            <w:vAlign w:val="center"/>
          </w:tcPr>
          <w:p w14:paraId="528D76E3">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省政府视频会议系统8套</w:t>
            </w:r>
          </w:p>
        </w:tc>
      </w:tr>
      <w:tr w14:paraId="0690A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continue"/>
            <w:vAlign w:val="center"/>
          </w:tcPr>
          <w:p w14:paraId="3A1ABB54">
            <w:pPr>
              <w:widowControl/>
              <w:spacing w:before="0" w:after="0" w:line="240" w:lineRule="auto"/>
              <w:jc w:val="left"/>
              <w:rPr>
                <w:rFonts w:hint="eastAsia" w:ascii="仿宋" w:hAnsi="仿宋" w:eastAsia="仿宋" w:cs="仿宋"/>
                <w:color w:val="auto"/>
                <w:kern w:val="0"/>
                <w:sz w:val="24"/>
                <w:szCs w:val="24"/>
              </w:rPr>
            </w:pPr>
          </w:p>
        </w:tc>
        <w:tc>
          <w:tcPr>
            <w:tcW w:w="654" w:type="pct"/>
            <w:vMerge w:val="continue"/>
            <w:vAlign w:val="center"/>
          </w:tcPr>
          <w:p w14:paraId="2E916161">
            <w:pPr>
              <w:widowControl/>
              <w:spacing w:before="0" w:after="0" w:line="240" w:lineRule="auto"/>
              <w:jc w:val="left"/>
              <w:rPr>
                <w:rFonts w:hint="eastAsia" w:ascii="仿宋" w:hAnsi="仿宋" w:eastAsia="仿宋" w:cs="仿宋"/>
                <w:color w:val="auto"/>
                <w:kern w:val="0"/>
                <w:sz w:val="24"/>
                <w:szCs w:val="24"/>
              </w:rPr>
            </w:pPr>
          </w:p>
        </w:tc>
        <w:tc>
          <w:tcPr>
            <w:tcW w:w="740" w:type="pct"/>
            <w:vAlign w:val="center"/>
          </w:tcPr>
          <w:p w14:paraId="1A51943E">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其他</w:t>
            </w:r>
          </w:p>
        </w:tc>
        <w:tc>
          <w:tcPr>
            <w:tcW w:w="3329" w:type="pct"/>
            <w:vAlign w:val="center"/>
          </w:tcPr>
          <w:p w14:paraId="46B0C55F">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拓扑更新、备品备件管理、设备资产统计管理等</w:t>
            </w:r>
          </w:p>
        </w:tc>
      </w:tr>
      <w:tr w14:paraId="0BA22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restart"/>
            <w:vAlign w:val="center"/>
          </w:tcPr>
          <w:p w14:paraId="76377BF3">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w:t>
            </w:r>
          </w:p>
        </w:tc>
        <w:tc>
          <w:tcPr>
            <w:tcW w:w="654" w:type="pct"/>
            <w:vMerge w:val="restart"/>
            <w:vAlign w:val="center"/>
          </w:tcPr>
          <w:p w14:paraId="499B1EB9">
            <w:pPr>
              <w:widowControl/>
              <w:spacing w:before="0" w:after="0" w:line="240" w:lineRule="auto"/>
              <w:jc w:val="center"/>
              <w:rPr>
                <w:rFonts w:hint="eastAsia" w:ascii="仿宋" w:hAnsi="仿宋" w:eastAsia="仿宋" w:cs="仿宋"/>
                <w:color w:val="auto"/>
                <w:kern w:val="0"/>
                <w:sz w:val="24"/>
                <w:szCs w:val="24"/>
              </w:rPr>
            </w:pPr>
            <w:bookmarkStart w:id="1" w:name="OLE_LINK25"/>
            <w:r>
              <w:rPr>
                <w:rFonts w:hint="eastAsia" w:ascii="仿宋" w:hAnsi="仿宋" w:eastAsia="仿宋" w:cs="仿宋"/>
                <w:color w:val="auto"/>
                <w:kern w:val="0"/>
                <w:sz w:val="24"/>
                <w:szCs w:val="24"/>
              </w:rPr>
              <w:t>秦岭视频综合监管</w:t>
            </w:r>
            <w:bookmarkEnd w:id="1"/>
            <w:r>
              <w:rPr>
                <w:rFonts w:hint="eastAsia" w:ascii="仿宋" w:hAnsi="仿宋" w:eastAsia="仿宋" w:cs="仿宋"/>
                <w:color w:val="auto"/>
                <w:kern w:val="0"/>
                <w:sz w:val="24"/>
                <w:szCs w:val="24"/>
              </w:rPr>
              <w:t>服务</w:t>
            </w:r>
          </w:p>
        </w:tc>
        <w:tc>
          <w:tcPr>
            <w:tcW w:w="740" w:type="pct"/>
            <w:vAlign w:val="center"/>
          </w:tcPr>
          <w:p w14:paraId="5EF68C60">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秦岭视频综合监管运维服务</w:t>
            </w:r>
          </w:p>
        </w:tc>
        <w:tc>
          <w:tcPr>
            <w:tcW w:w="3329" w:type="pct"/>
            <w:vAlign w:val="center"/>
          </w:tcPr>
          <w:p w14:paraId="337431AB">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300个低点位、110个高点位前端的设备巡检，110个高点位的设备故障处理，视频巡检异常结果复检、网络带宽升级</w:t>
            </w:r>
          </w:p>
        </w:tc>
      </w:tr>
      <w:tr w14:paraId="4B4F1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continue"/>
            <w:vAlign w:val="center"/>
          </w:tcPr>
          <w:p w14:paraId="675BCD25">
            <w:pPr>
              <w:widowControl/>
              <w:spacing w:before="0" w:after="0" w:line="240" w:lineRule="auto"/>
              <w:jc w:val="center"/>
              <w:rPr>
                <w:rFonts w:hint="eastAsia" w:ascii="仿宋" w:hAnsi="仿宋" w:eastAsia="仿宋" w:cs="仿宋"/>
                <w:color w:val="auto"/>
                <w:kern w:val="0"/>
                <w:sz w:val="24"/>
                <w:szCs w:val="24"/>
              </w:rPr>
            </w:pPr>
          </w:p>
        </w:tc>
        <w:tc>
          <w:tcPr>
            <w:tcW w:w="654" w:type="pct"/>
            <w:vMerge w:val="continue"/>
            <w:vAlign w:val="center"/>
          </w:tcPr>
          <w:p w14:paraId="47DA02B2">
            <w:pPr>
              <w:widowControl/>
              <w:spacing w:before="0" w:after="0" w:line="240" w:lineRule="auto"/>
              <w:jc w:val="center"/>
              <w:rPr>
                <w:rFonts w:hint="eastAsia" w:ascii="仿宋" w:hAnsi="仿宋" w:eastAsia="仿宋" w:cs="仿宋"/>
                <w:color w:val="auto"/>
                <w:kern w:val="0"/>
                <w:sz w:val="24"/>
                <w:szCs w:val="24"/>
              </w:rPr>
            </w:pPr>
          </w:p>
        </w:tc>
        <w:tc>
          <w:tcPr>
            <w:tcW w:w="740" w:type="pct"/>
            <w:vAlign w:val="center"/>
          </w:tcPr>
          <w:p w14:paraId="11A642FB">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秦岭视频综合监管系统运营服务</w:t>
            </w:r>
          </w:p>
        </w:tc>
        <w:tc>
          <w:tcPr>
            <w:tcW w:w="3329" w:type="pct"/>
            <w:vAlign w:val="center"/>
          </w:tcPr>
          <w:p w14:paraId="32644245">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针对视频监管系统提供视频资源接入与共享服务、视频资源管理服务、视频监管服务和系统数据管理四项服务</w:t>
            </w:r>
          </w:p>
        </w:tc>
      </w:tr>
      <w:tr w14:paraId="31009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Merge w:val="continue"/>
            <w:vAlign w:val="center"/>
          </w:tcPr>
          <w:p w14:paraId="33FA9CD0">
            <w:pPr>
              <w:widowControl/>
              <w:spacing w:before="0" w:after="0" w:line="240" w:lineRule="auto"/>
              <w:jc w:val="center"/>
              <w:rPr>
                <w:rFonts w:hint="eastAsia" w:ascii="仿宋" w:hAnsi="仿宋" w:eastAsia="仿宋" w:cs="仿宋"/>
                <w:color w:val="auto"/>
                <w:kern w:val="0"/>
                <w:sz w:val="24"/>
                <w:szCs w:val="24"/>
              </w:rPr>
            </w:pPr>
          </w:p>
        </w:tc>
        <w:tc>
          <w:tcPr>
            <w:tcW w:w="654" w:type="pct"/>
            <w:vMerge w:val="continue"/>
            <w:vAlign w:val="center"/>
          </w:tcPr>
          <w:p w14:paraId="305EA231">
            <w:pPr>
              <w:widowControl/>
              <w:spacing w:before="0" w:after="0" w:line="240" w:lineRule="auto"/>
              <w:jc w:val="center"/>
              <w:rPr>
                <w:rFonts w:hint="eastAsia" w:ascii="仿宋" w:hAnsi="仿宋" w:eastAsia="仿宋" w:cs="仿宋"/>
                <w:color w:val="auto"/>
                <w:kern w:val="0"/>
                <w:sz w:val="24"/>
                <w:szCs w:val="24"/>
              </w:rPr>
            </w:pPr>
          </w:p>
        </w:tc>
        <w:tc>
          <w:tcPr>
            <w:tcW w:w="740" w:type="pct"/>
            <w:vAlign w:val="center"/>
          </w:tcPr>
          <w:p w14:paraId="39810858">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秦岭视频综合监管配套租赁服务</w:t>
            </w:r>
          </w:p>
        </w:tc>
        <w:tc>
          <w:tcPr>
            <w:tcW w:w="3329" w:type="pct"/>
            <w:vAlign w:val="center"/>
          </w:tcPr>
          <w:p w14:paraId="2629E9F1">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网络链路410路、塔桅资源1批（110处高点位）租用、410点位电费</w:t>
            </w:r>
          </w:p>
        </w:tc>
      </w:tr>
      <w:tr w14:paraId="01B27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Align w:val="center"/>
          </w:tcPr>
          <w:p w14:paraId="7DD8CCE1">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5</w:t>
            </w:r>
          </w:p>
        </w:tc>
        <w:tc>
          <w:tcPr>
            <w:tcW w:w="654" w:type="pct"/>
            <w:vAlign w:val="center"/>
          </w:tcPr>
          <w:p w14:paraId="0138C75B">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链路考核专项服务</w:t>
            </w:r>
          </w:p>
        </w:tc>
        <w:tc>
          <w:tcPr>
            <w:tcW w:w="740" w:type="pct"/>
            <w:noWrap/>
            <w:vAlign w:val="center"/>
          </w:tcPr>
          <w:p w14:paraId="7A44AC05">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专项服务</w:t>
            </w:r>
          </w:p>
        </w:tc>
        <w:tc>
          <w:tcPr>
            <w:tcW w:w="3329" w:type="pct"/>
            <w:vAlign w:val="center"/>
          </w:tcPr>
          <w:p w14:paraId="37884456">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纳入省数据和政务服务中心监测范围内的725条链路（省级横向接入链路、省市纵向链路、数据专线链路、专网链路等）</w:t>
            </w:r>
          </w:p>
        </w:tc>
      </w:tr>
      <w:tr w14:paraId="1D728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Align w:val="center"/>
          </w:tcPr>
          <w:p w14:paraId="3718F3BF">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6</w:t>
            </w:r>
          </w:p>
        </w:tc>
        <w:tc>
          <w:tcPr>
            <w:tcW w:w="654" w:type="pct"/>
            <w:vAlign w:val="center"/>
          </w:tcPr>
          <w:p w14:paraId="534BC95E">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陕西RA密码认证服务</w:t>
            </w:r>
          </w:p>
        </w:tc>
        <w:tc>
          <w:tcPr>
            <w:tcW w:w="740" w:type="pct"/>
            <w:vAlign w:val="center"/>
          </w:tcPr>
          <w:p w14:paraId="1D7909F8">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认证服务</w:t>
            </w:r>
          </w:p>
        </w:tc>
        <w:tc>
          <w:tcPr>
            <w:tcW w:w="3329" w:type="pct"/>
            <w:vAlign w:val="center"/>
          </w:tcPr>
          <w:p w14:paraId="47803B5F">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国家电子政务外网陕西节点接入认证服务1项</w:t>
            </w:r>
          </w:p>
        </w:tc>
      </w:tr>
      <w:tr w14:paraId="35213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Align w:val="center"/>
          </w:tcPr>
          <w:p w14:paraId="4CEE6551">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7</w:t>
            </w:r>
          </w:p>
        </w:tc>
        <w:tc>
          <w:tcPr>
            <w:tcW w:w="654" w:type="pct"/>
            <w:vAlign w:val="center"/>
          </w:tcPr>
          <w:p w14:paraId="70B1AB91">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风险排查专项服务</w:t>
            </w:r>
          </w:p>
        </w:tc>
        <w:tc>
          <w:tcPr>
            <w:tcW w:w="740" w:type="pct"/>
            <w:vAlign w:val="center"/>
          </w:tcPr>
          <w:p w14:paraId="6B0FBD07">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专项服务</w:t>
            </w:r>
          </w:p>
        </w:tc>
        <w:tc>
          <w:tcPr>
            <w:tcW w:w="3329" w:type="pct"/>
            <w:vAlign w:val="center"/>
          </w:tcPr>
          <w:p w14:paraId="55D3B059">
            <w:pPr>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对省信息化中心、11号楼数据中心、同城灾备中心（省政府前大楼）共实施3次排查，风险排查范围包括机房基础环境、网络、硬件设备、软件系统、云平台等</w:t>
            </w:r>
          </w:p>
        </w:tc>
      </w:tr>
      <w:tr w14:paraId="5BF62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4" w:type="pct"/>
            <w:vAlign w:val="center"/>
          </w:tcPr>
          <w:p w14:paraId="56F25A95">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8</w:t>
            </w:r>
          </w:p>
        </w:tc>
        <w:tc>
          <w:tcPr>
            <w:tcW w:w="654" w:type="pct"/>
            <w:vAlign w:val="center"/>
          </w:tcPr>
          <w:p w14:paraId="2A89DBA0">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备品备件</w:t>
            </w:r>
          </w:p>
        </w:tc>
        <w:tc>
          <w:tcPr>
            <w:tcW w:w="740" w:type="pct"/>
            <w:vAlign w:val="center"/>
          </w:tcPr>
          <w:p w14:paraId="05BB4645">
            <w:pPr>
              <w:widowControl/>
              <w:spacing w:before="0" w:after="0"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备品备件</w:t>
            </w:r>
          </w:p>
        </w:tc>
        <w:tc>
          <w:tcPr>
            <w:tcW w:w="3329" w:type="pct"/>
            <w:vAlign w:val="center"/>
          </w:tcPr>
          <w:p w14:paraId="7C8380EE">
            <w:pPr>
              <w:keepNext/>
              <w:widowControl/>
              <w:spacing w:before="0" w:after="0" w:line="24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本项目所有故障处理需要更换维修的备品备件服务</w:t>
            </w:r>
          </w:p>
        </w:tc>
      </w:tr>
    </w:tbl>
    <w:p w14:paraId="0E9024EB">
      <w:pPr>
        <w:pStyle w:val="11"/>
        <w:spacing w:line="338" w:lineRule="auto"/>
        <w:ind w:firstLine="480" w:firstLineChars="200"/>
        <w:rPr>
          <w:rFonts w:ascii="仿宋" w:hAnsi="仿宋" w:eastAsia="仿宋"/>
          <w:color w:val="auto"/>
          <w:sz w:val="24"/>
          <w:szCs w:val="24"/>
          <w:lang w:eastAsia="zh-CN"/>
        </w:rPr>
      </w:pPr>
    </w:p>
    <w:p w14:paraId="4AE504C4">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三、服务期限</w:t>
      </w:r>
    </w:p>
    <w:p w14:paraId="4EF4B249">
      <w:pPr>
        <w:pStyle w:val="11"/>
        <w:spacing w:line="338" w:lineRule="auto"/>
        <w:ind w:firstLine="480" w:firstLineChars="200"/>
        <w:jc w:val="both"/>
        <w:rPr>
          <w:rFonts w:ascii="仿宋" w:hAnsi="仿宋" w:eastAsia="仿宋"/>
          <w:color w:val="auto"/>
          <w:sz w:val="24"/>
          <w:szCs w:val="24"/>
          <w:lang w:eastAsia="zh-CN"/>
        </w:rPr>
      </w:pPr>
      <w:r>
        <w:rPr>
          <w:rFonts w:ascii="仿宋" w:hAnsi="仿宋" w:eastAsia="仿宋"/>
          <w:color w:val="auto"/>
          <w:sz w:val="24"/>
          <w:szCs w:val="24"/>
          <w:lang w:eastAsia="zh-CN"/>
        </w:rPr>
        <w:t>本项目整体服务周期为12个月（11号楼数据中心运维服务10个月；西咸信创数据中心运维服务7个月；省政府视频会议运维服务12个月；秦岭视频综合监管运维服务6个月；秦岭视频综合监管系统运营服务12个月；秦岭视频综合监管配套租赁服务6个月；链路考核专项服务12个月；陕西RA密码认证服务12个月；风险排查专项服务3次；备品备件服务在服务周期内按照需求采购）。</w:t>
      </w:r>
    </w:p>
    <w:p w14:paraId="2BFE95DC">
      <w:pPr>
        <w:pStyle w:val="11"/>
        <w:numPr>
          <w:ilvl w:val="0"/>
          <w:numId w:val="1"/>
        </w:numPr>
        <w:spacing w:line="338" w:lineRule="auto"/>
        <w:ind w:firstLine="480" w:firstLineChars="200"/>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履约保证金</w:t>
      </w:r>
    </w:p>
    <w:p w14:paraId="623A332A">
      <w:pPr>
        <w:pStyle w:val="11"/>
        <w:spacing w:line="338" w:lineRule="auto"/>
        <w:ind w:firstLine="480" w:firstLineChars="200"/>
        <w:jc w:val="both"/>
        <w:rPr>
          <w:rFonts w:hint="eastAsia" w:ascii="仿宋" w:hAnsi="仿宋" w:eastAsia="仿宋" w:cstheme="minorBidi"/>
          <w:color w:val="auto"/>
          <w:sz w:val="24"/>
          <w:szCs w:val="24"/>
          <w:lang w:val="en-US" w:eastAsia="zh-CN"/>
        </w:rPr>
      </w:pPr>
      <w:r>
        <w:rPr>
          <w:rFonts w:hint="eastAsia" w:ascii="仿宋" w:hAnsi="仿宋" w:eastAsia="仿宋" w:cstheme="minorBidi"/>
          <w:color w:val="auto"/>
          <w:sz w:val="24"/>
          <w:szCs w:val="24"/>
          <w:lang w:val="en-US" w:eastAsia="zh-CN"/>
        </w:rPr>
        <w:t>1.合同签订后，乙方以支票、汇票、本票或者金融机构、担保机构出具的保函等非现金形式向甲方缴纳合同总金额的5%作为履约保证金。</w:t>
      </w:r>
    </w:p>
    <w:p w14:paraId="559EF3F8">
      <w:pPr>
        <w:pStyle w:val="11"/>
        <w:spacing w:line="338" w:lineRule="auto"/>
        <w:ind w:firstLine="480" w:firstLineChars="200"/>
        <w:jc w:val="both"/>
        <w:rPr>
          <w:rFonts w:hint="eastAsia" w:ascii="仿宋" w:hAnsi="仿宋" w:eastAsia="仿宋"/>
          <w:color w:val="auto"/>
          <w:sz w:val="24"/>
          <w:szCs w:val="24"/>
          <w:lang w:val="en-US" w:eastAsia="zh-CN"/>
        </w:rPr>
      </w:pPr>
      <w:r>
        <w:rPr>
          <w:rFonts w:hint="eastAsia" w:ascii="仿宋" w:hAnsi="仿宋" w:eastAsia="仿宋" w:cstheme="minorBidi"/>
          <w:color w:val="auto"/>
          <w:sz w:val="24"/>
          <w:szCs w:val="24"/>
          <w:lang w:val="en-US" w:eastAsia="zh-CN"/>
        </w:rPr>
        <w:t>2.履约保证金的退还：项目终验合格无任何争议后（</w:t>
      </w:r>
      <w:r>
        <w:rPr>
          <w:rFonts w:ascii="仿宋" w:hAnsi="仿宋" w:eastAsia="仿宋" w:cstheme="minorBidi"/>
          <w:color w:val="auto"/>
          <w:sz w:val="24"/>
          <w:szCs w:val="24"/>
          <w:lang w:eastAsia="zh-CN"/>
        </w:rPr>
        <w:t>最终验收完成并按照实际工作量</w:t>
      </w:r>
      <w:r>
        <w:rPr>
          <w:rFonts w:hint="eastAsia" w:ascii="仿宋" w:hAnsi="仿宋" w:eastAsia="仿宋" w:cstheme="minorBidi"/>
          <w:color w:val="auto"/>
          <w:sz w:val="24"/>
          <w:szCs w:val="24"/>
          <w:lang w:val="en-US" w:eastAsia="zh-CN"/>
        </w:rPr>
        <w:t>甲乙</w:t>
      </w:r>
      <w:r>
        <w:rPr>
          <w:rFonts w:ascii="仿宋" w:hAnsi="仿宋" w:eastAsia="仿宋" w:cstheme="minorBidi"/>
          <w:color w:val="auto"/>
          <w:sz w:val="24"/>
          <w:szCs w:val="24"/>
          <w:lang w:eastAsia="zh-CN"/>
        </w:rPr>
        <w:t>双方进行确认</w:t>
      </w:r>
      <w:r>
        <w:rPr>
          <w:rFonts w:hint="eastAsia" w:ascii="仿宋" w:hAnsi="仿宋" w:eastAsia="仿宋" w:cstheme="minorBidi"/>
          <w:color w:val="auto"/>
          <w:sz w:val="24"/>
          <w:szCs w:val="24"/>
          <w:lang w:eastAsia="zh-CN"/>
        </w:rPr>
        <w:t>;</w:t>
      </w:r>
      <w:r>
        <w:rPr>
          <w:rFonts w:ascii="仿宋" w:hAnsi="仿宋" w:eastAsia="仿宋" w:cstheme="minorBidi"/>
          <w:color w:val="auto"/>
          <w:sz w:val="24"/>
          <w:szCs w:val="24"/>
          <w:lang w:eastAsia="zh-CN"/>
        </w:rPr>
        <w:t>按确认后实际工作量和考核结果进行结算</w:t>
      </w:r>
      <w:r>
        <w:rPr>
          <w:rFonts w:hint="eastAsia" w:ascii="仿宋" w:hAnsi="仿宋" w:eastAsia="仿宋" w:cstheme="minorBidi"/>
          <w:color w:val="auto"/>
          <w:sz w:val="24"/>
          <w:szCs w:val="24"/>
          <w:lang w:eastAsia="zh-CN"/>
        </w:rPr>
        <w:t>；</w:t>
      </w:r>
      <w:r>
        <w:rPr>
          <w:rFonts w:ascii="仿宋" w:hAnsi="仿宋" w:eastAsia="仿宋" w:cstheme="minorBidi"/>
          <w:color w:val="auto"/>
          <w:sz w:val="24"/>
          <w:szCs w:val="24"/>
          <w:lang w:eastAsia="zh-CN"/>
        </w:rPr>
        <w:t>已退还按实际工作量结算多付款项以及考核应扣除款项</w:t>
      </w:r>
      <w:r>
        <w:rPr>
          <w:rFonts w:hint="eastAsia" w:ascii="仿宋" w:hAnsi="仿宋" w:eastAsia="仿宋" w:cstheme="minorBidi"/>
          <w:color w:val="auto"/>
          <w:sz w:val="24"/>
          <w:szCs w:val="24"/>
          <w:lang w:val="en-US" w:eastAsia="zh-CN"/>
        </w:rPr>
        <w:t>），甲方将履约保证金全额退还给乙方。</w:t>
      </w:r>
    </w:p>
    <w:p w14:paraId="1C68879E">
      <w:pPr>
        <w:pStyle w:val="11"/>
        <w:spacing w:line="338" w:lineRule="auto"/>
        <w:ind w:firstLine="480" w:firstLineChars="200"/>
        <w:rPr>
          <w:rFonts w:ascii="仿宋" w:hAnsi="仿宋" w:eastAsia="仿宋"/>
          <w:color w:val="auto"/>
          <w:sz w:val="24"/>
          <w:szCs w:val="24"/>
        </w:rPr>
      </w:pPr>
      <w:r>
        <w:rPr>
          <w:rFonts w:hint="eastAsia" w:ascii="仿宋" w:hAnsi="仿宋" w:eastAsia="仿宋"/>
          <w:color w:val="auto"/>
          <w:sz w:val="24"/>
          <w:szCs w:val="24"/>
          <w:lang w:val="en-US" w:eastAsia="zh-CN"/>
        </w:rPr>
        <w:t>五</w:t>
      </w:r>
      <w:r>
        <w:rPr>
          <w:rFonts w:ascii="仿宋" w:hAnsi="仿宋" w:eastAsia="仿宋"/>
          <w:color w:val="auto"/>
          <w:sz w:val="24"/>
          <w:szCs w:val="24"/>
        </w:rPr>
        <w:t>、</w:t>
      </w:r>
      <w:r>
        <w:rPr>
          <w:rFonts w:ascii="仿宋" w:hAnsi="仿宋" w:eastAsia="仿宋"/>
          <w:color w:val="auto"/>
          <w:sz w:val="24"/>
          <w:szCs w:val="24"/>
          <w:lang w:eastAsia="zh-CN"/>
        </w:rPr>
        <w:t>合同</w:t>
      </w:r>
      <w:r>
        <w:rPr>
          <w:rFonts w:ascii="仿宋" w:hAnsi="仿宋" w:eastAsia="仿宋"/>
          <w:color w:val="auto"/>
          <w:sz w:val="24"/>
          <w:szCs w:val="24"/>
        </w:rPr>
        <w:t>价款及支付</w:t>
      </w:r>
    </w:p>
    <w:p w14:paraId="71277DDB">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 xml:space="preserve">1.本项目总价款为 </w:t>
      </w:r>
      <w:r>
        <w:rPr>
          <w:rFonts w:hint="default" w:ascii="仿宋" w:hAnsi="仿宋" w:eastAsia="仿宋"/>
          <w:color w:val="auto"/>
          <w:sz w:val="24"/>
          <w:szCs w:val="24"/>
        </w:rPr>
        <w:t>¥</w:t>
      </w:r>
      <w:r>
        <w:rPr>
          <w:rFonts w:ascii="仿宋" w:hAnsi="仿宋" w:eastAsia="仿宋"/>
          <w:color w:val="auto"/>
          <w:sz w:val="24"/>
          <w:szCs w:val="24"/>
        </w:rPr>
        <w:t xml:space="preserve"> </w:t>
      </w:r>
      <w:r>
        <w:rPr>
          <w:rFonts w:ascii="仿宋" w:hAnsi="仿宋" w:eastAsia="仿宋"/>
          <w:color w:val="auto"/>
          <w:sz w:val="24"/>
          <w:szCs w:val="24"/>
          <w:u w:val="single"/>
          <w:lang w:eastAsia="zh-CN"/>
        </w:rPr>
        <w:t xml:space="preserve">            </w:t>
      </w:r>
      <w:r>
        <w:rPr>
          <w:rFonts w:ascii="仿宋" w:hAnsi="仿宋" w:eastAsia="仿宋"/>
          <w:color w:val="auto"/>
          <w:sz w:val="24"/>
          <w:szCs w:val="24"/>
        </w:rPr>
        <w:t xml:space="preserve">元(大写: </w:t>
      </w:r>
      <w:r>
        <w:rPr>
          <w:rFonts w:ascii="仿宋" w:hAnsi="仿宋" w:eastAsia="仿宋"/>
          <w:color w:val="auto"/>
          <w:sz w:val="24"/>
          <w:szCs w:val="24"/>
          <w:u w:val="single"/>
          <w:lang w:eastAsia="zh-CN"/>
        </w:rPr>
        <w:t xml:space="preserve">              </w:t>
      </w:r>
      <w:r>
        <w:rPr>
          <w:rFonts w:ascii="仿宋" w:hAnsi="仿宋" w:eastAsia="仿宋"/>
          <w:color w:val="auto"/>
          <w:sz w:val="24"/>
          <w:szCs w:val="24"/>
        </w:rPr>
        <w:t>)。</w:t>
      </w:r>
    </w:p>
    <w:p w14:paraId="13142303">
      <w:pPr>
        <w:pStyle w:val="11"/>
        <w:spacing w:line="338" w:lineRule="auto"/>
        <w:ind w:firstLine="480" w:firstLineChars="200"/>
        <w:jc w:val="both"/>
        <w:rPr>
          <w:rFonts w:ascii="仿宋" w:hAnsi="仿宋" w:eastAsia="仿宋"/>
          <w:color w:val="auto"/>
          <w:sz w:val="24"/>
          <w:szCs w:val="24"/>
          <w:lang w:eastAsia="zh-CN"/>
        </w:rPr>
      </w:pPr>
      <w:r>
        <w:rPr>
          <w:rFonts w:ascii="仿宋" w:hAnsi="仿宋" w:eastAsia="仿宋"/>
          <w:color w:val="auto"/>
          <w:sz w:val="24"/>
          <w:szCs w:val="24"/>
          <w:lang w:eastAsia="zh-CN"/>
        </w:rPr>
        <w:t>（1）合同总价包含项目实施费及其他费用等从项目实施至最终验收合格等所有其他有关各项的含税费用。</w:t>
      </w:r>
    </w:p>
    <w:p w14:paraId="068FE5A9">
      <w:pPr>
        <w:pStyle w:val="11"/>
        <w:numPr>
          <w:ilvl w:val="0"/>
          <w:numId w:val="2"/>
        </w:numPr>
        <w:spacing w:line="338" w:lineRule="auto"/>
        <w:ind w:firstLine="480" w:firstLineChars="200"/>
        <w:jc w:val="both"/>
        <w:rPr>
          <w:rFonts w:ascii="仿宋" w:hAnsi="仿宋" w:eastAsia="仿宋"/>
          <w:color w:val="auto"/>
          <w:sz w:val="24"/>
          <w:szCs w:val="24"/>
          <w:lang w:eastAsia="zh-CN"/>
        </w:rPr>
      </w:pPr>
      <w:r>
        <w:rPr>
          <w:rFonts w:hint="default" w:ascii="仿宋" w:hAnsi="仿宋" w:eastAsia="仿宋"/>
          <w:color w:val="auto"/>
          <w:sz w:val="24"/>
          <w:szCs w:val="24"/>
          <w:lang w:eastAsia="zh-CN"/>
        </w:rPr>
        <w:t>完成最终验收后，对已完成的服务内容和系统功能项依据合同约定的分项价格或者功能点计价标准据实结算，结算价格最终不超过本合同总价。</w:t>
      </w:r>
    </w:p>
    <w:p w14:paraId="596A4761">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2.付款方式：</w:t>
      </w:r>
    </w:p>
    <w:p w14:paraId="64F14DF2">
      <w:pPr>
        <w:pStyle w:val="11"/>
        <w:spacing w:line="338" w:lineRule="auto"/>
        <w:ind w:firstLine="480" w:firstLineChars="200"/>
        <w:rPr>
          <w:rFonts w:ascii="仿宋" w:hAnsi="仿宋" w:eastAsia="仿宋" w:cstheme="minorBidi"/>
          <w:color w:val="auto"/>
          <w:sz w:val="24"/>
          <w:szCs w:val="24"/>
          <w:lang w:eastAsia="zh-CN"/>
        </w:rPr>
      </w:pPr>
      <w:r>
        <w:rPr>
          <w:rFonts w:hint="eastAsia" w:ascii="仿宋" w:hAnsi="仿宋" w:eastAsia="仿宋" w:cstheme="minorBidi"/>
          <w:color w:val="auto"/>
          <w:sz w:val="24"/>
          <w:szCs w:val="24"/>
          <w:lang w:eastAsia="zh-CN"/>
        </w:rPr>
        <w:t>（</w:t>
      </w:r>
      <w:r>
        <w:rPr>
          <w:rFonts w:hint="eastAsia" w:ascii="仿宋" w:hAnsi="仿宋" w:eastAsia="仿宋" w:cstheme="minorBidi"/>
          <w:color w:val="auto"/>
          <w:sz w:val="24"/>
          <w:szCs w:val="24"/>
          <w:lang w:val="en-US" w:eastAsia="zh-CN"/>
        </w:rPr>
        <w:t>1</w:t>
      </w:r>
      <w:r>
        <w:rPr>
          <w:rFonts w:hint="eastAsia" w:ascii="仿宋" w:hAnsi="仿宋" w:eastAsia="仿宋" w:cstheme="minorBidi"/>
          <w:color w:val="auto"/>
          <w:sz w:val="24"/>
          <w:szCs w:val="24"/>
          <w:lang w:eastAsia="zh-CN"/>
        </w:rPr>
        <w:t>）</w:t>
      </w:r>
      <w:r>
        <w:rPr>
          <w:rFonts w:ascii="仿宋" w:hAnsi="仿宋" w:eastAsia="仿宋" w:cstheme="minorBidi"/>
          <w:color w:val="auto"/>
          <w:sz w:val="24"/>
          <w:szCs w:val="24"/>
          <w:lang w:eastAsia="zh-CN"/>
        </w:rPr>
        <w:t>付款条件说明：合同签订后，由</w:t>
      </w:r>
      <w:r>
        <w:rPr>
          <w:rFonts w:hint="eastAsia" w:ascii="仿宋" w:hAnsi="仿宋" w:eastAsia="仿宋" w:cstheme="minorBidi"/>
          <w:color w:val="auto"/>
          <w:sz w:val="24"/>
          <w:szCs w:val="24"/>
          <w:lang w:val="en-US" w:eastAsia="zh-CN"/>
        </w:rPr>
        <w:t>乙方</w:t>
      </w:r>
      <w:r>
        <w:rPr>
          <w:rFonts w:ascii="仿宋" w:hAnsi="仿宋" w:eastAsia="仿宋" w:cstheme="minorBidi"/>
          <w:color w:val="auto"/>
          <w:sz w:val="24"/>
          <w:szCs w:val="24"/>
          <w:lang w:eastAsia="zh-CN"/>
        </w:rPr>
        <w:t>书面提出支付申请函及拟支付金额等额发票，经</w:t>
      </w:r>
      <w:r>
        <w:rPr>
          <w:rFonts w:hint="eastAsia" w:ascii="仿宋" w:hAnsi="仿宋" w:eastAsia="仿宋" w:cstheme="minorBidi"/>
          <w:color w:val="auto"/>
          <w:sz w:val="24"/>
          <w:szCs w:val="24"/>
          <w:lang w:val="en-US" w:eastAsia="zh-CN"/>
        </w:rPr>
        <w:t>甲方</w:t>
      </w:r>
      <w:r>
        <w:rPr>
          <w:rFonts w:ascii="仿宋" w:hAnsi="仿宋" w:eastAsia="仿宋" w:cstheme="minorBidi"/>
          <w:color w:val="auto"/>
          <w:sz w:val="24"/>
          <w:szCs w:val="24"/>
          <w:lang w:eastAsia="zh-CN"/>
        </w:rPr>
        <w:t>确认，达到付款条件起 30 日内，支付合同总金额的40.00%。</w:t>
      </w:r>
    </w:p>
    <w:p w14:paraId="3C6864EE">
      <w:pPr>
        <w:pStyle w:val="11"/>
        <w:spacing w:line="338" w:lineRule="auto"/>
        <w:ind w:firstLine="480" w:firstLineChars="200"/>
        <w:rPr>
          <w:rFonts w:ascii="仿宋" w:hAnsi="仿宋" w:eastAsia="仿宋"/>
          <w:color w:val="auto"/>
          <w:sz w:val="24"/>
          <w:szCs w:val="24"/>
          <w:lang w:eastAsia="zh-CN"/>
        </w:rPr>
      </w:pPr>
      <w:r>
        <w:rPr>
          <w:rFonts w:ascii="仿宋" w:hAnsi="仿宋" w:eastAsia="仿宋" w:cstheme="minorBidi"/>
          <w:color w:val="auto"/>
          <w:sz w:val="24"/>
          <w:szCs w:val="24"/>
          <w:lang w:eastAsia="zh-CN"/>
        </w:rPr>
        <w:t>付款条件说明：交付验收通过后，由</w:t>
      </w:r>
      <w:r>
        <w:rPr>
          <w:rFonts w:hint="eastAsia" w:ascii="仿宋" w:hAnsi="仿宋" w:eastAsia="仿宋" w:cstheme="minorBidi"/>
          <w:color w:val="auto"/>
          <w:sz w:val="24"/>
          <w:szCs w:val="24"/>
          <w:lang w:val="en-US" w:eastAsia="zh-CN"/>
        </w:rPr>
        <w:t>乙方</w:t>
      </w:r>
      <w:r>
        <w:rPr>
          <w:rFonts w:ascii="仿宋" w:hAnsi="仿宋" w:eastAsia="仿宋" w:cstheme="minorBidi"/>
          <w:color w:val="auto"/>
          <w:sz w:val="24"/>
          <w:szCs w:val="24"/>
          <w:lang w:eastAsia="zh-CN"/>
        </w:rPr>
        <w:t>书面提出支付申请函及拟支付金额等额发票，经</w:t>
      </w:r>
      <w:r>
        <w:rPr>
          <w:rFonts w:hint="eastAsia" w:ascii="仿宋" w:hAnsi="仿宋" w:eastAsia="仿宋" w:cstheme="minorBidi"/>
          <w:color w:val="auto"/>
          <w:sz w:val="24"/>
          <w:szCs w:val="24"/>
          <w:lang w:val="en-US" w:eastAsia="zh-CN"/>
        </w:rPr>
        <w:t>甲方</w:t>
      </w:r>
      <w:r>
        <w:rPr>
          <w:rFonts w:ascii="仿宋" w:hAnsi="仿宋" w:eastAsia="仿宋" w:cstheme="minorBidi"/>
          <w:color w:val="auto"/>
          <w:sz w:val="24"/>
          <w:szCs w:val="24"/>
          <w:lang w:eastAsia="zh-CN"/>
        </w:rPr>
        <w:t>确认，达到付款条件起 30 日内，支付合同总金额的40.00%</w:t>
      </w:r>
      <w:r>
        <w:rPr>
          <w:rFonts w:ascii="仿宋" w:hAnsi="仿宋" w:eastAsia="仿宋"/>
          <w:color w:val="auto"/>
          <w:sz w:val="24"/>
          <w:szCs w:val="24"/>
          <w:lang w:eastAsia="zh-CN"/>
        </w:rPr>
        <w:t>（2）上述时间不包括甲方正常办理支付报批手续的时间（办理银行担保所需的手续费、担保费等全部由</w:t>
      </w:r>
      <w:r>
        <w:rPr>
          <w:rFonts w:hint="eastAsia" w:ascii="仿宋" w:hAnsi="仿宋" w:eastAsia="仿宋"/>
          <w:color w:val="auto"/>
          <w:sz w:val="24"/>
          <w:szCs w:val="24"/>
          <w:lang w:val="en-US" w:eastAsia="zh-CN"/>
        </w:rPr>
        <w:t>乙方</w:t>
      </w:r>
      <w:r>
        <w:rPr>
          <w:rFonts w:ascii="仿宋" w:hAnsi="仿宋" w:eastAsia="仿宋"/>
          <w:color w:val="auto"/>
          <w:sz w:val="24"/>
          <w:szCs w:val="24"/>
          <w:lang w:eastAsia="zh-CN"/>
        </w:rPr>
        <w:t>承担）</w:t>
      </w:r>
    </w:p>
    <w:p w14:paraId="0BF4CA24">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（3）乙方</w:t>
      </w:r>
      <w:r>
        <w:rPr>
          <w:rFonts w:ascii="仿宋" w:hAnsi="仿宋" w:eastAsia="仿宋"/>
          <w:color w:val="auto"/>
          <w:sz w:val="24"/>
          <w:szCs w:val="24"/>
        </w:rPr>
        <w:t>承诺在</w:t>
      </w:r>
      <w:r>
        <w:rPr>
          <w:rFonts w:ascii="仿宋" w:hAnsi="仿宋" w:eastAsia="仿宋"/>
          <w:color w:val="auto"/>
          <w:sz w:val="24"/>
          <w:szCs w:val="24"/>
          <w:lang w:eastAsia="zh-CN"/>
        </w:rPr>
        <w:t>甲方</w:t>
      </w:r>
      <w:r>
        <w:rPr>
          <w:rFonts w:ascii="仿宋" w:hAnsi="仿宋" w:eastAsia="仿宋"/>
          <w:color w:val="auto"/>
          <w:sz w:val="24"/>
          <w:szCs w:val="24"/>
        </w:rPr>
        <w:t>办理支付手续前，为</w:t>
      </w:r>
      <w:r>
        <w:rPr>
          <w:rFonts w:ascii="仿宋" w:hAnsi="仿宋" w:eastAsia="仿宋"/>
          <w:color w:val="auto"/>
          <w:sz w:val="24"/>
          <w:szCs w:val="24"/>
          <w:lang w:eastAsia="zh-CN"/>
        </w:rPr>
        <w:t>甲方</w:t>
      </w:r>
      <w:r>
        <w:rPr>
          <w:rFonts w:ascii="仿宋" w:hAnsi="仿宋" w:eastAsia="仿宋"/>
          <w:color w:val="auto"/>
          <w:sz w:val="24"/>
          <w:szCs w:val="24"/>
        </w:rPr>
        <w:t>出具等额的符合国家规定的发票。乙方未提供发票、逾期提供发票或提供发票不符合甲方要求的，由此造成的相关责任由乙方自行承担，甲方有权拒绝付款，并不因此承担逾期付款的违约责任。</w:t>
      </w:r>
    </w:p>
    <w:p w14:paraId="48FB8C16">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（4）</w:t>
      </w:r>
      <w:r>
        <w:rPr>
          <w:rFonts w:ascii="仿宋" w:hAnsi="仿宋" w:eastAsia="仿宋"/>
          <w:color w:val="auto"/>
          <w:sz w:val="24"/>
          <w:szCs w:val="24"/>
        </w:rPr>
        <w:t>如因政府财政部门审查、财政支付管理流程及预算下达导致支付延期，支付期限自动顺延，</w:t>
      </w:r>
      <w:r>
        <w:rPr>
          <w:rFonts w:ascii="仿宋" w:hAnsi="仿宋" w:eastAsia="仿宋"/>
          <w:color w:val="auto"/>
          <w:sz w:val="24"/>
          <w:szCs w:val="24"/>
          <w:lang w:eastAsia="zh-CN"/>
        </w:rPr>
        <w:t>甲方</w:t>
      </w:r>
      <w:r>
        <w:rPr>
          <w:rFonts w:ascii="仿宋" w:hAnsi="仿宋" w:eastAsia="仿宋"/>
          <w:color w:val="auto"/>
          <w:sz w:val="24"/>
          <w:szCs w:val="24"/>
        </w:rPr>
        <w:t>不承担责任，</w:t>
      </w:r>
      <w:r>
        <w:rPr>
          <w:rFonts w:ascii="仿宋" w:hAnsi="仿宋" w:eastAsia="仿宋"/>
          <w:color w:val="auto"/>
          <w:sz w:val="24"/>
          <w:szCs w:val="24"/>
          <w:lang w:eastAsia="zh-CN"/>
        </w:rPr>
        <w:t>乙方</w:t>
      </w:r>
      <w:r>
        <w:rPr>
          <w:rFonts w:ascii="仿宋" w:hAnsi="仿宋" w:eastAsia="仿宋"/>
          <w:color w:val="auto"/>
          <w:sz w:val="24"/>
          <w:szCs w:val="24"/>
        </w:rPr>
        <w:t>不得以此为由迟延履行或不履行合同义务。</w:t>
      </w:r>
    </w:p>
    <w:p w14:paraId="753A0CFE">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3</w:t>
      </w:r>
      <w:r>
        <w:rPr>
          <w:rFonts w:ascii="仿宋" w:hAnsi="仿宋" w:eastAsia="仿宋"/>
          <w:color w:val="auto"/>
          <w:sz w:val="24"/>
          <w:szCs w:val="24"/>
        </w:rPr>
        <w:t>.乙方指定收款账户如下</w:t>
      </w:r>
      <w:r>
        <w:rPr>
          <w:rFonts w:ascii="仿宋" w:hAnsi="仿宋" w:eastAsia="仿宋"/>
          <w:color w:val="auto"/>
          <w:sz w:val="24"/>
          <w:szCs w:val="24"/>
          <w:lang w:eastAsia="zh-CN"/>
        </w:rPr>
        <w:t>，</w:t>
      </w:r>
      <w:r>
        <w:rPr>
          <w:rFonts w:ascii="仿宋" w:hAnsi="仿宋" w:eastAsia="仿宋"/>
          <w:color w:val="auto"/>
          <w:sz w:val="24"/>
          <w:szCs w:val="24"/>
        </w:rPr>
        <w:t>乙方</w:t>
      </w:r>
      <w:r>
        <w:rPr>
          <w:rFonts w:ascii="仿宋" w:hAnsi="仿宋" w:eastAsia="仿宋"/>
          <w:color w:val="auto"/>
          <w:sz w:val="24"/>
          <w:szCs w:val="24"/>
          <w:lang w:eastAsia="zh-CN"/>
        </w:rPr>
        <w:t>自行</w:t>
      </w:r>
      <w:r>
        <w:rPr>
          <w:rFonts w:ascii="仿宋" w:hAnsi="仿宋" w:eastAsia="仿宋"/>
          <w:color w:val="auto"/>
          <w:sz w:val="24"/>
          <w:szCs w:val="24"/>
        </w:rPr>
        <w:t>承担因提供信息有误带来的一切不利后果：</w:t>
      </w:r>
    </w:p>
    <w:p w14:paraId="4F1166C8">
      <w:pPr>
        <w:pStyle w:val="11"/>
        <w:spacing w:line="338" w:lineRule="auto"/>
        <w:ind w:firstLine="720" w:firstLineChars="300"/>
        <w:rPr>
          <w:rFonts w:ascii="仿宋" w:hAnsi="仿宋" w:eastAsia="仿宋"/>
          <w:color w:val="auto"/>
          <w:sz w:val="24"/>
          <w:szCs w:val="24"/>
        </w:rPr>
      </w:pPr>
      <w:r>
        <w:rPr>
          <w:rFonts w:ascii="仿宋" w:hAnsi="仿宋" w:eastAsia="仿宋"/>
          <w:color w:val="auto"/>
          <w:sz w:val="24"/>
          <w:szCs w:val="24"/>
        </w:rPr>
        <w:t>户</w:t>
      </w:r>
      <w:r>
        <w:rPr>
          <w:rFonts w:ascii="仿宋" w:hAnsi="仿宋" w:eastAsia="仿宋"/>
          <w:color w:val="auto"/>
          <w:sz w:val="24"/>
          <w:szCs w:val="24"/>
          <w:lang w:eastAsia="zh-CN"/>
        </w:rPr>
        <w:t xml:space="preserve">    </w:t>
      </w:r>
      <w:r>
        <w:rPr>
          <w:rFonts w:ascii="仿宋" w:hAnsi="仿宋" w:eastAsia="仿宋"/>
          <w:color w:val="auto"/>
          <w:sz w:val="24"/>
          <w:szCs w:val="24"/>
        </w:rPr>
        <w:t>名:</w:t>
      </w:r>
    </w:p>
    <w:p w14:paraId="69A0DFE5">
      <w:pPr>
        <w:pStyle w:val="11"/>
        <w:spacing w:line="338" w:lineRule="auto"/>
        <w:ind w:firstLine="720" w:firstLineChars="300"/>
        <w:rPr>
          <w:rFonts w:ascii="仿宋" w:hAnsi="仿宋" w:eastAsia="仿宋"/>
          <w:color w:val="auto"/>
          <w:sz w:val="24"/>
          <w:szCs w:val="24"/>
        </w:rPr>
      </w:pPr>
      <w:r>
        <w:rPr>
          <w:rFonts w:ascii="仿宋" w:hAnsi="仿宋" w:eastAsia="仿宋"/>
          <w:color w:val="auto"/>
          <w:sz w:val="24"/>
          <w:szCs w:val="24"/>
        </w:rPr>
        <w:t xml:space="preserve">开 户 行:               </w:t>
      </w:r>
    </w:p>
    <w:p w14:paraId="5BBA3AD8">
      <w:pPr>
        <w:pStyle w:val="11"/>
        <w:spacing w:line="338" w:lineRule="auto"/>
        <w:ind w:firstLine="720" w:firstLineChars="300"/>
        <w:rPr>
          <w:rFonts w:ascii="仿宋" w:hAnsi="仿宋" w:eastAsia="仿宋"/>
          <w:color w:val="auto"/>
          <w:sz w:val="24"/>
          <w:szCs w:val="24"/>
        </w:rPr>
      </w:pPr>
      <w:r>
        <w:rPr>
          <w:rFonts w:ascii="仿宋" w:hAnsi="仿宋" w:eastAsia="仿宋"/>
          <w:color w:val="auto"/>
          <w:sz w:val="24"/>
          <w:szCs w:val="24"/>
        </w:rPr>
        <w:t xml:space="preserve">银行账号:                </w:t>
      </w:r>
    </w:p>
    <w:p w14:paraId="12704477">
      <w:pPr>
        <w:pStyle w:val="11"/>
        <w:spacing w:line="338" w:lineRule="auto"/>
        <w:ind w:firstLine="480" w:firstLineChars="200"/>
        <w:rPr>
          <w:rFonts w:ascii="仿宋" w:hAnsi="仿宋" w:eastAsia="仿宋"/>
          <w:color w:val="auto"/>
          <w:sz w:val="24"/>
          <w:szCs w:val="24"/>
          <w:lang w:eastAsia="zh-CN"/>
        </w:rPr>
      </w:pPr>
      <w:r>
        <w:rPr>
          <w:rFonts w:hint="eastAsia" w:ascii="仿宋" w:hAnsi="仿宋" w:eastAsia="仿宋"/>
          <w:color w:val="auto"/>
          <w:sz w:val="24"/>
          <w:szCs w:val="24"/>
          <w:lang w:val="en-US" w:eastAsia="zh-CN"/>
        </w:rPr>
        <w:t>六</w:t>
      </w:r>
      <w:r>
        <w:rPr>
          <w:rFonts w:ascii="仿宋" w:hAnsi="仿宋" w:eastAsia="仿宋"/>
          <w:color w:val="auto"/>
          <w:sz w:val="24"/>
          <w:szCs w:val="24"/>
          <w:lang w:eastAsia="zh-CN"/>
        </w:rPr>
        <w:t>、服务地点</w:t>
      </w:r>
    </w:p>
    <w:p w14:paraId="77FF5475">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甲方指定地点</w:t>
      </w:r>
      <w:r>
        <w:rPr>
          <w:rFonts w:hint="eastAsia" w:ascii="仿宋" w:hAnsi="仿宋" w:eastAsia="仿宋"/>
          <w:color w:val="auto"/>
          <w:sz w:val="24"/>
          <w:szCs w:val="24"/>
          <w:lang w:eastAsia="zh-CN"/>
        </w:rPr>
        <w:t>（</w:t>
      </w:r>
      <w:r>
        <w:rPr>
          <w:rFonts w:ascii="仿宋" w:hAnsi="仿宋" w:eastAsia="仿宋"/>
          <w:color w:val="auto"/>
          <w:sz w:val="24"/>
          <w:szCs w:val="24"/>
          <w:lang w:eastAsia="zh-CN"/>
        </w:rPr>
        <w:t>西安本地</w:t>
      </w:r>
      <w:r>
        <w:rPr>
          <w:rFonts w:hint="eastAsia" w:ascii="仿宋" w:hAnsi="仿宋" w:eastAsia="仿宋"/>
          <w:color w:val="auto"/>
          <w:sz w:val="24"/>
          <w:szCs w:val="24"/>
          <w:lang w:eastAsia="zh-CN"/>
        </w:rPr>
        <w:t>，</w:t>
      </w:r>
      <w:r>
        <w:rPr>
          <w:rFonts w:ascii="仿宋" w:hAnsi="仿宋" w:eastAsia="仿宋"/>
          <w:color w:val="auto"/>
          <w:sz w:val="24"/>
          <w:szCs w:val="24"/>
          <w:lang w:eastAsia="zh-CN"/>
        </w:rPr>
        <w:t>含西咸新区）。</w:t>
      </w:r>
    </w:p>
    <w:p w14:paraId="1957F46F">
      <w:pPr>
        <w:pStyle w:val="11"/>
        <w:spacing w:line="338" w:lineRule="auto"/>
        <w:ind w:firstLine="480" w:firstLineChars="200"/>
        <w:rPr>
          <w:rFonts w:ascii="仿宋" w:hAnsi="仿宋" w:eastAsia="仿宋"/>
          <w:color w:val="auto"/>
          <w:sz w:val="24"/>
          <w:szCs w:val="24"/>
          <w:lang w:eastAsia="zh-CN"/>
        </w:rPr>
      </w:pPr>
      <w:r>
        <w:rPr>
          <w:rFonts w:hint="eastAsia" w:ascii="仿宋" w:hAnsi="仿宋" w:eastAsia="仿宋"/>
          <w:color w:val="auto"/>
          <w:sz w:val="24"/>
          <w:szCs w:val="24"/>
          <w:lang w:val="en-US" w:eastAsia="zh-CN"/>
        </w:rPr>
        <w:t>七</w:t>
      </w:r>
      <w:r>
        <w:rPr>
          <w:rFonts w:ascii="仿宋" w:hAnsi="仿宋" w:eastAsia="仿宋"/>
          <w:color w:val="auto"/>
          <w:sz w:val="24"/>
          <w:szCs w:val="24"/>
          <w:lang w:eastAsia="zh-CN"/>
        </w:rPr>
        <w:t>、质量保证</w:t>
      </w:r>
    </w:p>
    <w:p w14:paraId="5E48F767">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1.乙方应当保证服务内容质量完全符合合同规定的要求，并对服务内容质量问题负责。</w:t>
      </w:r>
    </w:p>
    <w:p w14:paraId="30480349">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2.采购项目执行内容需要调整时，经甲方书面同意后，可以对相应的内容进行调整，并协商确定价格差额计算方法和负担办法。</w:t>
      </w:r>
    </w:p>
    <w:p w14:paraId="55B2CB54">
      <w:pPr>
        <w:pStyle w:val="11"/>
        <w:spacing w:line="338" w:lineRule="auto"/>
        <w:ind w:firstLine="480" w:firstLineChars="200"/>
        <w:rPr>
          <w:rFonts w:ascii="仿宋" w:hAnsi="仿宋" w:eastAsia="仿宋"/>
          <w:color w:val="auto"/>
          <w:sz w:val="24"/>
          <w:szCs w:val="24"/>
          <w:lang w:eastAsia="zh-CN"/>
        </w:rPr>
      </w:pPr>
      <w:r>
        <w:rPr>
          <w:rFonts w:hint="eastAsia" w:ascii="仿宋" w:hAnsi="仿宋" w:eastAsia="仿宋"/>
          <w:color w:val="auto"/>
          <w:sz w:val="24"/>
          <w:szCs w:val="24"/>
          <w:lang w:val="en-US" w:eastAsia="zh-CN"/>
        </w:rPr>
        <w:t>八</w:t>
      </w:r>
      <w:r>
        <w:rPr>
          <w:rFonts w:ascii="仿宋" w:hAnsi="仿宋" w:eastAsia="仿宋"/>
          <w:color w:val="auto"/>
          <w:sz w:val="24"/>
          <w:szCs w:val="24"/>
          <w:lang w:eastAsia="zh-CN"/>
        </w:rPr>
        <w:t>、技术服务</w:t>
      </w:r>
    </w:p>
    <w:p w14:paraId="472F3E1E">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1.技术资料</w:t>
      </w:r>
    </w:p>
    <w:p w14:paraId="7A6ECE40">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2.服务承诺</w:t>
      </w:r>
    </w:p>
    <w:p w14:paraId="07EB66CA">
      <w:pPr>
        <w:pStyle w:val="11"/>
        <w:spacing w:line="338" w:lineRule="auto"/>
        <w:ind w:firstLine="480" w:firstLineChars="200"/>
        <w:rPr>
          <w:rFonts w:ascii="仿宋" w:hAnsi="仿宋" w:eastAsia="仿宋"/>
          <w:color w:val="auto"/>
          <w:sz w:val="24"/>
          <w:szCs w:val="24"/>
        </w:rPr>
      </w:pPr>
      <w:r>
        <w:rPr>
          <w:rFonts w:hint="eastAsia" w:ascii="仿宋" w:hAnsi="仿宋" w:eastAsia="仿宋"/>
          <w:color w:val="auto"/>
          <w:sz w:val="24"/>
          <w:szCs w:val="24"/>
          <w:lang w:val="en-US" w:eastAsia="zh-CN"/>
        </w:rPr>
        <w:t>九</w:t>
      </w:r>
      <w:r>
        <w:rPr>
          <w:rFonts w:ascii="仿宋" w:hAnsi="仿宋" w:eastAsia="仿宋"/>
          <w:color w:val="auto"/>
          <w:sz w:val="24"/>
          <w:szCs w:val="24"/>
        </w:rPr>
        <w:t>、甲方的权利和义务</w:t>
      </w:r>
    </w:p>
    <w:p w14:paraId="6CD2F878">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1.甲方有权对</w:t>
      </w:r>
      <w:r>
        <w:rPr>
          <w:rFonts w:ascii="仿宋" w:hAnsi="仿宋" w:eastAsia="仿宋"/>
          <w:color w:val="auto"/>
          <w:sz w:val="24"/>
          <w:szCs w:val="24"/>
          <w:lang w:eastAsia="zh-CN"/>
        </w:rPr>
        <w:t>合同</w:t>
      </w:r>
      <w:r>
        <w:rPr>
          <w:rFonts w:ascii="仿宋" w:hAnsi="仿宋" w:eastAsia="仿宋"/>
          <w:color w:val="auto"/>
          <w:sz w:val="24"/>
          <w:szCs w:val="24"/>
        </w:rPr>
        <w:t>规定范围内乙方的服务内容进行监督和检查，如甲方存在异议，乙方应当在收到甲方异议后按期整改并说明；</w:t>
      </w:r>
    </w:p>
    <w:p w14:paraId="7493106C">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2.甲方有权要求乙方提供与相关服务内容有关的相关信息；</w:t>
      </w:r>
    </w:p>
    <w:p w14:paraId="48E9F0C0">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3.甲方有权得到符合合同要求的所有服务；</w:t>
      </w:r>
    </w:p>
    <w:p w14:paraId="51C5D6C8">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4</w:t>
      </w:r>
      <w:r>
        <w:rPr>
          <w:rFonts w:ascii="仿宋" w:hAnsi="仿宋" w:eastAsia="仿宋"/>
          <w:color w:val="auto"/>
          <w:sz w:val="24"/>
          <w:szCs w:val="24"/>
        </w:rPr>
        <w:t>.根据本</w:t>
      </w:r>
      <w:r>
        <w:rPr>
          <w:rFonts w:ascii="仿宋" w:hAnsi="仿宋" w:eastAsia="仿宋"/>
          <w:color w:val="auto"/>
          <w:sz w:val="24"/>
          <w:szCs w:val="24"/>
          <w:lang w:eastAsia="zh-CN"/>
        </w:rPr>
        <w:t>合同</w:t>
      </w:r>
      <w:r>
        <w:rPr>
          <w:rFonts w:ascii="仿宋" w:hAnsi="仿宋" w:eastAsia="仿宋"/>
          <w:color w:val="auto"/>
          <w:sz w:val="24"/>
          <w:szCs w:val="24"/>
        </w:rPr>
        <w:t>约定，按时向乙方支付应付</w:t>
      </w:r>
      <w:r>
        <w:rPr>
          <w:rFonts w:ascii="仿宋" w:hAnsi="仿宋" w:eastAsia="仿宋"/>
          <w:color w:val="auto"/>
          <w:sz w:val="24"/>
          <w:szCs w:val="24"/>
          <w:lang w:eastAsia="zh-CN"/>
        </w:rPr>
        <w:t>合同</w:t>
      </w:r>
      <w:r>
        <w:rPr>
          <w:rFonts w:ascii="仿宋" w:hAnsi="仿宋" w:eastAsia="仿宋"/>
          <w:color w:val="auto"/>
          <w:sz w:val="24"/>
          <w:szCs w:val="24"/>
        </w:rPr>
        <w:t>价款</w:t>
      </w:r>
      <w:r>
        <w:rPr>
          <w:rFonts w:ascii="仿宋" w:hAnsi="仿宋" w:eastAsia="仿宋"/>
          <w:color w:val="auto"/>
          <w:sz w:val="24"/>
          <w:szCs w:val="24"/>
          <w:lang w:eastAsia="zh-CN"/>
        </w:rPr>
        <w:t>。如乙方服务未达到合同</w:t>
      </w:r>
    </w:p>
    <w:p w14:paraId="2DCD991D">
      <w:pPr>
        <w:pStyle w:val="11"/>
        <w:spacing w:line="338" w:lineRule="auto"/>
        <w:rPr>
          <w:rFonts w:ascii="仿宋" w:hAnsi="仿宋" w:eastAsia="仿宋"/>
          <w:color w:val="auto"/>
          <w:sz w:val="24"/>
          <w:szCs w:val="24"/>
          <w:lang w:eastAsia="zh-CN"/>
        </w:rPr>
      </w:pPr>
      <w:r>
        <w:rPr>
          <w:rFonts w:ascii="仿宋" w:hAnsi="仿宋" w:eastAsia="仿宋"/>
          <w:color w:val="auto"/>
          <w:sz w:val="24"/>
          <w:szCs w:val="24"/>
          <w:lang w:eastAsia="zh-CN"/>
        </w:rPr>
        <w:t>要求，甲方有权拒付未达到要求部分的款项</w:t>
      </w:r>
    </w:p>
    <w:p w14:paraId="4377BAF0">
      <w:pPr>
        <w:ind w:firstLine="480" w:firstLineChars="200"/>
        <w:rPr>
          <w:rFonts w:hint="eastAsia" w:ascii="仿宋" w:hAnsi="仿宋" w:eastAsia="仿宋"/>
          <w:color w:val="auto"/>
          <w:sz w:val="24"/>
          <w:szCs w:val="24"/>
        </w:rPr>
      </w:pPr>
      <w:r>
        <w:rPr>
          <w:rFonts w:hint="eastAsia" w:ascii="仿宋" w:hAnsi="仿宋" w:eastAsia="仿宋"/>
          <w:color w:val="auto"/>
          <w:sz w:val="24"/>
          <w:szCs w:val="24"/>
        </w:rPr>
        <w:t>5.</w:t>
      </w:r>
      <w:r>
        <w:rPr>
          <w:rFonts w:hint="eastAsia" w:ascii="仿宋" w:hAnsi="仿宋" w:eastAsia="仿宋" w:cs="仿宋"/>
          <w:color w:val="auto"/>
          <w:kern w:val="0"/>
          <w:sz w:val="24"/>
        </w:rPr>
        <w:t>乙方完成所有协议约定内容后，甲方根据项目实施情况出具的客观公正的书面用户验收意见。</w:t>
      </w:r>
      <w:r>
        <w:rPr>
          <w:rFonts w:ascii="仿宋" w:hAnsi="仿宋" w:eastAsia="仿宋"/>
          <w:color w:val="auto"/>
          <w:sz w:val="24"/>
          <w:szCs w:val="24"/>
        </w:rPr>
        <w:cr/>
      </w:r>
      <w:r>
        <w:rPr>
          <w:rFonts w:hint="eastAsia" w:ascii="仿宋" w:hAnsi="仿宋" w:eastAsia="仿宋"/>
          <w:color w:val="auto"/>
          <w:sz w:val="24"/>
          <w:szCs w:val="24"/>
        </w:rPr>
        <w:t xml:space="preserve">    </w:t>
      </w:r>
      <w:r>
        <w:rPr>
          <w:rFonts w:hint="eastAsia" w:ascii="仿宋" w:hAnsi="仿宋" w:eastAsia="仿宋"/>
          <w:color w:val="auto"/>
          <w:sz w:val="24"/>
          <w:szCs w:val="24"/>
          <w:lang w:val="en-US" w:eastAsia="zh-CN"/>
        </w:rPr>
        <w:t>十</w:t>
      </w:r>
      <w:r>
        <w:rPr>
          <w:rFonts w:ascii="仿宋" w:hAnsi="仿宋" w:eastAsia="仿宋"/>
          <w:color w:val="auto"/>
          <w:sz w:val="24"/>
          <w:szCs w:val="24"/>
        </w:rPr>
        <w:t>、乙方的权利和义务</w:t>
      </w:r>
    </w:p>
    <w:p w14:paraId="634B5503">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1.</w:t>
      </w:r>
      <w:r>
        <w:rPr>
          <w:rFonts w:ascii="仿宋" w:hAnsi="仿宋" w:eastAsia="仿宋"/>
          <w:color w:val="auto"/>
          <w:sz w:val="24"/>
          <w:szCs w:val="24"/>
        </w:rPr>
        <w:t>乙方应向甲方提供与本项目服务有关的资料，包括项目服务单位、人员的资质证书及承担本合同业务的专业人员名单、项目服务工作计划等，并按</w:t>
      </w:r>
      <w:r>
        <w:rPr>
          <w:rFonts w:ascii="仿宋" w:hAnsi="仿宋" w:eastAsia="仿宋"/>
          <w:color w:val="auto"/>
          <w:sz w:val="24"/>
          <w:szCs w:val="24"/>
          <w:lang w:eastAsia="zh-CN"/>
        </w:rPr>
        <w:t>招标文件、</w:t>
      </w:r>
      <w:r>
        <w:rPr>
          <w:rFonts w:ascii="仿宋" w:hAnsi="仿宋" w:eastAsia="仿宋"/>
          <w:color w:val="auto"/>
          <w:sz w:val="24"/>
          <w:szCs w:val="24"/>
        </w:rPr>
        <w:t>合同约定的范围、时间、工作依据、工作标准等，出具内容齐全、规范、准确的相关报告等。</w:t>
      </w:r>
    </w:p>
    <w:p w14:paraId="5C094D66">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2.</w:t>
      </w:r>
      <w:r>
        <w:rPr>
          <w:rFonts w:ascii="仿宋" w:hAnsi="仿宋" w:eastAsia="仿宋"/>
          <w:color w:val="auto"/>
          <w:sz w:val="24"/>
          <w:szCs w:val="24"/>
        </w:rPr>
        <w:t>合作过程中乙方应指派专门的业务负责人负责合作事项的全程沟通及协调工作；</w:t>
      </w:r>
    </w:p>
    <w:p w14:paraId="6BEB1ED0">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3.</w:t>
      </w:r>
      <w:r>
        <w:rPr>
          <w:rFonts w:ascii="仿宋" w:hAnsi="仿宋" w:eastAsia="仿宋"/>
          <w:color w:val="auto"/>
          <w:sz w:val="24"/>
          <w:szCs w:val="24"/>
        </w:rPr>
        <w:t>乙方应遵守甲方有关合作事项的各项管理规定，及时报告工作进度，在规定时间内完成相应工作；</w:t>
      </w:r>
    </w:p>
    <w:p w14:paraId="360A0CD2">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4.</w:t>
      </w:r>
      <w:r>
        <w:rPr>
          <w:rFonts w:ascii="仿宋" w:hAnsi="仿宋" w:eastAsia="仿宋"/>
          <w:color w:val="auto"/>
          <w:sz w:val="24"/>
          <w:szCs w:val="24"/>
        </w:rPr>
        <w:t>甲方在工作质量、工作进度、工作内容等方面提出意见及建议，乙方应及时响应并有效改进；</w:t>
      </w:r>
    </w:p>
    <w:p w14:paraId="3A9AA67C">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5.</w:t>
      </w:r>
      <w:r>
        <w:rPr>
          <w:rFonts w:ascii="仿宋" w:hAnsi="仿宋" w:eastAsia="仿宋"/>
          <w:color w:val="auto"/>
          <w:sz w:val="24"/>
          <w:szCs w:val="24"/>
        </w:rPr>
        <w:t>不得转包、分包；</w:t>
      </w:r>
    </w:p>
    <w:p w14:paraId="59F1C6DA">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6.</w:t>
      </w:r>
      <w:r>
        <w:rPr>
          <w:rFonts w:ascii="仿宋" w:hAnsi="仿宋" w:eastAsia="仿宋"/>
          <w:color w:val="auto"/>
          <w:sz w:val="24"/>
          <w:szCs w:val="24"/>
        </w:rPr>
        <w:t>乙方工作人员为甲方提供服务过程中，个人及财产安全由乙方自行负责，与甲方无关。乙方与工作人员建立合法的</w:t>
      </w:r>
      <w:r>
        <w:rPr>
          <w:rFonts w:hint="eastAsia" w:ascii="仿宋" w:hAnsi="仿宋" w:eastAsia="仿宋"/>
          <w:color w:val="auto"/>
          <w:sz w:val="24"/>
          <w:szCs w:val="24"/>
          <w:lang w:val="en-US" w:eastAsia="zh-CN"/>
        </w:rPr>
        <w:t>劳务</w:t>
      </w:r>
      <w:r>
        <w:rPr>
          <w:rFonts w:ascii="仿宋" w:hAnsi="仿宋" w:eastAsia="仿宋"/>
          <w:color w:val="auto"/>
          <w:sz w:val="24"/>
          <w:szCs w:val="24"/>
        </w:rPr>
        <w:t>关系，并承担用工主体责任；</w:t>
      </w:r>
    </w:p>
    <w:p w14:paraId="2B6670F0">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7.</w:t>
      </w:r>
      <w:r>
        <w:rPr>
          <w:rFonts w:ascii="仿宋" w:hAnsi="仿宋" w:eastAsia="仿宋"/>
          <w:color w:val="auto"/>
          <w:sz w:val="24"/>
          <w:szCs w:val="24"/>
        </w:rPr>
        <w:t>乙方应对本项目所提供服务结果的可靠性、准确性、全面性向甲方负责，由于服务结果的可靠性、准确性、全面性不足而导致甲方工作偏差或失误，乙方应承担责任。</w:t>
      </w:r>
    </w:p>
    <w:p w14:paraId="543B9858">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十</w:t>
      </w:r>
      <w:r>
        <w:rPr>
          <w:rFonts w:hint="eastAsia" w:ascii="仿宋" w:hAnsi="仿宋" w:eastAsia="仿宋"/>
          <w:color w:val="auto"/>
          <w:sz w:val="24"/>
          <w:szCs w:val="24"/>
          <w:lang w:val="en-US" w:eastAsia="zh-CN"/>
        </w:rPr>
        <w:t>一</w:t>
      </w:r>
      <w:r>
        <w:rPr>
          <w:rFonts w:ascii="仿宋" w:hAnsi="仿宋" w:eastAsia="仿宋"/>
          <w:color w:val="auto"/>
          <w:sz w:val="24"/>
          <w:szCs w:val="24"/>
          <w:lang w:eastAsia="zh-CN"/>
        </w:rPr>
        <w:t>、验收</w:t>
      </w:r>
    </w:p>
    <w:p w14:paraId="5890B894">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olor w:val="auto"/>
          <w:sz w:val="24"/>
          <w:szCs w:val="24"/>
          <w:lang w:eastAsia="zh-CN"/>
        </w:rPr>
        <w:t>(一)</w:t>
      </w:r>
      <w:r>
        <w:rPr>
          <w:rFonts w:ascii="仿宋" w:hAnsi="仿宋" w:eastAsia="仿宋" w:cs="仿宋_GB2312"/>
          <w:color w:val="auto"/>
          <w:sz w:val="24"/>
          <w:szCs w:val="24"/>
          <w:lang w:eastAsia="zh-CN"/>
        </w:rPr>
        <w:t>验收依据</w:t>
      </w:r>
    </w:p>
    <w:p w14:paraId="2E9115D5">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国家有关法律法规，以及国家和省关于信息系统和政务信息化项目的相关标准规范；经批准的项目实施方案及批复文件；项目变更审批文件或备案文件；项目合同文件或协议文件，项目采购文件；与项目服务采购、管理有关的维保服务协议等其他具有法律效力的文件。</w:t>
      </w:r>
    </w:p>
    <w:p w14:paraId="77ADBC41">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olor w:val="auto"/>
          <w:sz w:val="24"/>
          <w:szCs w:val="24"/>
          <w:lang w:eastAsia="zh-CN"/>
        </w:rPr>
        <w:t>(二)</w:t>
      </w:r>
      <w:r>
        <w:rPr>
          <w:rFonts w:ascii="仿宋" w:hAnsi="仿宋" w:eastAsia="仿宋" w:cs="仿宋_GB2312"/>
          <w:color w:val="auto"/>
          <w:sz w:val="24"/>
          <w:szCs w:val="24"/>
          <w:lang w:eastAsia="zh-CN"/>
        </w:rPr>
        <w:t>交付验收</w:t>
      </w:r>
    </w:p>
    <w:p w14:paraId="5F1BF848">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1.项目验收条件</w:t>
      </w:r>
    </w:p>
    <w:p w14:paraId="4F10C6EF">
      <w:pPr>
        <w:pStyle w:val="11"/>
        <w:spacing w:line="338" w:lineRule="auto"/>
        <w:ind w:firstLine="480" w:firstLineChars="200"/>
        <w:rPr>
          <w:rFonts w:hint="eastAsia" w:ascii="仿宋" w:hAnsi="仿宋" w:eastAsia="仿宋" w:cs="仿宋_GB2312"/>
          <w:color w:val="auto"/>
          <w:sz w:val="24"/>
          <w:szCs w:val="24"/>
        </w:rPr>
      </w:pPr>
      <w:r>
        <w:rPr>
          <w:rFonts w:hint="eastAsia" w:ascii="仿宋" w:hAnsi="仿宋" w:eastAsia="仿宋" w:cs="仿宋_GB2312"/>
          <w:color w:val="auto"/>
          <w:sz w:val="24"/>
          <w:szCs w:val="24"/>
          <w:lang w:val="en-US" w:eastAsia="zh-CN"/>
        </w:rPr>
        <w:t>乙方的工具</w:t>
      </w:r>
      <w:r>
        <w:rPr>
          <w:rFonts w:ascii="仿宋" w:hAnsi="仿宋" w:eastAsia="仿宋" w:cs="仿宋_GB2312"/>
          <w:color w:val="auto"/>
          <w:sz w:val="24"/>
          <w:szCs w:val="24"/>
          <w:lang w:eastAsia="zh-CN"/>
        </w:rPr>
        <w:t>能够满足项目</w:t>
      </w: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所要求的基本服务能力和技术要求、人员配置要求时，可提交交付验收申请。</w:t>
      </w:r>
    </w:p>
    <w:p w14:paraId="51ACA46D">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2.项目验收组织及流程</w:t>
      </w:r>
    </w:p>
    <w:p w14:paraId="672CCF20">
      <w:pPr>
        <w:pStyle w:val="11"/>
        <w:spacing w:line="338" w:lineRule="auto"/>
        <w:ind w:firstLine="480" w:firstLineChars="200"/>
        <w:rPr>
          <w:rFonts w:hint="eastAsia" w:ascii="仿宋" w:hAnsi="仿宋" w:eastAsia="仿宋" w:cs="仿宋_GB2312"/>
          <w:color w:val="auto"/>
          <w:sz w:val="24"/>
          <w:szCs w:val="24"/>
        </w:rPr>
      </w:pPr>
      <w:r>
        <w:rPr>
          <w:rFonts w:hint="eastAsia" w:ascii="仿宋" w:hAnsi="仿宋" w:eastAsia="仿宋" w:cs="仿宋_GB2312"/>
          <w:color w:val="auto"/>
          <w:sz w:val="24"/>
          <w:szCs w:val="24"/>
          <w:lang w:val="en-US" w:eastAsia="zh-CN"/>
        </w:rPr>
        <w:t>乙方</w:t>
      </w:r>
      <w:r>
        <w:rPr>
          <w:rFonts w:ascii="仿宋" w:hAnsi="仿宋" w:eastAsia="仿宋" w:cs="仿宋_GB2312"/>
          <w:color w:val="auto"/>
          <w:sz w:val="24"/>
          <w:szCs w:val="24"/>
          <w:lang w:eastAsia="zh-CN"/>
        </w:rPr>
        <w:t>提交交付验收申请和项目验收文档资料，经</w:t>
      </w: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、监理单位审核同意后，由</w:t>
      </w: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组织开展验收工作。</w:t>
      </w:r>
    </w:p>
    <w:p w14:paraId="3D12DD2F">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（1）提交验收申请和验收资料。</w:t>
      </w:r>
    </w:p>
    <w:p w14:paraId="17BC36C2">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（2）审核文档资料。监理单位对交付验收申请及相关文档进行审核后，对存疑地方由监理单位开具《监理意见单》，要求</w:t>
      </w:r>
      <w:r>
        <w:rPr>
          <w:rFonts w:hint="eastAsia" w:ascii="仿宋" w:hAnsi="仿宋" w:eastAsia="仿宋" w:cs="仿宋_GB2312"/>
          <w:color w:val="auto"/>
          <w:sz w:val="24"/>
          <w:szCs w:val="24"/>
          <w:lang w:val="en-US" w:eastAsia="zh-CN"/>
        </w:rPr>
        <w:t>乙方</w:t>
      </w:r>
      <w:r>
        <w:rPr>
          <w:rFonts w:ascii="仿宋" w:hAnsi="仿宋" w:eastAsia="仿宋" w:cs="仿宋_GB2312"/>
          <w:color w:val="auto"/>
          <w:sz w:val="24"/>
          <w:szCs w:val="24"/>
          <w:lang w:eastAsia="zh-CN"/>
        </w:rPr>
        <w:t>整改后重新报审，直至审核通过，监理单位协助</w:t>
      </w: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组织交付验收。</w:t>
      </w:r>
    </w:p>
    <w:p w14:paraId="2A8D6C6C">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（3）验收会议准备。经</w:t>
      </w: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、监理单位同意后，由</w:t>
      </w: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组织</w:t>
      </w:r>
      <w:r>
        <w:rPr>
          <w:rFonts w:hint="eastAsia" w:ascii="仿宋" w:hAnsi="仿宋" w:eastAsia="仿宋" w:cs="仿宋_GB2312"/>
          <w:color w:val="auto"/>
          <w:sz w:val="24"/>
          <w:szCs w:val="24"/>
          <w:lang w:val="en-US" w:eastAsia="zh-CN"/>
        </w:rPr>
        <w:t>召开</w:t>
      </w:r>
      <w:r>
        <w:rPr>
          <w:rFonts w:ascii="仿宋" w:hAnsi="仿宋" w:eastAsia="仿宋" w:cs="仿宋_GB2312"/>
          <w:color w:val="auto"/>
          <w:sz w:val="24"/>
          <w:szCs w:val="24"/>
          <w:lang w:eastAsia="zh-CN"/>
        </w:rPr>
        <w:t>交付验收专家评审会。专家人数不少于3人单数，组长由专家组推选产生。</w:t>
      </w:r>
    </w:p>
    <w:p w14:paraId="0E852AB4">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（4）召开交付验收会议。项目交付验收会的主要议程包括：</w:t>
      </w:r>
    </w:p>
    <w:p w14:paraId="25C3E919">
      <w:pPr>
        <w:pStyle w:val="11"/>
        <w:spacing w:line="338" w:lineRule="auto"/>
        <w:ind w:firstLine="480" w:firstLineChars="200"/>
        <w:rPr>
          <w:rFonts w:hint="eastAsia" w:ascii="仿宋" w:hAnsi="仿宋" w:eastAsia="仿宋" w:cs="仿宋_GB2312"/>
          <w:color w:val="auto"/>
          <w:sz w:val="24"/>
          <w:szCs w:val="24"/>
        </w:rPr>
      </w:pP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介绍项目完成情况；</w:t>
      </w:r>
      <w:r>
        <w:rPr>
          <w:rFonts w:hint="eastAsia" w:ascii="仿宋" w:hAnsi="仿宋" w:eastAsia="仿宋" w:cs="仿宋_GB2312"/>
          <w:color w:val="auto"/>
          <w:sz w:val="24"/>
          <w:szCs w:val="24"/>
          <w:lang w:val="en-US" w:eastAsia="zh-CN"/>
        </w:rPr>
        <w:t>乙方</w:t>
      </w:r>
      <w:r>
        <w:rPr>
          <w:rFonts w:ascii="仿宋" w:hAnsi="仿宋" w:eastAsia="仿宋" w:cs="仿宋_GB2312"/>
          <w:color w:val="auto"/>
          <w:sz w:val="24"/>
          <w:szCs w:val="24"/>
          <w:lang w:eastAsia="zh-CN"/>
        </w:rPr>
        <w:t>汇总项目服务情况；监理单位作监理报告；</w:t>
      </w: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、监理单位进行质询讨论；形成交付验收意见；</w:t>
      </w: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作会议总结。</w:t>
      </w:r>
    </w:p>
    <w:p w14:paraId="67D23647">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olor w:val="auto"/>
          <w:sz w:val="24"/>
          <w:szCs w:val="24"/>
          <w:lang w:eastAsia="zh-CN"/>
        </w:rPr>
        <w:t>3.</w:t>
      </w:r>
      <w:r>
        <w:rPr>
          <w:rFonts w:ascii="仿宋" w:hAnsi="仿宋" w:eastAsia="仿宋" w:cs="仿宋_GB2312"/>
          <w:color w:val="auto"/>
          <w:sz w:val="24"/>
          <w:szCs w:val="24"/>
          <w:lang w:eastAsia="zh-CN"/>
        </w:rPr>
        <w:t>项目验收交付清单</w:t>
      </w:r>
    </w:p>
    <w:p w14:paraId="0679259A">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针对每个系统需提交的交付验收材料清单包括但不限于：满足功能和性能要求的监控终端、人员资质证明、初步服务方案等。</w:t>
      </w:r>
    </w:p>
    <w:p w14:paraId="70A43652">
      <w:pPr>
        <w:pStyle w:val="11"/>
        <w:spacing w:line="338" w:lineRule="auto"/>
        <w:ind w:firstLine="480" w:firstLineChars="200"/>
        <w:rPr>
          <w:rFonts w:hint="eastAsia" w:ascii="仿宋" w:hAnsi="仿宋" w:eastAsia="仿宋" w:cs="仿宋_GB2312"/>
          <w:color w:val="auto"/>
          <w:sz w:val="24"/>
          <w:szCs w:val="24"/>
        </w:rPr>
      </w:pPr>
    </w:p>
    <w:p w14:paraId="66C4DC86">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olor w:val="auto"/>
          <w:sz w:val="24"/>
          <w:szCs w:val="24"/>
          <w:lang w:eastAsia="zh-CN"/>
        </w:rPr>
        <w:t>（三）</w:t>
      </w:r>
      <w:r>
        <w:rPr>
          <w:rFonts w:ascii="仿宋" w:hAnsi="仿宋" w:eastAsia="仿宋" w:cs="仿宋_GB2312"/>
          <w:color w:val="auto"/>
          <w:sz w:val="24"/>
          <w:szCs w:val="24"/>
          <w:lang w:eastAsia="zh-CN"/>
        </w:rPr>
        <w:t>终验</w:t>
      </w:r>
    </w:p>
    <w:p w14:paraId="0A27AFC7">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1.项目验收条件</w:t>
      </w:r>
    </w:p>
    <w:p w14:paraId="2F8F1852">
      <w:pPr>
        <w:pStyle w:val="11"/>
        <w:spacing w:line="338" w:lineRule="auto"/>
        <w:ind w:firstLine="480" w:firstLineChars="200"/>
        <w:rPr>
          <w:rFonts w:hint="default" w:ascii="仿宋" w:hAnsi="仿宋" w:eastAsia="仿宋" w:cs="仿宋_GB2312"/>
          <w:color w:val="auto"/>
          <w:sz w:val="24"/>
          <w:szCs w:val="24"/>
        </w:rPr>
      </w:pPr>
      <w:r>
        <w:rPr>
          <w:rFonts w:ascii="仿宋" w:hAnsi="仿宋" w:eastAsia="仿宋" w:cs="仿宋_GB2312"/>
          <w:color w:val="auto"/>
          <w:sz w:val="24"/>
          <w:szCs w:val="24"/>
          <w:lang w:eastAsia="zh-CN"/>
        </w:rPr>
        <w:t>服务到期后，由</w:t>
      </w:r>
      <w:r>
        <w:rPr>
          <w:rFonts w:hint="eastAsia" w:ascii="仿宋" w:hAnsi="仿宋" w:eastAsia="仿宋" w:cs="仿宋_GB2312"/>
          <w:color w:val="auto"/>
          <w:sz w:val="24"/>
          <w:szCs w:val="24"/>
          <w:lang w:val="en-US" w:eastAsia="zh-CN"/>
        </w:rPr>
        <w:t>乙方</w:t>
      </w:r>
      <w:r>
        <w:rPr>
          <w:rFonts w:ascii="仿宋" w:hAnsi="仿宋" w:eastAsia="仿宋" w:cs="仿宋_GB2312"/>
          <w:color w:val="auto"/>
          <w:sz w:val="24"/>
          <w:szCs w:val="24"/>
          <w:lang w:eastAsia="zh-CN"/>
        </w:rPr>
        <w:t>提出验收申请，提交</w:t>
      </w: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，由</w:t>
      </w: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对服务情况进行初步评判后进行审批是否可以验收。</w:t>
      </w:r>
      <w:r>
        <w:rPr>
          <w:rFonts w:hint="eastAsia" w:ascii="仿宋" w:hAnsi="仿宋" w:eastAsia="仿宋" w:cs="仿宋_GB2312"/>
          <w:color w:val="auto"/>
          <w:sz w:val="24"/>
          <w:szCs w:val="24"/>
          <w:lang w:val="en-US" w:eastAsia="zh-CN"/>
        </w:rPr>
        <w:t>甲方评判依据如下：</w:t>
      </w:r>
    </w:p>
    <w:p w14:paraId="1FA4D004">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（1）完成经批准的实施方案规定的内容，满足服务的需要，服务质量符合预期目标和指标要求。</w:t>
      </w:r>
    </w:p>
    <w:p w14:paraId="10CCF535">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（2）项目最终考核意见合格，完成最终考核问题整改。</w:t>
      </w:r>
    </w:p>
    <w:p w14:paraId="21E7BE3C">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（3）项目财务管理符合财政资金管理等有关要求。</w:t>
      </w:r>
    </w:p>
    <w:p w14:paraId="5279BE51">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（4）项目过程资料齐全完整、规范合理、服务报告完整、齐备。</w:t>
      </w:r>
    </w:p>
    <w:p w14:paraId="2386FDF2">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（5）验收材料齐全规范。包括服务考核意见；项目单位验收结果审核申请；项目实施总结报告；其他最终验收需要的材料。</w:t>
      </w:r>
    </w:p>
    <w:p w14:paraId="0CC90290">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2.项目验收组织及流程</w:t>
      </w:r>
    </w:p>
    <w:p w14:paraId="1673F308">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对于满足验收要求的，由陕西省数据和政务服务中心组织验收，对服务周期内从服务绩效、服务能力、服务满意度、响应及时率、故障处理率等各方面进行验收评审，并依据服务绩效考核指标、服务SLA要求进行打分，并作出验收意见。具体流程如下：</w:t>
      </w:r>
    </w:p>
    <w:p w14:paraId="793F2D87">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（1）</w:t>
      </w:r>
      <w:r>
        <w:rPr>
          <w:rFonts w:hint="eastAsia" w:ascii="仿宋" w:hAnsi="仿宋" w:eastAsia="仿宋" w:cs="仿宋_GB2312"/>
          <w:color w:val="auto"/>
          <w:sz w:val="24"/>
          <w:szCs w:val="24"/>
          <w:lang w:val="en-US" w:eastAsia="zh-CN"/>
        </w:rPr>
        <w:t>乙方</w:t>
      </w:r>
      <w:r>
        <w:rPr>
          <w:rFonts w:ascii="仿宋" w:hAnsi="仿宋" w:eastAsia="仿宋" w:cs="仿宋_GB2312"/>
          <w:color w:val="auto"/>
          <w:sz w:val="24"/>
          <w:szCs w:val="24"/>
          <w:lang w:eastAsia="zh-CN"/>
        </w:rPr>
        <w:t>完成合同任务后，向</w:t>
      </w: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提交相关资料和履约报告。</w:t>
      </w:r>
    </w:p>
    <w:p w14:paraId="07C29A05">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（2）</w:t>
      </w: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审查各类资料和服务总结报告，按照合同约定的技术、服务和安全标准等组织服务考核和项目验收。</w:t>
      </w:r>
    </w:p>
    <w:p w14:paraId="4F9B5C9A">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（3）验收合格后，</w:t>
      </w:r>
      <w:r>
        <w:rPr>
          <w:rFonts w:hint="eastAsia" w:ascii="仿宋" w:hAnsi="仿宋" w:eastAsia="仿宋" w:cs="仿宋_GB2312"/>
          <w:color w:val="auto"/>
          <w:sz w:val="24"/>
          <w:szCs w:val="24"/>
          <w:lang w:val="en-US" w:eastAsia="zh-CN"/>
        </w:rPr>
        <w:t>甲方</w:t>
      </w:r>
      <w:r>
        <w:rPr>
          <w:rFonts w:ascii="仿宋" w:hAnsi="仿宋" w:eastAsia="仿宋" w:cs="仿宋_GB2312"/>
          <w:color w:val="auto"/>
          <w:sz w:val="24"/>
          <w:szCs w:val="24"/>
          <w:lang w:eastAsia="zh-CN"/>
        </w:rPr>
        <w:t>向相关单位提交审核申请并报送相关资料文档。申请文件应说明</w:t>
      </w:r>
      <w:r>
        <w:rPr>
          <w:rFonts w:hint="eastAsia" w:ascii="仿宋" w:hAnsi="仿宋" w:eastAsia="仿宋" w:cs="仿宋_GB2312"/>
          <w:color w:val="auto"/>
          <w:sz w:val="24"/>
          <w:szCs w:val="24"/>
          <w:lang w:eastAsia="zh-CN"/>
        </w:rPr>
        <w:t>中标人</w:t>
      </w:r>
      <w:r>
        <w:rPr>
          <w:rFonts w:ascii="仿宋" w:hAnsi="仿宋" w:eastAsia="仿宋" w:cs="仿宋_GB2312"/>
          <w:color w:val="auto"/>
          <w:sz w:val="24"/>
          <w:szCs w:val="24"/>
          <w:lang w:eastAsia="zh-CN"/>
        </w:rPr>
        <w:t>是否严格履行合同，是否有效保证服务数量、质量和效果。</w:t>
      </w:r>
    </w:p>
    <w:p w14:paraId="163C4EEC">
      <w:pPr>
        <w:pStyle w:val="11"/>
        <w:spacing w:line="338" w:lineRule="auto"/>
        <w:ind w:firstLine="480" w:firstLineChars="200"/>
        <w:rPr>
          <w:rFonts w:hint="eastAsia" w:ascii="仿宋" w:hAnsi="仿宋" w:eastAsia="仿宋" w:cs="仿宋_GB2312"/>
          <w:color w:val="auto"/>
          <w:sz w:val="24"/>
          <w:szCs w:val="24"/>
        </w:rPr>
      </w:pPr>
      <w:r>
        <w:rPr>
          <w:rFonts w:ascii="仿宋" w:hAnsi="仿宋" w:eastAsia="仿宋" w:cs="仿宋_GB2312"/>
          <w:color w:val="auto"/>
          <w:sz w:val="24"/>
          <w:szCs w:val="24"/>
          <w:lang w:eastAsia="zh-CN"/>
        </w:rPr>
        <w:t>3．项目验收交付清单</w:t>
      </w:r>
    </w:p>
    <w:p w14:paraId="108168C2">
      <w:pPr>
        <w:pStyle w:val="11"/>
        <w:spacing w:line="338" w:lineRule="auto"/>
        <w:ind w:firstLine="480" w:firstLineChars="200"/>
        <w:jc w:val="left"/>
        <w:rPr>
          <w:rFonts w:ascii="仿宋" w:hAnsi="仿宋" w:eastAsia="仿宋" w:cs="仿宋_GB2312"/>
          <w:color w:val="auto"/>
          <w:sz w:val="24"/>
          <w:szCs w:val="24"/>
          <w:lang w:eastAsia="zh-CN"/>
        </w:rPr>
      </w:pPr>
      <w:r>
        <w:rPr>
          <w:rFonts w:ascii="仿宋" w:hAnsi="仿宋" w:eastAsia="仿宋" w:cs="仿宋_GB2312"/>
          <w:color w:val="auto"/>
          <w:sz w:val="24"/>
          <w:szCs w:val="24"/>
          <w:lang w:eastAsia="zh-CN"/>
        </w:rPr>
        <w:t>在项目完成时，</w:t>
      </w:r>
      <w:r>
        <w:rPr>
          <w:rFonts w:hint="eastAsia" w:ascii="仿宋" w:hAnsi="仿宋" w:eastAsia="仿宋" w:cs="仿宋_GB2312"/>
          <w:color w:val="auto"/>
          <w:sz w:val="24"/>
          <w:szCs w:val="24"/>
          <w:lang w:val="en-US" w:eastAsia="zh-CN"/>
        </w:rPr>
        <w:t>乙方</w:t>
      </w:r>
      <w:r>
        <w:rPr>
          <w:rFonts w:ascii="仿宋" w:hAnsi="仿宋" w:eastAsia="仿宋" w:cs="仿宋_GB2312"/>
          <w:color w:val="auto"/>
          <w:sz w:val="24"/>
          <w:szCs w:val="24"/>
          <w:lang w:eastAsia="zh-CN"/>
        </w:rPr>
        <w:t>需将本项目所有文档、资料汇集成册，所有文件要求用中文书写或有完整的中文注释。装订成册的纸质文档至少1套，电子文档1套。所提供服务的验收文档除包括以下清单所列，另外还需对项目全生命周期文件进行统一归档</w:t>
      </w:r>
      <w:r>
        <w:rPr>
          <w:rFonts w:hint="eastAsia" w:ascii="仿宋" w:hAnsi="仿宋" w:eastAsia="仿宋" w:cs="仿宋_GB2312"/>
          <w:color w:val="auto"/>
          <w:sz w:val="24"/>
          <w:szCs w:val="24"/>
          <w:lang w:eastAsia="zh-CN"/>
        </w:rPr>
        <w:t>。</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1294"/>
        <w:gridCol w:w="4458"/>
        <w:gridCol w:w="1827"/>
      </w:tblGrid>
      <w:tr w14:paraId="4D47A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550" w:type="pct"/>
            <w:shd w:val="clear" w:color="000000" w:fill="D8D8D8"/>
            <w:vAlign w:val="center"/>
          </w:tcPr>
          <w:p w14:paraId="62A8A9C4">
            <w:pPr>
              <w:pStyle w:val="11"/>
              <w:spacing w:line="240" w:lineRule="exact"/>
              <w:ind w:firstLine="0" w:firstLineChars="0"/>
              <w:jc w:val="center"/>
              <w:rPr>
                <w:rFonts w:ascii="仿宋" w:hAnsi="仿宋" w:eastAsia="仿宋"/>
                <w:color w:val="auto"/>
                <w:sz w:val="24"/>
                <w:szCs w:val="24"/>
                <w:lang w:eastAsia="zh-CN"/>
              </w:rPr>
            </w:pPr>
            <w:r>
              <w:rPr>
                <w:rFonts w:ascii="仿宋" w:hAnsi="仿宋" w:eastAsia="仿宋"/>
                <w:color w:val="auto"/>
                <w:sz w:val="24"/>
                <w:szCs w:val="24"/>
                <w:lang w:eastAsia="zh-CN"/>
              </w:rPr>
              <w:t>序号</w:t>
            </w:r>
          </w:p>
        </w:tc>
        <w:tc>
          <w:tcPr>
            <w:tcW w:w="759" w:type="pct"/>
            <w:shd w:val="clear" w:color="000000" w:fill="D8D8D8"/>
            <w:vAlign w:val="center"/>
          </w:tcPr>
          <w:p w14:paraId="77A1C264">
            <w:pPr>
              <w:rPr>
                <w:rFonts w:ascii="仿宋" w:hAnsi="仿宋" w:eastAsia="仿宋"/>
                <w:color w:val="auto"/>
                <w:sz w:val="24"/>
                <w:szCs w:val="24"/>
                <w:lang w:eastAsia="zh-CN"/>
              </w:rPr>
            </w:pPr>
            <w:r>
              <w:rPr>
                <w:rFonts w:ascii="仿宋" w:hAnsi="仿宋" w:eastAsia="仿宋"/>
                <w:color w:val="auto"/>
                <w:sz w:val="24"/>
                <w:szCs w:val="24"/>
                <w:lang w:eastAsia="zh-CN"/>
              </w:rPr>
              <w:t>服务</w:t>
            </w:r>
            <w:bookmarkStart w:id="2" w:name="_GoBack"/>
            <w:bookmarkEnd w:id="2"/>
            <w:r>
              <w:rPr>
                <w:rFonts w:ascii="仿宋" w:hAnsi="仿宋" w:eastAsia="仿宋"/>
                <w:color w:val="auto"/>
                <w:sz w:val="24"/>
                <w:szCs w:val="24"/>
                <w:lang w:eastAsia="zh-CN"/>
              </w:rPr>
              <w:t>分项</w:t>
            </w:r>
          </w:p>
        </w:tc>
        <w:tc>
          <w:tcPr>
            <w:tcW w:w="2617" w:type="pct"/>
            <w:shd w:val="clear" w:color="000000" w:fill="D8D8D8"/>
            <w:vAlign w:val="center"/>
          </w:tcPr>
          <w:p w14:paraId="7453CA9E">
            <w:pPr>
              <w:pStyle w:val="11"/>
              <w:spacing w:line="240" w:lineRule="exact"/>
              <w:ind w:firstLine="0" w:firstLineChars="0"/>
              <w:jc w:val="center"/>
              <w:rPr>
                <w:rFonts w:ascii="仿宋" w:hAnsi="仿宋" w:eastAsia="仿宋"/>
                <w:color w:val="auto"/>
                <w:sz w:val="24"/>
                <w:szCs w:val="24"/>
                <w:lang w:eastAsia="zh-CN"/>
              </w:rPr>
            </w:pPr>
            <w:r>
              <w:rPr>
                <w:rFonts w:ascii="仿宋" w:hAnsi="仿宋" w:eastAsia="仿宋"/>
                <w:color w:val="auto"/>
                <w:sz w:val="24"/>
                <w:szCs w:val="24"/>
                <w:lang w:eastAsia="zh-CN"/>
              </w:rPr>
              <w:t>交付清单</w:t>
            </w:r>
          </w:p>
        </w:tc>
        <w:tc>
          <w:tcPr>
            <w:tcW w:w="1072" w:type="pct"/>
            <w:shd w:val="clear" w:color="000000" w:fill="D8D8D8"/>
            <w:vAlign w:val="center"/>
          </w:tcPr>
          <w:p w14:paraId="4D90F659">
            <w:pPr>
              <w:pStyle w:val="11"/>
              <w:spacing w:line="240" w:lineRule="exact"/>
              <w:ind w:firstLine="0" w:firstLineChars="0"/>
              <w:jc w:val="center"/>
              <w:rPr>
                <w:rFonts w:ascii="仿宋" w:hAnsi="仿宋" w:eastAsia="仿宋"/>
                <w:color w:val="auto"/>
                <w:sz w:val="24"/>
                <w:szCs w:val="24"/>
                <w:lang w:eastAsia="zh-CN"/>
              </w:rPr>
            </w:pPr>
            <w:r>
              <w:rPr>
                <w:rFonts w:ascii="仿宋" w:hAnsi="仿宋" w:eastAsia="仿宋"/>
                <w:color w:val="auto"/>
                <w:sz w:val="24"/>
                <w:szCs w:val="24"/>
                <w:lang w:eastAsia="zh-CN"/>
              </w:rPr>
              <w:t>数量</w:t>
            </w:r>
          </w:p>
        </w:tc>
      </w:tr>
      <w:tr w14:paraId="79284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restart"/>
            <w:vAlign w:val="center"/>
          </w:tcPr>
          <w:p w14:paraId="5078D960">
            <w:pPr>
              <w:pStyle w:val="11"/>
              <w:spacing w:line="240" w:lineRule="exact"/>
              <w:ind w:firstLine="0" w:firstLineChars="0"/>
              <w:jc w:val="center"/>
              <w:rPr>
                <w:rFonts w:ascii="仿宋" w:hAnsi="仿宋" w:eastAsia="仿宋"/>
                <w:color w:val="auto"/>
                <w:sz w:val="24"/>
                <w:szCs w:val="24"/>
                <w:lang w:eastAsia="zh-CN"/>
              </w:rPr>
            </w:pPr>
            <w:r>
              <w:rPr>
                <w:rFonts w:ascii="仿宋" w:hAnsi="仿宋" w:eastAsia="仿宋"/>
                <w:color w:val="auto"/>
                <w:sz w:val="24"/>
                <w:szCs w:val="24"/>
                <w:lang w:eastAsia="zh-CN"/>
              </w:rPr>
              <w:t>1</w:t>
            </w:r>
          </w:p>
        </w:tc>
        <w:tc>
          <w:tcPr>
            <w:tcW w:w="759" w:type="pct"/>
            <w:vMerge w:val="restart"/>
            <w:vAlign w:val="center"/>
          </w:tcPr>
          <w:p w14:paraId="4738190F">
            <w:pPr>
              <w:pStyle w:val="11"/>
              <w:spacing w:line="240" w:lineRule="exact"/>
              <w:ind w:firstLine="0" w:firstLineChars="0"/>
              <w:rPr>
                <w:rFonts w:ascii="仿宋" w:hAnsi="仿宋" w:eastAsia="仿宋"/>
                <w:color w:val="auto"/>
                <w:sz w:val="24"/>
                <w:szCs w:val="24"/>
                <w:lang w:eastAsia="zh-CN"/>
              </w:rPr>
            </w:pPr>
            <w:r>
              <w:rPr>
                <w:rFonts w:ascii="仿宋" w:hAnsi="仿宋" w:eastAsia="仿宋"/>
                <w:color w:val="auto"/>
                <w:sz w:val="24"/>
                <w:szCs w:val="24"/>
                <w:lang w:eastAsia="zh-CN"/>
              </w:rPr>
              <w:t>11号楼数据中心运维</w:t>
            </w:r>
          </w:p>
        </w:tc>
        <w:tc>
          <w:tcPr>
            <w:tcW w:w="2617" w:type="pct"/>
            <w:noWrap/>
            <w:vAlign w:val="center"/>
          </w:tcPr>
          <w:p w14:paraId="4E261E7A">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《11号楼数据中心运维实施方案》</w:t>
            </w:r>
          </w:p>
        </w:tc>
        <w:tc>
          <w:tcPr>
            <w:tcW w:w="1072" w:type="pct"/>
            <w:noWrap/>
            <w:vAlign w:val="center"/>
          </w:tcPr>
          <w:p w14:paraId="276C19D8">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1份</w:t>
            </w:r>
          </w:p>
        </w:tc>
      </w:tr>
      <w:tr w14:paraId="2FBB9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182DD844">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31CE5C54">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54B8E220">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《月度运维服务报告》</w:t>
            </w:r>
          </w:p>
        </w:tc>
        <w:tc>
          <w:tcPr>
            <w:tcW w:w="1072" w:type="pct"/>
            <w:noWrap/>
            <w:vAlign w:val="center"/>
          </w:tcPr>
          <w:p w14:paraId="53C7B6C5">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10份</w:t>
            </w:r>
          </w:p>
        </w:tc>
      </w:tr>
      <w:tr w14:paraId="2D543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4AE5C0FD">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6B299967">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35EEE90C">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《运维服务总结报告》</w:t>
            </w:r>
          </w:p>
        </w:tc>
        <w:tc>
          <w:tcPr>
            <w:tcW w:w="1072" w:type="pct"/>
            <w:noWrap/>
            <w:vAlign w:val="center"/>
          </w:tcPr>
          <w:p w14:paraId="296F491A">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1份</w:t>
            </w:r>
          </w:p>
        </w:tc>
      </w:tr>
      <w:tr w14:paraId="6404C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1314A9FB">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1AC9C5EC">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49BAAA01">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《事故及问题记录表》</w:t>
            </w:r>
          </w:p>
        </w:tc>
        <w:tc>
          <w:tcPr>
            <w:tcW w:w="1072" w:type="pct"/>
            <w:noWrap/>
            <w:vAlign w:val="center"/>
          </w:tcPr>
          <w:p w14:paraId="1918B5D8">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据实提供</w:t>
            </w:r>
          </w:p>
        </w:tc>
      </w:tr>
      <w:tr w14:paraId="3DAC6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270F2BBF">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0C0DF52A">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0E82F745">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《巡检记录》</w:t>
            </w:r>
          </w:p>
        </w:tc>
        <w:tc>
          <w:tcPr>
            <w:tcW w:w="1072" w:type="pct"/>
            <w:noWrap/>
            <w:vAlign w:val="center"/>
          </w:tcPr>
          <w:p w14:paraId="5154CF95">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据实提供</w:t>
            </w:r>
          </w:p>
        </w:tc>
      </w:tr>
      <w:tr w14:paraId="4FAED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19CBB35D">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36ACAA7D">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19153DA0">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《云平台检查记录》</w:t>
            </w:r>
          </w:p>
        </w:tc>
        <w:tc>
          <w:tcPr>
            <w:tcW w:w="1072" w:type="pct"/>
            <w:noWrap/>
            <w:vAlign w:val="center"/>
          </w:tcPr>
          <w:p w14:paraId="5EE9F026">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据实提供</w:t>
            </w:r>
          </w:p>
        </w:tc>
      </w:tr>
      <w:tr w14:paraId="1963D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018ECA82">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5DFB91C0">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17135942">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《值班记录》</w:t>
            </w:r>
          </w:p>
        </w:tc>
        <w:tc>
          <w:tcPr>
            <w:tcW w:w="1072" w:type="pct"/>
            <w:noWrap/>
            <w:vAlign w:val="center"/>
          </w:tcPr>
          <w:p w14:paraId="5C53E422">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据实提供</w:t>
            </w:r>
          </w:p>
        </w:tc>
      </w:tr>
      <w:tr w14:paraId="4A680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restart"/>
            <w:vAlign w:val="center"/>
          </w:tcPr>
          <w:p w14:paraId="274EEE17">
            <w:pPr>
              <w:pStyle w:val="11"/>
              <w:spacing w:line="240" w:lineRule="exact"/>
              <w:ind w:firstLine="0" w:firstLineChars="0"/>
              <w:jc w:val="center"/>
              <w:rPr>
                <w:rFonts w:ascii="仿宋" w:hAnsi="仿宋" w:eastAsia="仿宋"/>
                <w:color w:val="auto"/>
                <w:sz w:val="24"/>
                <w:szCs w:val="24"/>
                <w:lang w:eastAsia="zh-CN"/>
              </w:rPr>
            </w:pPr>
            <w:r>
              <w:rPr>
                <w:rFonts w:ascii="仿宋" w:hAnsi="仿宋" w:eastAsia="仿宋"/>
                <w:color w:val="auto"/>
                <w:sz w:val="24"/>
                <w:szCs w:val="24"/>
                <w:lang w:eastAsia="zh-CN"/>
              </w:rPr>
              <w:t>2</w:t>
            </w:r>
          </w:p>
        </w:tc>
        <w:tc>
          <w:tcPr>
            <w:tcW w:w="759" w:type="pct"/>
            <w:vMerge w:val="restart"/>
            <w:vAlign w:val="center"/>
          </w:tcPr>
          <w:p w14:paraId="1A10B35D">
            <w:pPr>
              <w:pStyle w:val="11"/>
              <w:spacing w:line="240" w:lineRule="exact"/>
              <w:ind w:firstLine="0" w:firstLineChars="0"/>
              <w:rPr>
                <w:rFonts w:ascii="仿宋" w:hAnsi="仿宋" w:eastAsia="仿宋"/>
                <w:color w:val="auto"/>
                <w:sz w:val="24"/>
                <w:szCs w:val="24"/>
                <w:lang w:eastAsia="zh-CN"/>
              </w:rPr>
            </w:pPr>
            <w:r>
              <w:rPr>
                <w:rFonts w:ascii="仿宋" w:hAnsi="仿宋" w:eastAsia="仿宋"/>
                <w:color w:val="auto"/>
                <w:sz w:val="24"/>
                <w:szCs w:val="24"/>
                <w:lang w:eastAsia="zh-CN"/>
              </w:rPr>
              <w:t>西咸信创数据中心运维</w:t>
            </w:r>
          </w:p>
        </w:tc>
        <w:tc>
          <w:tcPr>
            <w:tcW w:w="2617" w:type="pct"/>
            <w:noWrap/>
            <w:vAlign w:val="center"/>
          </w:tcPr>
          <w:p w14:paraId="0DBDA372">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《西咸信创数据中心运维实施方案》</w:t>
            </w:r>
          </w:p>
        </w:tc>
        <w:tc>
          <w:tcPr>
            <w:tcW w:w="1072" w:type="pct"/>
            <w:noWrap/>
            <w:vAlign w:val="center"/>
          </w:tcPr>
          <w:p w14:paraId="3F3409C8">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1份</w:t>
            </w:r>
          </w:p>
        </w:tc>
      </w:tr>
      <w:tr w14:paraId="2FFA3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14FE6476">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7E60B5D1">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5F2C008B">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《月度运维服务报告》</w:t>
            </w:r>
          </w:p>
        </w:tc>
        <w:tc>
          <w:tcPr>
            <w:tcW w:w="1072" w:type="pct"/>
            <w:noWrap/>
            <w:vAlign w:val="center"/>
          </w:tcPr>
          <w:p w14:paraId="361DCACF">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7份</w:t>
            </w:r>
          </w:p>
        </w:tc>
      </w:tr>
      <w:tr w14:paraId="5FDA2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2D871ADA">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331DE055">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1C33ED21">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《运维服务总结报告》</w:t>
            </w:r>
          </w:p>
        </w:tc>
        <w:tc>
          <w:tcPr>
            <w:tcW w:w="1072" w:type="pct"/>
            <w:noWrap/>
            <w:vAlign w:val="center"/>
          </w:tcPr>
          <w:p w14:paraId="0F1CD313">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1份</w:t>
            </w:r>
          </w:p>
        </w:tc>
      </w:tr>
      <w:tr w14:paraId="7F7FB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4F70B33D">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319913B0">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58950953">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《事故及问题记录表》</w:t>
            </w:r>
          </w:p>
        </w:tc>
        <w:tc>
          <w:tcPr>
            <w:tcW w:w="1072" w:type="pct"/>
            <w:noWrap/>
            <w:vAlign w:val="center"/>
          </w:tcPr>
          <w:p w14:paraId="68938C71">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据实提供</w:t>
            </w:r>
          </w:p>
        </w:tc>
      </w:tr>
      <w:tr w14:paraId="22F0E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62694805">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7BFCCFBD">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2CBA8364">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《巡检记录》</w:t>
            </w:r>
          </w:p>
        </w:tc>
        <w:tc>
          <w:tcPr>
            <w:tcW w:w="1072" w:type="pct"/>
            <w:noWrap/>
            <w:vAlign w:val="center"/>
          </w:tcPr>
          <w:p w14:paraId="0A4F6561">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据实提供</w:t>
            </w:r>
          </w:p>
        </w:tc>
      </w:tr>
      <w:tr w14:paraId="31309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0F43FE03">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3E74605A">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11A13D6E">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《云平台检查记录》</w:t>
            </w:r>
          </w:p>
        </w:tc>
        <w:tc>
          <w:tcPr>
            <w:tcW w:w="1072" w:type="pct"/>
            <w:noWrap/>
            <w:vAlign w:val="center"/>
          </w:tcPr>
          <w:p w14:paraId="71BE6B8A">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据实提供</w:t>
            </w:r>
          </w:p>
        </w:tc>
      </w:tr>
      <w:tr w14:paraId="41C0E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2F462702">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3153395D">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60CC831E">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《值班记录》</w:t>
            </w:r>
          </w:p>
        </w:tc>
        <w:tc>
          <w:tcPr>
            <w:tcW w:w="1072" w:type="pct"/>
            <w:noWrap/>
            <w:vAlign w:val="center"/>
          </w:tcPr>
          <w:p w14:paraId="20CF0A0A">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据实提供</w:t>
            </w:r>
          </w:p>
        </w:tc>
      </w:tr>
      <w:tr w14:paraId="6D767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restart"/>
            <w:vAlign w:val="center"/>
          </w:tcPr>
          <w:p w14:paraId="20DB80E5">
            <w:pPr>
              <w:pStyle w:val="11"/>
              <w:spacing w:line="240" w:lineRule="exact"/>
              <w:ind w:firstLine="0" w:firstLineChars="0"/>
              <w:jc w:val="center"/>
              <w:rPr>
                <w:rFonts w:ascii="仿宋" w:hAnsi="仿宋" w:eastAsia="仿宋"/>
                <w:color w:val="auto"/>
                <w:sz w:val="24"/>
                <w:szCs w:val="24"/>
                <w:lang w:eastAsia="zh-CN"/>
              </w:rPr>
            </w:pPr>
            <w:r>
              <w:rPr>
                <w:rFonts w:ascii="仿宋" w:hAnsi="仿宋" w:eastAsia="仿宋"/>
                <w:color w:val="auto"/>
                <w:sz w:val="24"/>
                <w:szCs w:val="24"/>
                <w:lang w:eastAsia="zh-CN"/>
              </w:rPr>
              <w:t>3</w:t>
            </w:r>
          </w:p>
        </w:tc>
        <w:tc>
          <w:tcPr>
            <w:tcW w:w="759" w:type="pct"/>
            <w:vMerge w:val="restart"/>
            <w:vAlign w:val="center"/>
          </w:tcPr>
          <w:p w14:paraId="1FEC8977">
            <w:pPr>
              <w:pStyle w:val="11"/>
              <w:spacing w:line="240" w:lineRule="exact"/>
              <w:ind w:firstLine="0" w:firstLineChars="0"/>
              <w:rPr>
                <w:rFonts w:ascii="仿宋" w:hAnsi="仿宋" w:eastAsia="仿宋"/>
                <w:color w:val="auto"/>
                <w:sz w:val="24"/>
                <w:szCs w:val="24"/>
                <w:lang w:eastAsia="zh-CN"/>
              </w:rPr>
            </w:pPr>
            <w:r>
              <w:rPr>
                <w:rFonts w:ascii="仿宋" w:hAnsi="仿宋" w:eastAsia="仿宋"/>
                <w:color w:val="auto"/>
                <w:sz w:val="24"/>
                <w:szCs w:val="24"/>
                <w:lang w:eastAsia="zh-CN"/>
              </w:rPr>
              <w:t>省政府视频会议运维</w:t>
            </w:r>
          </w:p>
        </w:tc>
        <w:tc>
          <w:tcPr>
            <w:tcW w:w="2617" w:type="pct"/>
            <w:noWrap/>
            <w:vAlign w:val="center"/>
          </w:tcPr>
          <w:p w14:paraId="50625D84">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《陕西省政府视频会议系统运维实施方案》</w:t>
            </w:r>
          </w:p>
        </w:tc>
        <w:tc>
          <w:tcPr>
            <w:tcW w:w="1072" w:type="pct"/>
            <w:noWrap/>
            <w:vAlign w:val="center"/>
          </w:tcPr>
          <w:p w14:paraId="68AA6F23">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1份</w:t>
            </w:r>
          </w:p>
        </w:tc>
      </w:tr>
      <w:tr w14:paraId="6EF9A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74E342EB">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4D8B1566">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6BC0D6C6">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《月度运维服务报告》</w:t>
            </w:r>
          </w:p>
        </w:tc>
        <w:tc>
          <w:tcPr>
            <w:tcW w:w="1072" w:type="pct"/>
            <w:noWrap/>
            <w:vAlign w:val="center"/>
          </w:tcPr>
          <w:p w14:paraId="5FFC5946">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12份</w:t>
            </w:r>
          </w:p>
        </w:tc>
      </w:tr>
      <w:tr w14:paraId="35D09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7ADFA9E8">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71863492">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449BB8A7">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《运维服务总结报告》</w:t>
            </w:r>
          </w:p>
        </w:tc>
        <w:tc>
          <w:tcPr>
            <w:tcW w:w="1072" w:type="pct"/>
            <w:noWrap/>
            <w:vAlign w:val="center"/>
          </w:tcPr>
          <w:p w14:paraId="2507C300">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1份</w:t>
            </w:r>
          </w:p>
        </w:tc>
      </w:tr>
      <w:tr w14:paraId="5260C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1D9C4DA4">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105B4288">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1814067E">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《事故及问题记录表》</w:t>
            </w:r>
          </w:p>
        </w:tc>
        <w:tc>
          <w:tcPr>
            <w:tcW w:w="1072" w:type="pct"/>
            <w:noWrap/>
            <w:vAlign w:val="center"/>
          </w:tcPr>
          <w:p w14:paraId="5349D442">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据实提供</w:t>
            </w:r>
          </w:p>
        </w:tc>
      </w:tr>
      <w:tr w14:paraId="50573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6514FF4D">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719329E0">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35BA6EB6">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《巡检记录》</w:t>
            </w:r>
          </w:p>
        </w:tc>
        <w:tc>
          <w:tcPr>
            <w:tcW w:w="1072" w:type="pct"/>
            <w:noWrap/>
            <w:vAlign w:val="center"/>
          </w:tcPr>
          <w:p w14:paraId="4C360B2B">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据实提供</w:t>
            </w:r>
          </w:p>
        </w:tc>
      </w:tr>
      <w:tr w14:paraId="778F2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3DB11AFB">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4E64F430">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11F8A996">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《值班记录》</w:t>
            </w:r>
          </w:p>
        </w:tc>
        <w:tc>
          <w:tcPr>
            <w:tcW w:w="1072" w:type="pct"/>
            <w:noWrap/>
            <w:vAlign w:val="center"/>
          </w:tcPr>
          <w:p w14:paraId="0B8E924C">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据实提供</w:t>
            </w:r>
          </w:p>
        </w:tc>
      </w:tr>
      <w:tr w14:paraId="4B462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restart"/>
            <w:vAlign w:val="center"/>
          </w:tcPr>
          <w:p w14:paraId="49D55094">
            <w:pPr>
              <w:pStyle w:val="11"/>
              <w:spacing w:line="240" w:lineRule="exact"/>
              <w:ind w:firstLine="0" w:firstLineChars="0"/>
              <w:jc w:val="center"/>
              <w:rPr>
                <w:rFonts w:ascii="仿宋" w:hAnsi="仿宋" w:eastAsia="仿宋"/>
                <w:color w:val="auto"/>
                <w:sz w:val="24"/>
                <w:szCs w:val="24"/>
                <w:lang w:eastAsia="zh-CN"/>
              </w:rPr>
            </w:pPr>
            <w:r>
              <w:rPr>
                <w:rFonts w:ascii="仿宋" w:hAnsi="仿宋" w:eastAsia="仿宋"/>
                <w:color w:val="auto"/>
                <w:sz w:val="24"/>
                <w:szCs w:val="24"/>
                <w:lang w:eastAsia="zh-CN"/>
              </w:rPr>
              <w:t>4</w:t>
            </w:r>
          </w:p>
        </w:tc>
        <w:tc>
          <w:tcPr>
            <w:tcW w:w="759" w:type="pct"/>
            <w:vMerge w:val="restart"/>
            <w:vAlign w:val="center"/>
          </w:tcPr>
          <w:p w14:paraId="1781089F">
            <w:pPr>
              <w:pStyle w:val="11"/>
              <w:spacing w:line="240" w:lineRule="exact"/>
              <w:ind w:firstLine="0" w:firstLineChars="0"/>
              <w:rPr>
                <w:rFonts w:ascii="仿宋" w:hAnsi="仿宋" w:eastAsia="仿宋"/>
                <w:color w:val="auto"/>
                <w:sz w:val="24"/>
                <w:szCs w:val="24"/>
                <w:lang w:eastAsia="zh-CN"/>
              </w:rPr>
            </w:pPr>
            <w:r>
              <w:rPr>
                <w:rFonts w:ascii="仿宋" w:hAnsi="仿宋" w:eastAsia="仿宋"/>
                <w:color w:val="auto"/>
                <w:sz w:val="24"/>
                <w:szCs w:val="24"/>
                <w:lang w:eastAsia="zh-CN"/>
              </w:rPr>
              <w:t>秦岭视频综合监管服务</w:t>
            </w:r>
          </w:p>
        </w:tc>
        <w:tc>
          <w:tcPr>
            <w:tcW w:w="2617" w:type="pct"/>
            <w:noWrap/>
            <w:vAlign w:val="center"/>
          </w:tcPr>
          <w:p w14:paraId="4C3480D8">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《现场巡检报告》</w:t>
            </w:r>
          </w:p>
        </w:tc>
        <w:tc>
          <w:tcPr>
            <w:tcW w:w="1072" w:type="pct"/>
            <w:noWrap/>
            <w:vAlign w:val="center"/>
          </w:tcPr>
          <w:p w14:paraId="153FCA71">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6份</w:t>
            </w:r>
          </w:p>
        </w:tc>
      </w:tr>
      <w:tr w14:paraId="1374D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5C6FAF71">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43AA5E36">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79ED277D">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《月度硬件运维报告》</w:t>
            </w:r>
          </w:p>
        </w:tc>
        <w:tc>
          <w:tcPr>
            <w:tcW w:w="1072" w:type="pct"/>
            <w:noWrap/>
            <w:vAlign w:val="center"/>
          </w:tcPr>
          <w:p w14:paraId="1A10D981">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6份</w:t>
            </w:r>
          </w:p>
        </w:tc>
      </w:tr>
      <w:tr w14:paraId="3B3AC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055C2448">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3AE8912F">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0716864E">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《视频点位汇总表》</w:t>
            </w:r>
          </w:p>
        </w:tc>
        <w:tc>
          <w:tcPr>
            <w:tcW w:w="1072" w:type="pct"/>
            <w:noWrap/>
            <w:vAlign w:val="center"/>
          </w:tcPr>
          <w:p w14:paraId="062B03BB">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6份</w:t>
            </w:r>
          </w:p>
        </w:tc>
      </w:tr>
      <w:tr w14:paraId="6253A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584655BE">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1D542E8C">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418A6024">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《视频点位明细表》</w:t>
            </w:r>
          </w:p>
        </w:tc>
        <w:tc>
          <w:tcPr>
            <w:tcW w:w="1072" w:type="pct"/>
            <w:noWrap/>
            <w:vAlign w:val="center"/>
          </w:tcPr>
          <w:p w14:paraId="74971027">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据实提供</w:t>
            </w:r>
          </w:p>
        </w:tc>
      </w:tr>
      <w:tr w14:paraId="7B73F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3E74D600">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2342961E">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4C85C7C0">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《不可预览视频反馈表》</w:t>
            </w:r>
          </w:p>
        </w:tc>
        <w:tc>
          <w:tcPr>
            <w:tcW w:w="1072" w:type="pct"/>
            <w:noWrap/>
            <w:vAlign w:val="center"/>
          </w:tcPr>
          <w:p w14:paraId="434CFC33">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工作日提供</w:t>
            </w:r>
          </w:p>
        </w:tc>
      </w:tr>
      <w:tr w14:paraId="6D700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2AB66CBD">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33766833">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608848B0">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《视频点位不在线表》</w:t>
            </w:r>
          </w:p>
        </w:tc>
        <w:tc>
          <w:tcPr>
            <w:tcW w:w="1072" w:type="pct"/>
            <w:noWrap/>
            <w:vAlign w:val="center"/>
          </w:tcPr>
          <w:p w14:paraId="675971CF">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工作日提供</w:t>
            </w:r>
          </w:p>
        </w:tc>
      </w:tr>
      <w:tr w14:paraId="184D9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7D87C1B8">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5C1FA7F4">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457B1C13">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《监控视频稳定性测试表》</w:t>
            </w:r>
          </w:p>
        </w:tc>
        <w:tc>
          <w:tcPr>
            <w:tcW w:w="1072" w:type="pct"/>
            <w:noWrap/>
            <w:vAlign w:val="center"/>
          </w:tcPr>
          <w:p w14:paraId="1EF0D5FA">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工作日提供</w:t>
            </w:r>
          </w:p>
        </w:tc>
      </w:tr>
      <w:tr w14:paraId="34D3C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74F950D8">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1B9F5D97">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4BD62BB8">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《视频点位不在线表》</w:t>
            </w:r>
          </w:p>
        </w:tc>
        <w:tc>
          <w:tcPr>
            <w:tcW w:w="1072" w:type="pct"/>
            <w:noWrap/>
            <w:vAlign w:val="center"/>
          </w:tcPr>
          <w:p w14:paraId="7257FEB8">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工作日提供</w:t>
            </w:r>
          </w:p>
        </w:tc>
      </w:tr>
      <w:tr w14:paraId="3F733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3A915D44">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75B3DACF">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0FDE20A0">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《系统运行周报》</w:t>
            </w:r>
          </w:p>
        </w:tc>
        <w:tc>
          <w:tcPr>
            <w:tcW w:w="1072" w:type="pct"/>
            <w:noWrap/>
            <w:vAlign w:val="center"/>
          </w:tcPr>
          <w:p w14:paraId="5796637B">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52份</w:t>
            </w:r>
          </w:p>
        </w:tc>
      </w:tr>
      <w:tr w14:paraId="453AE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4258F4DD">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69B68AD0">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1AF8472C">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《系统运行月报》</w:t>
            </w:r>
          </w:p>
        </w:tc>
        <w:tc>
          <w:tcPr>
            <w:tcW w:w="1072" w:type="pct"/>
            <w:noWrap/>
            <w:vAlign w:val="center"/>
          </w:tcPr>
          <w:p w14:paraId="41CF3541">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12份</w:t>
            </w:r>
          </w:p>
        </w:tc>
      </w:tr>
      <w:tr w14:paraId="2AF5C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00184E97">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3F8B9F3E">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6A68E3B1">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《系统运行年报》</w:t>
            </w:r>
          </w:p>
        </w:tc>
        <w:tc>
          <w:tcPr>
            <w:tcW w:w="1072" w:type="pct"/>
            <w:noWrap/>
            <w:vAlign w:val="center"/>
          </w:tcPr>
          <w:p w14:paraId="54F3E06E">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1份</w:t>
            </w:r>
          </w:p>
        </w:tc>
      </w:tr>
      <w:tr w14:paraId="2A315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31155695">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1AA76873">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235EC0D9">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《视频点位汇总表》</w:t>
            </w:r>
          </w:p>
        </w:tc>
        <w:tc>
          <w:tcPr>
            <w:tcW w:w="1072" w:type="pct"/>
            <w:noWrap/>
            <w:vAlign w:val="center"/>
          </w:tcPr>
          <w:p w14:paraId="0518F9BC">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12份</w:t>
            </w:r>
          </w:p>
        </w:tc>
      </w:tr>
      <w:tr w14:paraId="0C98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42ECB1D3">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0D6EC100">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6CEECC34">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《视频点位明细表》</w:t>
            </w:r>
          </w:p>
        </w:tc>
        <w:tc>
          <w:tcPr>
            <w:tcW w:w="1072" w:type="pct"/>
            <w:noWrap/>
            <w:vAlign w:val="center"/>
          </w:tcPr>
          <w:p w14:paraId="201CD15E">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12份</w:t>
            </w:r>
          </w:p>
        </w:tc>
      </w:tr>
      <w:tr w14:paraId="54C5A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5A49A24B">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55E40E28">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28FFF87D">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《解析算法配置表》</w:t>
            </w:r>
          </w:p>
        </w:tc>
        <w:tc>
          <w:tcPr>
            <w:tcW w:w="1072" w:type="pct"/>
            <w:noWrap/>
            <w:vAlign w:val="center"/>
          </w:tcPr>
          <w:p w14:paraId="7EEC92B9">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据实提供</w:t>
            </w:r>
          </w:p>
        </w:tc>
      </w:tr>
      <w:tr w14:paraId="2D451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Merge w:val="continue"/>
            <w:vAlign w:val="center"/>
          </w:tcPr>
          <w:p w14:paraId="3EF266D4">
            <w:pPr>
              <w:pStyle w:val="11"/>
              <w:spacing w:line="240" w:lineRule="exact"/>
              <w:ind w:firstLine="480" w:firstLineChars="200"/>
              <w:jc w:val="center"/>
              <w:rPr>
                <w:rFonts w:ascii="仿宋" w:hAnsi="仿宋" w:eastAsia="仿宋"/>
                <w:color w:val="auto"/>
                <w:sz w:val="24"/>
                <w:szCs w:val="24"/>
                <w:lang w:eastAsia="zh-CN"/>
              </w:rPr>
            </w:pPr>
          </w:p>
        </w:tc>
        <w:tc>
          <w:tcPr>
            <w:tcW w:w="759" w:type="pct"/>
            <w:vMerge w:val="continue"/>
            <w:vAlign w:val="center"/>
          </w:tcPr>
          <w:p w14:paraId="745FB611">
            <w:pPr>
              <w:pStyle w:val="11"/>
              <w:spacing w:line="240" w:lineRule="exact"/>
              <w:ind w:firstLine="480" w:firstLineChars="200"/>
              <w:rPr>
                <w:rFonts w:ascii="仿宋" w:hAnsi="仿宋" w:eastAsia="仿宋"/>
                <w:color w:val="auto"/>
                <w:sz w:val="24"/>
                <w:szCs w:val="24"/>
                <w:lang w:eastAsia="zh-CN"/>
              </w:rPr>
            </w:pPr>
          </w:p>
        </w:tc>
        <w:tc>
          <w:tcPr>
            <w:tcW w:w="2617" w:type="pct"/>
            <w:noWrap/>
            <w:vAlign w:val="center"/>
          </w:tcPr>
          <w:p w14:paraId="16D8AF54">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《疑似问题线索表》</w:t>
            </w:r>
          </w:p>
        </w:tc>
        <w:tc>
          <w:tcPr>
            <w:tcW w:w="1072" w:type="pct"/>
            <w:noWrap/>
            <w:vAlign w:val="center"/>
          </w:tcPr>
          <w:p w14:paraId="11CAD474">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12份</w:t>
            </w:r>
          </w:p>
        </w:tc>
      </w:tr>
      <w:tr w14:paraId="24E96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Align w:val="center"/>
          </w:tcPr>
          <w:p w14:paraId="4F6A6EC4">
            <w:pPr>
              <w:pStyle w:val="11"/>
              <w:spacing w:line="240" w:lineRule="exact"/>
              <w:ind w:firstLine="0" w:firstLineChars="0"/>
              <w:jc w:val="center"/>
              <w:rPr>
                <w:rFonts w:ascii="仿宋" w:hAnsi="仿宋" w:eastAsia="仿宋"/>
                <w:color w:val="auto"/>
                <w:sz w:val="24"/>
                <w:szCs w:val="24"/>
                <w:lang w:eastAsia="zh-CN"/>
              </w:rPr>
            </w:pPr>
            <w:r>
              <w:rPr>
                <w:rFonts w:ascii="仿宋" w:hAnsi="仿宋" w:eastAsia="仿宋"/>
                <w:color w:val="auto"/>
                <w:sz w:val="24"/>
                <w:szCs w:val="24"/>
                <w:lang w:eastAsia="zh-CN"/>
              </w:rPr>
              <w:t>5</w:t>
            </w:r>
          </w:p>
        </w:tc>
        <w:tc>
          <w:tcPr>
            <w:tcW w:w="759" w:type="pct"/>
            <w:vAlign w:val="center"/>
          </w:tcPr>
          <w:p w14:paraId="41284572">
            <w:pPr>
              <w:pStyle w:val="11"/>
              <w:spacing w:line="240" w:lineRule="exact"/>
              <w:ind w:firstLine="0" w:firstLineChars="0"/>
              <w:rPr>
                <w:rFonts w:ascii="仿宋" w:hAnsi="仿宋" w:eastAsia="仿宋"/>
                <w:color w:val="auto"/>
                <w:sz w:val="24"/>
                <w:szCs w:val="24"/>
                <w:lang w:eastAsia="zh-CN"/>
              </w:rPr>
            </w:pPr>
            <w:r>
              <w:rPr>
                <w:rFonts w:ascii="仿宋" w:hAnsi="仿宋" w:eastAsia="仿宋"/>
                <w:color w:val="auto"/>
                <w:sz w:val="24"/>
                <w:szCs w:val="24"/>
                <w:lang w:eastAsia="zh-CN"/>
              </w:rPr>
              <w:t>链路考核专项服务</w:t>
            </w:r>
          </w:p>
        </w:tc>
        <w:tc>
          <w:tcPr>
            <w:tcW w:w="2617" w:type="pct"/>
            <w:noWrap/>
            <w:vAlign w:val="center"/>
          </w:tcPr>
          <w:p w14:paraId="40FD0400">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《月度考核报告》</w:t>
            </w:r>
          </w:p>
        </w:tc>
        <w:tc>
          <w:tcPr>
            <w:tcW w:w="1072" w:type="pct"/>
            <w:noWrap/>
            <w:vAlign w:val="center"/>
          </w:tcPr>
          <w:p w14:paraId="458F48D2">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14份</w:t>
            </w:r>
          </w:p>
        </w:tc>
      </w:tr>
      <w:tr w14:paraId="74550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Align w:val="center"/>
          </w:tcPr>
          <w:p w14:paraId="29CBAF02">
            <w:pPr>
              <w:pStyle w:val="11"/>
              <w:spacing w:line="240" w:lineRule="exact"/>
              <w:ind w:firstLine="0" w:firstLineChars="0"/>
              <w:jc w:val="center"/>
              <w:rPr>
                <w:rFonts w:ascii="仿宋" w:hAnsi="仿宋" w:eastAsia="仿宋"/>
                <w:color w:val="auto"/>
                <w:sz w:val="24"/>
                <w:szCs w:val="24"/>
                <w:lang w:eastAsia="zh-CN"/>
              </w:rPr>
            </w:pPr>
            <w:r>
              <w:rPr>
                <w:rFonts w:ascii="仿宋" w:hAnsi="仿宋" w:eastAsia="仿宋"/>
                <w:color w:val="auto"/>
                <w:sz w:val="24"/>
                <w:szCs w:val="24"/>
                <w:lang w:eastAsia="zh-CN"/>
              </w:rPr>
              <w:t>6</w:t>
            </w:r>
          </w:p>
        </w:tc>
        <w:tc>
          <w:tcPr>
            <w:tcW w:w="759" w:type="pct"/>
            <w:vAlign w:val="center"/>
          </w:tcPr>
          <w:p w14:paraId="0605BB38">
            <w:pPr>
              <w:pStyle w:val="11"/>
              <w:spacing w:line="240" w:lineRule="exact"/>
              <w:ind w:firstLine="0" w:firstLineChars="0"/>
              <w:rPr>
                <w:rFonts w:ascii="仿宋" w:hAnsi="仿宋" w:eastAsia="仿宋"/>
                <w:color w:val="auto"/>
                <w:sz w:val="24"/>
                <w:szCs w:val="24"/>
                <w:lang w:eastAsia="zh-CN"/>
              </w:rPr>
            </w:pPr>
            <w:r>
              <w:rPr>
                <w:rFonts w:ascii="仿宋" w:hAnsi="仿宋" w:eastAsia="仿宋"/>
                <w:color w:val="auto"/>
                <w:sz w:val="24"/>
                <w:szCs w:val="24"/>
                <w:lang w:eastAsia="zh-CN"/>
              </w:rPr>
              <w:t>陕西RA密码认证服务</w:t>
            </w:r>
          </w:p>
        </w:tc>
        <w:tc>
          <w:tcPr>
            <w:tcW w:w="2617" w:type="pct"/>
            <w:noWrap/>
            <w:vAlign w:val="center"/>
          </w:tcPr>
          <w:p w14:paraId="24EBFE81">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《认证服务报告》</w:t>
            </w:r>
          </w:p>
        </w:tc>
        <w:tc>
          <w:tcPr>
            <w:tcW w:w="1072" w:type="pct"/>
            <w:noWrap/>
            <w:vAlign w:val="center"/>
          </w:tcPr>
          <w:p w14:paraId="0C8F6652">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1份</w:t>
            </w:r>
          </w:p>
        </w:tc>
      </w:tr>
      <w:tr w14:paraId="282E4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Align w:val="center"/>
          </w:tcPr>
          <w:p w14:paraId="7D1CA731">
            <w:pPr>
              <w:pStyle w:val="11"/>
              <w:spacing w:line="240" w:lineRule="exact"/>
              <w:ind w:firstLine="0" w:firstLineChars="0"/>
              <w:jc w:val="center"/>
              <w:rPr>
                <w:rFonts w:ascii="仿宋" w:hAnsi="仿宋" w:eastAsia="仿宋"/>
                <w:color w:val="auto"/>
                <w:sz w:val="24"/>
                <w:szCs w:val="24"/>
                <w:lang w:eastAsia="zh-CN"/>
              </w:rPr>
            </w:pPr>
            <w:r>
              <w:rPr>
                <w:rFonts w:ascii="仿宋" w:hAnsi="仿宋" w:eastAsia="仿宋"/>
                <w:color w:val="auto"/>
                <w:sz w:val="24"/>
                <w:szCs w:val="24"/>
                <w:lang w:eastAsia="zh-CN"/>
              </w:rPr>
              <w:t>7</w:t>
            </w:r>
          </w:p>
        </w:tc>
        <w:tc>
          <w:tcPr>
            <w:tcW w:w="759" w:type="pct"/>
            <w:vAlign w:val="center"/>
          </w:tcPr>
          <w:p w14:paraId="4F46FC42">
            <w:pPr>
              <w:pStyle w:val="11"/>
              <w:spacing w:line="240" w:lineRule="exact"/>
              <w:ind w:firstLine="0" w:firstLineChars="0"/>
              <w:rPr>
                <w:rFonts w:ascii="仿宋" w:hAnsi="仿宋" w:eastAsia="仿宋"/>
                <w:color w:val="auto"/>
                <w:sz w:val="24"/>
                <w:szCs w:val="24"/>
                <w:lang w:eastAsia="zh-CN"/>
              </w:rPr>
            </w:pPr>
            <w:r>
              <w:rPr>
                <w:rFonts w:ascii="仿宋" w:hAnsi="仿宋" w:eastAsia="仿宋"/>
                <w:color w:val="auto"/>
                <w:sz w:val="24"/>
                <w:szCs w:val="24"/>
                <w:lang w:eastAsia="zh-CN"/>
              </w:rPr>
              <w:t>风险排查专项服务</w:t>
            </w:r>
          </w:p>
        </w:tc>
        <w:tc>
          <w:tcPr>
            <w:tcW w:w="2617" w:type="pct"/>
            <w:noWrap/>
            <w:vAlign w:val="center"/>
          </w:tcPr>
          <w:p w14:paraId="71485ABF">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《风险排查建议报告》</w:t>
            </w:r>
          </w:p>
        </w:tc>
        <w:tc>
          <w:tcPr>
            <w:tcW w:w="1072" w:type="pct"/>
            <w:noWrap/>
            <w:vAlign w:val="center"/>
          </w:tcPr>
          <w:p w14:paraId="7FCE4B5E">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1份</w:t>
            </w:r>
          </w:p>
        </w:tc>
      </w:tr>
      <w:tr w14:paraId="1F9D3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vAlign w:val="center"/>
          </w:tcPr>
          <w:p w14:paraId="12E3C296">
            <w:pPr>
              <w:pStyle w:val="11"/>
              <w:spacing w:line="240" w:lineRule="exact"/>
              <w:ind w:firstLine="0" w:firstLineChars="0"/>
              <w:jc w:val="center"/>
              <w:rPr>
                <w:rFonts w:ascii="仿宋" w:hAnsi="仿宋" w:eastAsia="仿宋"/>
                <w:color w:val="auto"/>
                <w:sz w:val="24"/>
                <w:szCs w:val="24"/>
                <w:lang w:eastAsia="zh-CN"/>
              </w:rPr>
            </w:pPr>
            <w:r>
              <w:rPr>
                <w:rFonts w:ascii="仿宋" w:hAnsi="仿宋" w:eastAsia="仿宋"/>
                <w:color w:val="auto"/>
                <w:sz w:val="24"/>
                <w:szCs w:val="24"/>
                <w:lang w:eastAsia="zh-CN"/>
              </w:rPr>
              <w:t>8</w:t>
            </w:r>
          </w:p>
        </w:tc>
        <w:tc>
          <w:tcPr>
            <w:tcW w:w="759" w:type="pct"/>
            <w:vAlign w:val="center"/>
          </w:tcPr>
          <w:p w14:paraId="46ACAA97">
            <w:pPr>
              <w:pStyle w:val="11"/>
              <w:spacing w:line="240" w:lineRule="exact"/>
              <w:ind w:firstLine="0" w:firstLineChars="0"/>
              <w:rPr>
                <w:rFonts w:ascii="仿宋" w:hAnsi="仿宋" w:eastAsia="仿宋"/>
                <w:color w:val="auto"/>
                <w:sz w:val="24"/>
                <w:szCs w:val="24"/>
                <w:lang w:eastAsia="zh-CN"/>
              </w:rPr>
            </w:pPr>
            <w:r>
              <w:rPr>
                <w:rFonts w:ascii="仿宋" w:hAnsi="仿宋" w:eastAsia="仿宋"/>
                <w:color w:val="auto"/>
                <w:sz w:val="24"/>
                <w:szCs w:val="24"/>
                <w:lang w:eastAsia="zh-CN"/>
              </w:rPr>
              <w:t>备品备件服务</w:t>
            </w:r>
          </w:p>
        </w:tc>
        <w:tc>
          <w:tcPr>
            <w:tcW w:w="2617" w:type="pct"/>
            <w:noWrap/>
            <w:vAlign w:val="center"/>
          </w:tcPr>
          <w:p w14:paraId="6919423D">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《备品备件服务清单》</w:t>
            </w:r>
          </w:p>
        </w:tc>
        <w:tc>
          <w:tcPr>
            <w:tcW w:w="1072" w:type="pct"/>
            <w:noWrap/>
            <w:vAlign w:val="center"/>
          </w:tcPr>
          <w:p w14:paraId="090F00C5">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1份</w:t>
            </w:r>
          </w:p>
        </w:tc>
      </w:tr>
      <w:tr w14:paraId="38D90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pct"/>
            <w:shd w:val="clear" w:color="auto" w:fill="auto"/>
            <w:vAlign w:val="center"/>
          </w:tcPr>
          <w:p w14:paraId="01B20A0B">
            <w:pPr>
              <w:widowControl/>
              <w:spacing w:before="0" w:after="0" w:line="260" w:lineRule="exact"/>
              <w:jc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cs="仿宋_GB2312"/>
                <w:color w:val="auto"/>
                <w:kern w:val="0"/>
                <w:sz w:val="24"/>
                <w:szCs w:val="24"/>
                <w:lang w:val="en-US" w:eastAsia="zh-CN"/>
              </w:rPr>
              <w:t>9</w:t>
            </w:r>
          </w:p>
        </w:tc>
        <w:tc>
          <w:tcPr>
            <w:tcW w:w="3377" w:type="pct"/>
            <w:gridSpan w:val="2"/>
            <w:shd w:val="clear" w:color="auto" w:fill="auto"/>
            <w:vAlign w:val="center"/>
          </w:tcPr>
          <w:p w14:paraId="1D002386">
            <w:pPr>
              <w:widowControl/>
              <w:spacing w:before="0" w:after="0" w:line="260" w:lineRule="exact"/>
              <w:jc w:val="left"/>
              <w:rPr>
                <w:rFonts w:hint="default" w:ascii="仿宋_GB2312" w:hAnsi="仿宋_GB2312" w:eastAsia="仿宋_GB2312" w:cs="仿宋_GB2312"/>
                <w:color w:val="auto"/>
                <w:kern w:val="0"/>
                <w:sz w:val="24"/>
                <w:szCs w:val="24"/>
                <w:lang w:val="en-US" w:eastAsia="zh-CN" w:bidi="ar-SA"/>
              </w:rPr>
            </w:pPr>
            <w:r>
              <w:rPr>
                <w:rFonts w:hint="eastAsia" w:ascii="仿宋_GB2312" w:hAnsi="仿宋_GB2312" w:cs="仿宋_GB2312"/>
                <w:color w:val="auto"/>
                <w:kern w:val="0"/>
                <w:sz w:val="24"/>
                <w:szCs w:val="24"/>
                <w:lang w:val="en-US" w:eastAsia="zh-CN"/>
              </w:rPr>
              <w:t>本项目总体运维服务分析总结报告</w:t>
            </w:r>
          </w:p>
        </w:tc>
        <w:tc>
          <w:tcPr>
            <w:tcW w:w="1072" w:type="pct"/>
            <w:noWrap/>
            <w:vAlign w:val="center"/>
          </w:tcPr>
          <w:p w14:paraId="017729D2">
            <w:pPr>
              <w:pStyle w:val="11"/>
              <w:spacing w:line="240" w:lineRule="exact"/>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1份</w:t>
            </w:r>
          </w:p>
        </w:tc>
      </w:tr>
    </w:tbl>
    <w:p w14:paraId="3F304B00">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四）在甲方要求的期限内，乙方提交成果不具备验收条件的或验收不合格的，经甲方书面同意后可以根据实际情况，给予乙方一定的宽限期进行完善和修正。在宽限期内验收合格的，不视为违约，交付期限相应予以顺延；宽限期满仍不具备验收条件或验收不合格的，按本合同“违约责任”条款处理。</w:t>
      </w:r>
    </w:p>
    <w:p w14:paraId="12D734F3">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十</w:t>
      </w:r>
      <w:r>
        <w:rPr>
          <w:rFonts w:hint="eastAsia" w:ascii="仿宋" w:hAnsi="仿宋" w:eastAsia="仿宋"/>
          <w:color w:val="auto"/>
          <w:sz w:val="24"/>
          <w:szCs w:val="24"/>
          <w:lang w:val="en-US" w:eastAsia="zh-CN"/>
        </w:rPr>
        <w:t>二</w:t>
      </w:r>
      <w:r>
        <w:rPr>
          <w:rFonts w:ascii="仿宋" w:hAnsi="仿宋" w:eastAsia="仿宋"/>
          <w:color w:val="auto"/>
          <w:sz w:val="24"/>
          <w:szCs w:val="24"/>
        </w:rPr>
        <w:t>、违约责任</w:t>
      </w:r>
    </w:p>
    <w:p w14:paraId="651700ED">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1.乙方未按合同要求提供服务或服务质量不能满足技术</w:t>
      </w:r>
      <w:r>
        <w:rPr>
          <w:rFonts w:hint="eastAsia" w:ascii="仿宋" w:hAnsi="仿宋" w:eastAsia="仿宋"/>
          <w:color w:val="auto"/>
          <w:sz w:val="24"/>
          <w:szCs w:val="24"/>
          <w:lang w:val="en-US" w:eastAsia="zh-CN"/>
        </w:rPr>
        <w:t>服务</w:t>
      </w:r>
      <w:r>
        <w:rPr>
          <w:rFonts w:ascii="仿宋" w:hAnsi="仿宋" w:eastAsia="仿宋"/>
          <w:color w:val="auto"/>
          <w:sz w:val="24"/>
          <w:szCs w:val="24"/>
        </w:rPr>
        <w:t>要求，且在规定时间内未使甲方满意的，甲方有权每日按照合同总金额的0.3%收取乙方违约金</w:t>
      </w:r>
      <w:r>
        <w:rPr>
          <w:rFonts w:ascii="仿宋" w:hAnsi="仿宋" w:eastAsia="仿宋"/>
          <w:color w:val="auto"/>
          <w:sz w:val="24"/>
          <w:szCs w:val="24"/>
          <w:lang w:eastAsia="zh-CN"/>
        </w:rPr>
        <w:t>。当以上情况持续30天或以上时，</w:t>
      </w:r>
      <w:r>
        <w:rPr>
          <w:rFonts w:ascii="仿宋" w:hAnsi="仿宋" w:eastAsia="仿宋"/>
          <w:color w:val="auto"/>
          <w:sz w:val="24"/>
          <w:szCs w:val="24"/>
        </w:rPr>
        <w:t>甲方有权终止合同</w:t>
      </w:r>
      <w:r>
        <w:rPr>
          <w:rFonts w:ascii="仿宋" w:hAnsi="仿宋" w:eastAsia="仿宋"/>
          <w:color w:val="auto"/>
          <w:sz w:val="24"/>
          <w:szCs w:val="24"/>
          <w:lang w:eastAsia="zh-CN"/>
        </w:rPr>
        <w:t>，乙方必须将全部服务资料移交甲方，并在合同终止之日起10天内，配合甲方做好服务交接工作</w:t>
      </w:r>
      <w:r>
        <w:rPr>
          <w:rFonts w:ascii="仿宋" w:hAnsi="仿宋" w:eastAsia="仿宋"/>
          <w:color w:val="auto"/>
          <w:sz w:val="24"/>
          <w:szCs w:val="24"/>
        </w:rPr>
        <w:t>。</w:t>
      </w:r>
      <w:r>
        <w:rPr>
          <w:rFonts w:ascii="仿宋" w:hAnsi="仿宋" w:eastAsia="仿宋"/>
          <w:color w:val="auto"/>
          <w:sz w:val="24"/>
          <w:szCs w:val="24"/>
          <w:lang w:eastAsia="zh-CN"/>
        </w:rPr>
        <w:t>同时，</w:t>
      </w:r>
      <w:r>
        <w:rPr>
          <w:rFonts w:ascii="仿宋" w:hAnsi="仿宋" w:eastAsia="仿宋"/>
          <w:color w:val="auto"/>
          <w:sz w:val="24"/>
          <w:szCs w:val="24"/>
        </w:rPr>
        <w:t>甲方有权追回未完成合同项目的款项，并有权要求乙方支付合同总金额10%违约金，违约金不足以弥补损失的，乙方应予补足。</w:t>
      </w:r>
    </w:p>
    <w:p w14:paraId="3E8B7C35">
      <w:pPr>
        <w:pStyle w:val="11"/>
        <w:snapToGrid w:val="0"/>
        <w:spacing w:before="156" w:beforeLines="50" w:after="156"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rPr>
        <w:t>2.项目应在达到验收条件，并提交验收申请。如果</w:t>
      </w:r>
      <w:r>
        <w:rPr>
          <w:rFonts w:ascii="仿宋" w:hAnsi="仿宋" w:eastAsia="仿宋"/>
          <w:color w:val="auto"/>
          <w:sz w:val="24"/>
          <w:szCs w:val="24"/>
          <w:lang w:eastAsia="zh-CN"/>
        </w:rPr>
        <w:t>乙方</w:t>
      </w:r>
      <w:r>
        <w:rPr>
          <w:rFonts w:ascii="仿宋" w:hAnsi="仿宋" w:eastAsia="仿宋"/>
          <w:color w:val="auto"/>
          <w:sz w:val="24"/>
          <w:szCs w:val="24"/>
        </w:rPr>
        <w:t>未按招标文件约定日期交付服务</w:t>
      </w:r>
      <w:r>
        <w:rPr>
          <w:rFonts w:ascii="仿宋" w:hAnsi="仿宋" w:eastAsia="仿宋"/>
          <w:color w:val="auto"/>
          <w:sz w:val="24"/>
          <w:szCs w:val="24"/>
          <w:lang w:eastAsia="zh-CN"/>
        </w:rPr>
        <w:t>成果</w:t>
      </w:r>
      <w:r>
        <w:rPr>
          <w:rFonts w:ascii="仿宋" w:hAnsi="仿宋" w:eastAsia="仿宋"/>
          <w:color w:val="auto"/>
          <w:sz w:val="24"/>
          <w:szCs w:val="24"/>
        </w:rPr>
        <w:t>，视为逾期违约。逾期未启动或未提交验收申请，甲方有权每日按照合同总金额的0.3%</w:t>
      </w:r>
      <w:r>
        <w:rPr>
          <w:rFonts w:ascii="仿宋" w:hAnsi="仿宋" w:eastAsia="仿宋"/>
          <w:color w:val="auto"/>
          <w:sz w:val="24"/>
          <w:szCs w:val="24"/>
          <w:lang w:eastAsia="zh-CN"/>
        </w:rPr>
        <w:t>收取乙方</w:t>
      </w:r>
      <w:r>
        <w:rPr>
          <w:rFonts w:ascii="仿宋" w:hAnsi="仿宋" w:eastAsia="仿宋"/>
          <w:color w:val="auto"/>
          <w:sz w:val="24"/>
          <w:szCs w:val="24"/>
        </w:rPr>
        <w:t>违约金。当以上情况持续</w:t>
      </w:r>
      <w:r>
        <w:rPr>
          <w:rFonts w:ascii="仿宋" w:hAnsi="仿宋" w:eastAsia="仿宋"/>
          <w:color w:val="auto"/>
          <w:sz w:val="24"/>
          <w:szCs w:val="24"/>
          <w:lang w:eastAsia="zh-CN"/>
        </w:rPr>
        <w:t>3</w:t>
      </w:r>
      <w:r>
        <w:rPr>
          <w:rFonts w:ascii="仿宋" w:hAnsi="仿宋" w:eastAsia="仿宋"/>
          <w:color w:val="auto"/>
          <w:sz w:val="24"/>
          <w:szCs w:val="24"/>
        </w:rPr>
        <w:t>0天或以上时，甲方有权终止合同，乙方必须将全部服务资料移交甲方，并在合同终止之日起10天内，配合甲方做好服务交接工作，</w:t>
      </w:r>
      <w:r>
        <w:rPr>
          <w:rFonts w:ascii="仿宋" w:hAnsi="仿宋" w:eastAsia="仿宋"/>
          <w:color w:val="auto"/>
          <w:sz w:val="24"/>
          <w:szCs w:val="24"/>
          <w:lang w:eastAsia="zh-CN"/>
        </w:rPr>
        <w:t>同时，甲方有权要求乙方支付合同总金额10%违约金，违约金不足以弥补损失的，乙方应予补足。</w:t>
      </w:r>
    </w:p>
    <w:p w14:paraId="0828DD9E">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3</w:t>
      </w:r>
      <w:r>
        <w:rPr>
          <w:rFonts w:ascii="仿宋" w:hAnsi="仿宋" w:eastAsia="仿宋"/>
          <w:color w:val="auto"/>
          <w:sz w:val="24"/>
          <w:szCs w:val="24"/>
        </w:rPr>
        <w:t>.任何一方若违反本合同其他约定，致使本合同无法履行，违约方应向守约方赔偿实际损失。</w:t>
      </w:r>
    </w:p>
    <w:p w14:paraId="22CA9A24">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4</w:t>
      </w:r>
      <w:r>
        <w:rPr>
          <w:rFonts w:ascii="仿宋" w:hAnsi="仿宋" w:eastAsia="仿宋"/>
          <w:color w:val="auto"/>
          <w:sz w:val="24"/>
          <w:szCs w:val="24"/>
        </w:rPr>
        <w:t>.如因乙方工作人员在履行职务过程中</w:t>
      </w:r>
      <w:r>
        <w:rPr>
          <w:rFonts w:ascii="仿宋" w:hAnsi="仿宋" w:eastAsia="仿宋"/>
          <w:color w:val="auto"/>
          <w:sz w:val="24"/>
          <w:szCs w:val="24"/>
          <w:lang w:eastAsia="zh-CN"/>
        </w:rPr>
        <w:t>的</w:t>
      </w:r>
      <w:r>
        <w:rPr>
          <w:rFonts w:ascii="仿宋" w:hAnsi="仿宋" w:eastAsia="仿宋"/>
          <w:color w:val="auto"/>
          <w:sz w:val="24"/>
          <w:szCs w:val="24"/>
        </w:rPr>
        <w:t>疏忽、失职、过错等故意或者过失原因给甲方造成损失或侵害，包括但不限于对甲方造成财产损失、由此而导致的甲方对任何第三方的法律责任等，乙方对此均应承担全部的赔偿责任并负责妥善处理。</w:t>
      </w:r>
    </w:p>
    <w:p w14:paraId="51882334">
      <w:pPr>
        <w:pStyle w:val="11"/>
        <w:snapToGrid w:val="0"/>
        <w:spacing w:before="156" w:beforeLines="50" w:after="156"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5.因乙方行为违反法律规定产生引起的民事和刑事责任由乙方承担；</w:t>
      </w:r>
    </w:p>
    <w:p w14:paraId="6EBB70B5">
      <w:pPr>
        <w:pStyle w:val="11"/>
        <w:snapToGrid w:val="0"/>
        <w:spacing w:before="156" w:beforeLines="50" w:after="156"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6.乙方违反保密规定，全部责任由乙方承担，并需赔偿甲方由此引起的损失。</w:t>
      </w:r>
    </w:p>
    <w:p w14:paraId="27DFC265">
      <w:pPr>
        <w:pStyle w:val="11"/>
        <w:snapToGrid w:val="0"/>
        <w:spacing w:before="156" w:beforeLines="50" w:after="156"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7.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4E31733C">
      <w:pPr>
        <w:pStyle w:val="11"/>
        <w:snapToGrid w:val="0"/>
        <w:spacing w:before="156" w:beforeLines="50" w:after="156" w:afterLines="50"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8</w:t>
      </w:r>
      <w:r>
        <w:rPr>
          <w:rFonts w:ascii="仿宋" w:hAnsi="仿宋" w:eastAsia="仿宋"/>
          <w:color w:val="auto"/>
          <w:sz w:val="24"/>
          <w:szCs w:val="24"/>
        </w:rPr>
        <w:t>.本合同约定的损失，包括但不限于直接或间接的经济损失、律师费、诉讼费、保全费、鉴定费等损失。</w:t>
      </w:r>
    </w:p>
    <w:p w14:paraId="5A1E96C4">
      <w:pPr>
        <w:pStyle w:val="11"/>
        <w:snapToGrid w:val="0"/>
        <w:spacing w:before="156" w:beforeLines="50" w:after="156" w:afterLines="50"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9</w:t>
      </w:r>
      <w:r>
        <w:rPr>
          <w:rFonts w:ascii="仿宋" w:hAnsi="仿宋" w:eastAsia="仿宋"/>
          <w:color w:val="auto"/>
          <w:sz w:val="24"/>
          <w:szCs w:val="24"/>
        </w:rPr>
        <w:t>.本合同约定的违约情形独立存在，可叠加适用。乙方按照合同约定应当向甲方支付的违约金，乙方同意甲方从应付未付款中直接予以扣除。</w:t>
      </w:r>
    </w:p>
    <w:p w14:paraId="628AD277">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十</w:t>
      </w:r>
      <w:r>
        <w:rPr>
          <w:rFonts w:hint="eastAsia" w:ascii="仿宋" w:hAnsi="仿宋" w:eastAsia="仿宋"/>
          <w:color w:val="auto"/>
          <w:sz w:val="24"/>
          <w:szCs w:val="24"/>
          <w:lang w:val="en-US" w:eastAsia="zh-CN"/>
        </w:rPr>
        <w:t>三</w:t>
      </w:r>
      <w:r>
        <w:rPr>
          <w:rFonts w:ascii="仿宋" w:hAnsi="仿宋" w:eastAsia="仿宋"/>
          <w:color w:val="auto"/>
          <w:sz w:val="24"/>
          <w:szCs w:val="24"/>
        </w:rPr>
        <w:t>、知识产权</w:t>
      </w:r>
    </w:p>
    <w:p w14:paraId="02B90357">
      <w:pPr>
        <w:pStyle w:val="11"/>
        <w:snapToGrid w:val="0"/>
        <w:spacing w:before="156" w:beforeLines="50" w:after="156"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除另有约定外，甲方提供给乙方的资料以及反映甲方要求的或其他类似性质文件，以及乙方为履行本合同约定而编制的成果文件的所有权、知识产权及相关权利属于甲方，乙方可以为实现本合同目的而复制或者以其他方式使用此类文件，但不能用于与本合同无关的其他事项。未经甲方书面同意，乙方不得为了本合同以外的目的而复制或者以其他方式使用上述文件或将之提供给任何第三方。</w:t>
      </w:r>
    </w:p>
    <w:p w14:paraId="0EC1C77F">
      <w:pPr>
        <w:pStyle w:val="11"/>
        <w:snapToGrid w:val="0"/>
        <w:spacing w:before="156" w:beforeLines="50" w:after="156"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乙方应保证提供的服务不会出现因第三方提出侵犯其专利权、商标权或其他知识产权而引发法律或经济纠纷，否则由乙方承担全部责任。任何被乙方用于未经授权的商业目的行为所造成的违约或侵权责任由乙方承担。</w:t>
      </w:r>
    </w:p>
    <w:p w14:paraId="3B0F1108">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十</w:t>
      </w:r>
      <w:r>
        <w:rPr>
          <w:rFonts w:hint="eastAsia" w:ascii="仿宋" w:hAnsi="仿宋" w:eastAsia="仿宋"/>
          <w:color w:val="auto"/>
          <w:sz w:val="24"/>
          <w:szCs w:val="24"/>
          <w:lang w:val="en-US" w:eastAsia="zh-CN"/>
        </w:rPr>
        <w:t>四</w:t>
      </w:r>
      <w:r>
        <w:rPr>
          <w:rFonts w:ascii="仿宋" w:hAnsi="仿宋" w:eastAsia="仿宋"/>
          <w:color w:val="auto"/>
          <w:sz w:val="24"/>
          <w:szCs w:val="24"/>
          <w:lang w:eastAsia="zh-CN"/>
        </w:rPr>
        <w:t>、保密条款</w:t>
      </w:r>
    </w:p>
    <w:p w14:paraId="4C0D2BBC">
      <w:pPr>
        <w:pStyle w:val="11"/>
        <w:spacing w:line="338" w:lineRule="auto"/>
        <w:ind w:firstLine="480"/>
        <w:rPr>
          <w:rFonts w:ascii="仿宋" w:hAnsi="仿宋" w:eastAsia="仿宋"/>
          <w:color w:val="auto"/>
          <w:sz w:val="24"/>
          <w:szCs w:val="24"/>
          <w:lang w:eastAsia="zh-CN"/>
        </w:rPr>
      </w:pPr>
      <w:r>
        <w:rPr>
          <w:rFonts w:ascii="仿宋" w:hAnsi="仿宋" w:eastAsia="仿宋"/>
          <w:color w:val="auto"/>
          <w:sz w:val="24"/>
          <w:szCs w:val="24"/>
          <w:lang w:eastAsia="zh-CN"/>
        </w:rPr>
        <w:t>1.乙方与甲方签署合同时，应与甲方签署保密协议,乙方服务人员应签署保密承诺书。</w:t>
      </w:r>
    </w:p>
    <w:p w14:paraId="30539E3E">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12EA8D4A">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3.乙方应采取有效措施对甲方提供的资料和数据实施合乎规定（该类规定包括但不限于相关的保密法律法规、规定、通知等）的保密处理措施，并对此负责；</w:t>
      </w:r>
    </w:p>
    <w:p w14:paraId="4B3AFE6A">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4.乙方有义务遵守和配合执行甲方的保密管理规定与保密措施，并在项目实施完成后，归还甲方提供的全部资料。</w:t>
      </w:r>
    </w:p>
    <w:p w14:paraId="313EFAA1">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十</w:t>
      </w:r>
      <w:r>
        <w:rPr>
          <w:rFonts w:hint="eastAsia" w:ascii="仿宋" w:hAnsi="仿宋" w:eastAsia="仿宋"/>
          <w:color w:val="auto"/>
          <w:sz w:val="24"/>
          <w:szCs w:val="24"/>
          <w:lang w:val="en-US" w:eastAsia="zh-CN"/>
        </w:rPr>
        <w:t>五</w:t>
      </w:r>
      <w:r>
        <w:rPr>
          <w:rFonts w:ascii="仿宋" w:hAnsi="仿宋" w:eastAsia="仿宋"/>
          <w:color w:val="auto"/>
          <w:sz w:val="24"/>
          <w:szCs w:val="24"/>
          <w:lang w:eastAsia="zh-CN"/>
        </w:rPr>
        <w:t>、不可抗力</w:t>
      </w:r>
    </w:p>
    <w:p w14:paraId="5821CF53">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1.如果双方中任何一方遭遇法律规定的不可抗力，致使合同履行受阻时，履行合同的期限应予延长，延长的期限应由双方协商确定后达成书面协议；</w:t>
      </w:r>
    </w:p>
    <w:p w14:paraId="241B7F04">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2.受事故影响的一方应在不可抗力的事故发生后尽快以书面形式通知另一方，并在事故发生后5天内，将有关部门出具的证明文件送达另一方；</w:t>
      </w:r>
    </w:p>
    <w:p w14:paraId="4DE48A74">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3.不可抗力使合同的某些内容需要变更时，双方应通过协商在5天内达成进一步履行合同的协议，因不可抗力致使合同不能继续履行的，合同终止。乙方提交已经完成的成果，并退还未完成部分的合同款项。</w:t>
      </w:r>
    </w:p>
    <w:p w14:paraId="53A0615A">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十</w:t>
      </w:r>
      <w:r>
        <w:rPr>
          <w:rFonts w:hint="eastAsia" w:ascii="仿宋" w:hAnsi="仿宋" w:eastAsia="仿宋"/>
          <w:color w:val="auto"/>
          <w:sz w:val="24"/>
          <w:szCs w:val="24"/>
          <w:lang w:val="en-US" w:eastAsia="zh-CN"/>
        </w:rPr>
        <w:t>六</w:t>
      </w:r>
      <w:r>
        <w:rPr>
          <w:rFonts w:ascii="仿宋" w:hAnsi="仿宋" w:eastAsia="仿宋"/>
          <w:color w:val="auto"/>
          <w:sz w:val="24"/>
          <w:szCs w:val="24"/>
        </w:rPr>
        <w:t>、解决</w:t>
      </w:r>
      <w:r>
        <w:rPr>
          <w:rFonts w:ascii="仿宋" w:hAnsi="仿宋" w:eastAsia="仿宋"/>
          <w:color w:val="auto"/>
          <w:sz w:val="24"/>
          <w:szCs w:val="24"/>
          <w:lang w:eastAsia="zh-CN"/>
        </w:rPr>
        <w:t>合同</w:t>
      </w:r>
      <w:r>
        <w:rPr>
          <w:rFonts w:ascii="仿宋" w:hAnsi="仿宋" w:eastAsia="仿宋"/>
          <w:color w:val="auto"/>
          <w:sz w:val="24"/>
          <w:szCs w:val="24"/>
        </w:rPr>
        <w:t>纠纷的方式</w:t>
      </w:r>
    </w:p>
    <w:p w14:paraId="4AC39209">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1.在执行本</w:t>
      </w:r>
      <w:r>
        <w:rPr>
          <w:rFonts w:ascii="仿宋" w:hAnsi="仿宋" w:eastAsia="仿宋"/>
          <w:color w:val="auto"/>
          <w:sz w:val="24"/>
          <w:szCs w:val="24"/>
          <w:lang w:eastAsia="zh-CN"/>
        </w:rPr>
        <w:t>合同</w:t>
      </w:r>
      <w:r>
        <w:rPr>
          <w:rFonts w:ascii="仿宋" w:hAnsi="仿宋" w:eastAsia="仿宋"/>
          <w:color w:val="auto"/>
          <w:sz w:val="24"/>
          <w:szCs w:val="24"/>
        </w:rPr>
        <w:t>中发生的或与本</w:t>
      </w:r>
      <w:r>
        <w:rPr>
          <w:rFonts w:ascii="仿宋" w:hAnsi="仿宋" w:eastAsia="仿宋"/>
          <w:color w:val="auto"/>
          <w:sz w:val="24"/>
          <w:szCs w:val="24"/>
          <w:lang w:eastAsia="zh-CN"/>
        </w:rPr>
        <w:t>合同</w:t>
      </w:r>
      <w:r>
        <w:rPr>
          <w:rFonts w:ascii="仿宋" w:hAnsi="仿宋" w:eastAsia="仿宋"/>
          <w:color w:val="auto"/>
          <w:sz w:val="24"/>
          <w:szCs w:val="24"/>
        </w:rPr>
        <w:t>有关的争端，双方应通过友好协商解决，协商不成，则采取以下第1种方式解决争议：</w:t>
      </w:r>
    </w:p>
    <w:p w14:paraId="4BC64307">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（1）向甲方所在地有管辖权的人民法院提起诉讼；</w:t>
      </w:r>
    </w:p>
    <w:p w14:paraId="100642A1">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（2）向陕西仲裁委员会按其仲裁规则申请仲裁。</w:t>
      </w:r>
    </w:p>
    <w:p w14:paraId="5B36E138">
      <w:pPr>
        <w:pStyle w:val="11"/>
        <w:spacing w:line="338" w:lineRule="auto"/>
        <w:ind w:left="0" w:leftChars="0" w:firstLine="480" w:firstLineChars="200"/>
        <w:rPr>
          <w:rFonts w:ascii="仿宋" w:hAnsi="仿宋" w:eastAsia="仿宋"/>
          <w:color w:val="auto"/>
          <w:sz w:val="24"/>
          <w:szCs w:val="24"/>
        </w:rPr>
      </w:pPr>
      <w:r>
        <w:rPr>
          <w:rFonts w:ascii="仿宋" w:hAnsi="仿宋" w:eastAsia="仿宋"/>
          <w:color w:val="auto"/>
          <w:sz w:val="24"/>
          <w:szCs w:val="24"/>
        </w:rPr>
        <w:t>2.在诉讼仲裁期间，本</w:t>
      </w:r>
      <w:r>
        <w:rPr>
          <w:rFonts w:ascii="仿宋" w:hAnsi="仿宋" w:eastAsia="仿宋"/>
          <w:color w:val="auto"/>
          <w:sz w:val="24"/>
          <w:szCs w:val="24"/>
          <w:lang w:eastAsia="zh-CN"/>
        </w:rPr>
        <w:t>合同</w:t>
      </w:r>
      <w:r>
        <w:rPr>
          <w:rFonts w:ascii="仿宋" w:hAnsi="仿宋" w:eastAsia="仿宋"/>
          <w:color w:val="auto"/>
          <w:sz w:val="24"/>
          <w:szCs w:val="24"/>
        </w:rPr>
        <w:t>应继续履行。</w:t>
      </w:r>
    </w:p>
    <w:p w14:paraId="636B0D2A">
      <w:pPr>
        <w:pStyle w:val="11"/>
        <w:spacing w:line="338" w:lineRule="auto"/>
        <w:ind w:left="479" w:leftChars="228"/>
        <w:rPr>
          <w:rFonts w:ascii="仿宋" w:hAnsi="仿宋" w:eastAsia="仿宋"/>
          <w:color w:val="auto"/>
          <w:sz w:val="24"/>
          <w:szCs w:val="24"/>
        </w:rPr>
      </w:pPr>
      <w:r>
        <w:rPr>
          <w:rFonts w:ascii="仿宋" w:hAnsi="仿宋" w:eastAsia="仿宋"/>
          <w:color w:val="auto"/>
          <w:sz w:val="24"/>
          <w:szCs w:val="24"/>
        </w:rPr>
        <w:t>十</w:t>
      </w:r>
      <w:r>
        <w:rPr>
          <w:rFonts w:hint="eastAsia" w:ascii="仿宋" w:hAnsi="仿宋" w:eastAsia="仿宋"/>
          <w:color w:val="auto"/>
          <w:sz w:val="24"/>
          <w:szCs w:val="24"/>
          <w:lang w:val="en-US" w:eastAsia="zh-CN"/>
        </w:rPr>
        <w:t>七</w:t>
      </w:r>
      <w:r>
        <w:rPr>
          <w:rFonts w:ascii="仿宋" w:hAnsi="仿宋" w:eastAsia="仿宋"/>
          <w:color w:val="auto"/>
          <w:sz w:val="24"/>
          <w:szCs w:val="24"/>
        </w:rPr>
        <w:t>、</w:t>
      </w:r>
      <w:r>
        <w:rPr>
          <w:rFonts w:ascii="仿宋" w:hAnsi="仿宋" w:eastAsia="仿宋"/>
          <w:color w:val="auto"/>
          <w:sz w:val="24"/>
          <w:szCs w:val="24"/>
          <w:lang w:eastAsia="zh-CN"/>
        </w:rPr>
        <w:t>合同</w:t>
      </w:r>
      <w:r>
        <w:rPr>
          <w:rFonts w:ascii="仿宋" w:hAnsi="仿宋" w:eastAsia="仿宋"/>
          <w:color w:val="auto"/>
          <w:sz w:val="24"/>
          <w:szCs w:val="24"/>
        </w:rPr>
        <w:t>生效及其他</w:t>
      </w:r>
    </w:p>
    <w:p w14:paraId="1CE4ECB6">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1.本</w:t>
      </w:r>
      <w:r>
        <w:rPr>
          <w:rFonts w:ascii="仿宋" w:hAnsi="仿宋" w:eastAsia="仿宋"/>
          <w:color w:val="auto"/>
          <w:sz w:val="24"/>
          <w:szCs w:val="24"/>
          <w:lang w:eastAsia="zh-CN"/>
        </w:rPr>
        <w:t>合同</w:t>
      </w:r>
      <w:r>
        <w:rPr>
          <w:rFonts w:ascii="仿宋" w:hAnsi="仿宋" w:eastAsia="仿宋"/>
          <w:color w:val="auto"/>
          <w:sz w:val="24"/>
          <w:szCs w:val="24"/>
        </w:rPr>
        <w:t>经双方法定代表人或授权代表签字或签章，并加盖双方公章后生效，一式</w:t>
      </w:r>
      <w:r>
        <w:rPr>
          <w:rFonts w:ascii="仿宋" w:hAnsi="仿宋" w:eastAsia="仿宋"/>
          <w:color w:val="auto"/>
          <w:sz w:val="24"/>
          <w:szCs w:val="24"/>
          <w:u w:val="single"/>
        </w:rPr>
        <w:t xml:space="preserve"> </w:t>
      </w:r>
      <w:r>
        <w:rPr>
          <w:rFonts w:ascii="仿宋" w:hAnsi="仿宋" w:eastAsia="仿宋"/>
          <w:color w:val="auto"/>
          <w:sz w:val="24"/>
          <w:szCs w:val="24"/>
          <w:u w:val="single"/>
          <w:lang w:eastAsia="zh-CN"/>
        </w:rPr>
        <w:t xml:space="preserve">    </w:t>
      </w:r>
      <w:r>
        <w:rPr>
          <w:rFonts w:ascii="仿宋" w:hAnsi="仿宋" w:eastAsia="仿宋"/>
          <w:color w:val="auto"/>
          <w:sz w:val="24"/>
          <w:szCs w:val="24"/>
          <w:u w:val="single"/>
        </w:rPr>
        <w:t xml:space="preserve"> </w:t>
      </w:r>
      <w:r>
        <w:rPr>
          <w:rFonts w:ascii="仿宋" w:hAnsi="仿宋" w:eastAsia="仿宋"/>
          <w:color w:val="auto"/>
          <w:sz w:val="24"/>
          <w:szCs w:val="24"/>
        </w:rPr>
        <w:t>份，甲方执</w:t>
      </w:r>
      <w:r>
        <w:rPr>
          <w:rFonts w:ascii="仿宋" w:hAnsi="仿宋" w:eastAsia="仿宋"/>
          <w:color w:val="auto"/>
          <w:sz w:val="24"/>
          <w:szCs w:val="24"/>
          <w:u w:val="single"/>
          <w:lang w:eastAsia="zh-CN"/>
        </w:rPr>
        <w:t xml:space="preserve">       </w:t>
      </w:r>
      <w:r>
        <w:rPr>
          <w:rFonts w:ascii="仿宋" w:hAnsi="仿宋" w:eastAsia="仿宋"/>
          <w:color w:val="auto"/>
          <w:sz w:val="24"/>
          <w:szCs w:val="24"/>
        </w:rPr>
        <w:t>份，乙方执</w:t>
      </w:r>
      <w:r>
        <w:rPr>
          <w:rFonts w:ascii="仿宋" w:hAnsi="仿宋" w:eastAsia="仿宋"/>
          <w:color w:val="auto"/>
          <w:sz w:val="24"/>
          <w:szCs w:val="24"/>
          <w:u w:val="single"/>
          <w:lang w:eastAsia="zh-CN"/>
        </w:rPr>
        <w:t xml:space="preserve">      </w:t>
      </w:r>
      <w:r>
        <w:rPr>
          <w:rFonts w:ascii="仿宋" w:hAnsi="仿宋" w:eastAsia="仿宋"/>
          <w:color w:val="auto"/>
          <w:sz w:val="24"/>
          <w:szCs w:val="24"/>
        </w:rPr>
        <w:t>份，对双方均具有同等法律效力。</w:t>
      </w:r>
    </w:p>
    <w:p w14:paraId="1559BD8A">
      <w:pPr>
        <w:pStyle w:val="11"/>
        <w:spacing w:line="338" w:lineRule="auto"/>
        <w:ind w:firstLine="480" w:firstLineChars="200"/>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auto"/>
          <w:sz w:val="24"/>
          <w:szCs w:val="24"/>
          <w:lang w:eastAsia="zh-CN"/>
        </w:rPr>
        <w:t>2.</w:t>
      </w:r>
      <w:r>
        <w:rPr>
          <w:rFonts w:ascii="仿宋" w:hAnsi="仿宋" w:eastAsia="仿宋"/>
          <w:color w:val="auto"/>
          <w:sz w:val="24"/>
          <w:szCs w:val="24"/>
        </w:rPr>
        <w:t>本</w:t>
      </w:r>
      <w:r>
        <w:rPr>
          <w:rFonts w:ascii="仿宋" w:hAnsi="仿宋" w:eastAsia="仿宋"/>
          <w:color w:val="auto"/>
          <w:sz w:val="24"/>
          <w:szCs w:val="24"/>
          <w:lang w:eastAsia="zh-CN"/>
        </w:rPr>
        <w:t>合同</w:t>
      </w:r>
      <w:r>
        <w:rPr>
          <w:rFonts w:ascii="仿宋" w:hAnsi="仿宋" w:eastAsia="仿宋"/>
          <w:color w:val="auto"/>
          <w:sz w:val="24"/>
          <w:szCs w:val="24"/>
        </w:rPr>
        <w:t>附件、项目</w:t>
      </w:r>
      <w:r>
        <w:rPr>
          <w:rFonts w:ascii="仿宋" w:hAnsi="仿宋" w:eastAsia="仿宋"/>
          <w:color w:val="auto"/>
          <w:sz w:val="24"/>
          <w:szCs w:val="24"/>
          <w:lang w:eastAsia="zh-CN"/>
        </w:rPr>
        <w:t>招标</w:t>
      </w:r>
      <w:r>
        <w:rPr>
          <w:rFonts w:ascii="仿宋" w:hAnsi="仿宋" w:eastAsia="仿宋"/>
          <w:color w:val="auto"/>
          <w:sz w:val="24"/>
          <w:szCs w:val="24"/>
        </w:rPr>
        <w:t>文件、乙方对本项目的投标文件为本</w:t>
      </w:r>
      <w:r>
        <w:rPr>
          <w:rFonts w:ascii="仿宋" w:hAnsi="仿宋" w:eastAsia="仿宋"/>
          <w:color w:val="auto"/>
          <w:sz w:val="24"/>
          <w:szCs w:val="24"/>
          <w:lang w:eastAsia="zh-CN"/>
        </w:rPr>
        <w:t>合同</w:t>
      </w:r>
      <w:r>
        <w:rPr>
          <w:rFonts w:ascii="仿宋" w:hAnsi="仿宋" w:eastAsia="仿宋"/>
          <w:color w:val="auto"/>
          <w:sz w:val="24"/>
          <w:szCs w:val="24"/>
        </w:rPr>
        <w:t>的组成部</w:t>
      </w:r>
      <w:r>
        <w:rPr>
          <w:rFonts w:ascii="仿宋" w:hAnsi="仿宋" w:eastAsia="仿宋"/>
          <w:color w:val="000000" w:themeColor="text1"/>
          <w:sz w:val="24"/>
          <w:szCs w:val="24"/>
          <w14:textFill>
            <w14:solidFill>
              <w14:schemeClr w14:val="tx1"/>
            </w14:solidFill>
          </w14:textFill>
        </w:rPr>
        <w:t>分，具有与本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同等的法律效力；当以上文件出现不一致的情况时，解读顺序为本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lang w:eastAsia="zh-CN"/>
          <w14:textFill>
            <w14:solidFill>
              <w14:schemeClr w14:val="tx1"/>
            </w14:solidFill>
          </w14:textFill>
        </w:rPr>
        <w:t>招标</w:t>
      </w:r>
      <w:r>
        <w:rPr>
          <w:rFonts w:ascii="仿宋" w:hAnsi="仿宋" w:eastAsia="仿宋"/>
          <w:color w:val="000000" w:themeColor="text1"/>
          <w:sz w:val="24"/>
          <w:szCs w:val="24"/>
          <w14:textFill>
            <w14:solidFill>
              <w14:schemeClr w14:val="tx1"/>
            </w14:solidFill>
          </w14:textFill>
        </w:rPr>
        <w:t>文件、投标文件</w:t>
      </w:r>
      <w:r>
        <w:rPr>
          <w:rFonts w:ascii="仿宋" w:hAnsi="仿宋" w:eastAsia="仿宋"/>
          <w:color w:val="000000" w:themeColor="text1"/>
          <w:sz w:val="24"/>
          <w:szCs w:val="24"/>
          <w:lang w:eastAsia="zh-CN"/>
          <w14:textFill>
            <w14:solidFill>
              <w14:schemeClr w14:val="tx1"/>
            </w14:solidFill>
          </w14:textFill>
        </w:rPr>
        <w:t>。</w:t>
      </w:r>
    </w:p>
    <w:p w14:paraId="2EC90C2F">
      <w:pPr>
        <w:pStyle w:val="11"/>
        <w:spacing w:line="338" w:lineRule="auto"/>
        <w:ind w:firstLine="480" w:firstLineChars="20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3.</w:t>
      </w:r>
      <w:r>
        <w:rPr>
          <w:rFonts w:ascii="仿宋" w:hAnsi="仿宋" w:eastAsia="仿宋"/>
          <w:color w:val="000000" w:themeColor="text1"/>
          <w:sz w:val="24"/>
          <w:szCs w:val="24"/>
          <w14:textFill>
            <w14:solidFill>
              <w14:schemeClr w14:val="tx1"/>
            </w14:solidFill>
          </w14:textFill>
        </w:rPr>
        <w:t>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未尽事宜，由</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双方协商另行签订补充</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，补充</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与本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具有同等法律效力。</w:t>
      </w:r>
    </w:p>
    <w:p w14:paraId="71E531A0">
      <w:pPr>
        <w:pStyle w:val="11"/>
        <w:spacing w:line="338" w:lineRule="auto"/>
        <w:ind w:firstLine="480" w:firstLineChars="20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4</w:t>
      </w:r>
      <w:r>
        <w:rPr>
          <w:rFonts w:ascii="仿宋" w:hAnsi="仿宋" w:eastAsia="仿宋"/>
          <w:color w:val="000000" w:themeColor="text1"/>
          <w:sz w:val="24"/>
          <w:szCs w:val="24"/>
          <w14:textFill>
            <w14:solidFill>
              <w14:schemeClr w14:val="tx1"/>
            </w14:solidFill>
          </w14:textFill>
        </w:rPr>
        <w:t>.除本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另有约定外，本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一经签订，任何一方不得单方变更或解除。</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变更或解除须经双方协商一致并书面确认后作为</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附件，与本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具有同等法律效力。</w:t>
      </w:r>
    </w:p>
    <w:p w14:paraId="00ADBD11">
      <w:pPr>
        <w:pStyle w:val="11"/>
        <w:spacing w:line="338" w:lineRule="auto"/>
        <w:ind w:firstLine="960"/>
        <w:rPr>
          <w:rFonts w:ascii="仿宋" w:hAnsi="仿宋" w:eastAsia="仿宋"/>
          <w:color w:val="000000" w:themeColor="text1"/>
          <w:sz w:val="24"/>
          <w:szCs w:val="24"/>
          <w14:textFill>
            <w14:solidFill>
              <w14:schemeClr w14:val="tx1"/>
            </w14:solidFill>
          </w14:textFill>
        </w:rPr>
      </w:pPr>
    </w:p>
    <w:p w14:paraId="243AE50F">
      <w:pPr>
        <w:pStyle w:val="11"/>
        <w:spacing w:line="338" w:lineRule="auto"/>
        <w:ind w:firstLine="960"/>
        <w:rPr>
          <w:rFonts w:ascii="仿宋" w:hAnsi="仿宋" w:eastAsia="仿宋"/>
          <w:color w:val="000000" w:themeColor="text1"/>
          <w:sz w:val="24"/>
          <w:szCs w:val="24"/>
          <w14:textFill>
            <w14:solidFill>
              <w14:schemeClr w14:val="tx1"/>
            </w14:solidFill>
          </w14:textFill>
        </w:rPr>
      </w:pPr>
    </w:p>
    <w:p w14:paraId="0272268D">
      <w:pPr>
        <w:pStyle w:val="11"/>
        <w:spacing w:line="338" w:lineRule="auto"/>
        <w:ind w:firstLine="960"/>
        <w:rPr>
          <w:rFonts w:ascii="仿宋" w:hAnsi="仿宋" w:eastAsia="仿宋"/>
          <w:color w:val="000000" w:themeColor="text1"/>
          <w:sz w:val="24"/>
          <w:szCs w:val="24"/>
          <w14:textFill>
            <w14:solidFill>
              <w14:schemeClr w14:val="tx1"/>
            </w14:solidFill>
          </w14:textFill>
        </w:rPr>
      </w:pPr>
    </w:p>
    <w:p w14:paraId="703DB3BE">
      <w:pPr>
        <w:pStyle w:val="11"/>
        <w:spacing w:line="338" w:lineRule="auto"/>
        <w:ind w:firstLine="96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（以下无正文为签署页）</w:t>
      </w:r>
    </w:p>
    <w:p w14:paraId="0A257149">
      <w:pPr>
        <w:pStyle w:val="11"/>
        <w:spacing w:line="338" w:lineRule="auto"/>
        <w:ind w:firstLine="960"/>
        <w:rPr>
          <w:rFonts w:ascii="仿宋" w:hAnsi="仿宋" w:eastAsia="仿宋"/>
          <w:color w:val="000000" w:themeColor="text1"/>
          <w:sz w:val="24"/>
          <w:szCs w:val="24"/>
          <w14:textFill>
            <w14:solidFill>
              <w14:schemeClr w14:val="tx1"/>
            </w14:solidFill>
          </w14:textFill>
        </w:rPr>
      </w:pPr>
    </w:p>
    <w:p w14:paraId="5977A3A8">
      <w:pPr>
        <w:pStyle w:val="11"/>
        <w:spacing w:line="338" w:lineRule="auto"/>
        <w:ind w:firstLine="960"/>
        <w:rPr>
          <w:rFonts w:ascii="仿宋" w:hAnsi="仿宋" w:eastAsia="仿宋"/>
          <w:color w:val="000000" w:themeColor="text1"/>
          <w:sz w:val="24"/>
          <w:szCs w:val="24"/>
          <w14:textFill>
            <w14:solidFill>
              <w14:schemeClr w14:val="tx1"/>
            </w14:solidFill>
          </w14:textFill>
        </w:rPr>
      </w:pPr>
    </w:p>
    <w:p w14:paraId="5DCE4F54">
      <w:pPr>
        <w:pStyle w:val="11"/>
        <w:spacing w:line="338" w:lineRule="auto"/>
        <w:ind w:firstLine="480" w:firstLineChars="200"/>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甲方：</w:t>
      </w:r>
      <w:r>
        <w:rPr>
          <w:rFonts w:ascii="仿宋" w:hAnsi="仿宋" w:eastAsia="仿宋"/>
          <w:color w:val="000000" w:themeColor="text1"/>
          <w:sz w:val="24"/>
          <w:szCs w:val="24"/>
          <w:lang w:eastAsia="zh-CN"/>
          <w14:textFill>
            <w14:solidFill>
              <w14:schemeClr w14:val="tx1"/>
            </w14:solidFill>
          </w14:textFill>
        </w:rPr>
        <w:t>陕西省政务大数据服务中心</w:t>
      </w:r>
    </w:p>
    <w:p w14:paraId="4EC6278D">
      <w:pPr>
        <w:pStyle w:val="11"/>
        <w:spacing w:line="338" w:lineRule="auto"/>
        <w:ind w:firstLine="480" w:firstLineChars="20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法定代表人或授权代表（签章）：</w:t>
      </w:r>
    </w:p>
    <w:p w14:paraId="22E8247E">
      <w:pPr>
        <w:pStyle w:val="11"/>
        <w:spacing w:line="338" w:lineRule="auto"/>
        <w:ind w:firstLine="480" w:firstLineChars="20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签约日期：</w:t>
      </w:r>
    </w:p>
    <w:p w14:paraId="3ECCA833">
      <w:pPr>
        <w:pStyle w:val="11"/>
        <w:spacing w:line="338" w:lineRule="auto"/>
        <w:rPr>
          <w:rFonts w:ascii="仿宋" w:hAnsi="仿宋" w:eastAsia="仿宋"/>
          <w:color w:val="000000" w:themeColor="text1"/>
          <w:sz w:val="24"/>
          <w:szCs w:val="24"/>
          <w:lang w:eastAsia="zh-CN"/>
          <w14:textFill>
            <w14:solidFill>
              <w14:schemeClr w14:val="tx1"/>
            </w14:solidFill>
          </w14:textFill>
        </w:rPr>
      </w:pPr>
    </w:p>
    <w:p w14:paraId="4C5D8FBB">
      <w:pPr>
        <w:pStyle w:val="11"/>
        <w:spacing w:line="338" w:lineRule="auto"/>
        <w:ind w:firstLine="960"/>
        <w:rPr>
          <w:rFonts w:ascii="仿宋" w:hAnsi="仿宋" w:eastAsia="仿宋"/>
          <w:color w:val="000000" w:themeColor="text1"/>
          <w:sz w:val="24"/>
          <w:szCs w:val="24"/>
          <w14:textFill>
            <w14:solidFill>
              <w14:schemeClr w14:val="tx1"/>
            </w14:solidFill>
          </w14:textFill>
        </w:rPr>
      </w:pPr>
    </w:p>
    <w:p w14:paraId="3C5FE5A8">
      <w:pPr>
        <w:pStyle w:val="11"/>
        <w:spacing w:line="338" w:lineRule="auto"/>
        <w:ind w:firstLine="480" w:firstLineChars="200"/>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乙方：</w:t>
      </w:r>
    </w:p>
    <w:p w14:paraId="45FA2703">
      <w:pPr>
        <w:pStyle w:val="11"/>
        <w:spacing w:line="338" w:lineRule="auto"/>
        <w:ind w:firstLine="480" w:firstLineChars="20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法定代表人或授权代表（签章）：</w:t>
      </w:r>
    </w:p>
    <w:p w14:paraId="28B774C9">
      <w:pPr>
        <w:pStyle w:val="11"/>
        <w:spacing w:line="338" w:lineRule="auto"/>
        <w:ind w:firstLine="480" w:firstLineChars="20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签约日期：</w:t>
      </w:r>
    </w:p>
    <w:p w14:paraId="2107FC91">
      <w:pPr>
        <w:spacing w:line="440" w:lineRule="exact"/>
        <w:jc w:val="center"/>
        <w:rPr>
          <w:rFonts w:hint="eastAsia" w:asciiTheme="minorEastAsia" w:hAnsiTheme="minorEastAsia" w:eastAsiaTheme="minorEastAsia" w:cstheme="minorEastAsia"/>
          <w:b/>
          <w:szCs w:val="32"/>
        </w:rPr>
      </w:pPr>
    </w:p>
    <w:p w14:paraId="5CD3CDC1">
      <w:pPr>
        <w:spacing w:line="440" w:lineRule="exact"/>
        <w:jc w:val="center"/>
        <w:rPr>
          <w:rFonts w:hint="eastAsia" w:asciiTheme="minorEastAsia" w:hAnsiTheme="minorEastAsia" w:eastAsiaTheme="minorEastAsia" w:cstheme="minorEastAsia"/>
          <w:b/>
          <w:color w:val="auto"/>
          <w:sz w:val="32"/>
          <w:szCs w:val="32"/>
          <w:highlight w:val="none"/>
        </w:rPr>
      </w:pPr>
    </w:p>
    <w:sectPr>
      <w:footerReference r:id="rId3"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824D4">
    <w:pPr>
      <w:pStyle w:val="5"/>
      <w:jc w:val="center"/>
      <w:rPr>
        <w:rFonts w:ascii="楷体_GB2312" w:eastAsia="楷体_GB2312"/>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043DA4"/>
    <w:multiLevelType w:val="singleLevel"/>
    <w:tmpl w:val="89043DA4"/>
    <w:lvl w:ilvl="0" w:tentative="0">
      <w:start w:val="2"/>
      <w:numFmt w:val="decimal"/>
      <w:suff w:val="nothing"/>
      <w:lvlText w:val="（%1）"/>
      <w:lvlJc w:val="left"/>
    </w:lvl>
  </w:abstractNum>
  <w:abstractNum w:abstractNumId="1">
    <w:nsid w:val="584A86FD"/>
    <w:multiLevelType w:val="singleLevel"/>
    <w:tmpl w:val="584A86FD"/>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NWMyMWQwODgzYWU0M2JiYWU5ZDNiOWM4ZjE2ZDkifQ=="/>
  </w:docVars>
  <w:rsids>
    <w:rsidRoot w:val="56B476BB"/>
    <w:rsid w:val="02CD7086"/>
    <w:rsid w:val="07350929"/>
    <w:rsid w:val="1B1C5874"/>
    <w:rsid w:val="1E502434"/>
    <w:rsid w:val="236B26A5"/>
    <w:rsid w:val="28695261"/>
    <w:rsid w:val="2AC60A5D"/>
    <w:rsid w:val="38AB375F"/>
    <w:rsid w:val="3EBD6CAB"/>
    <w:rsid w:val="42D722D4"/>
    <w:rsid w:val="4C8F20EA"/>
    <w:rsid w:val="56B476BB"/>
    <w:rsid w:val="5E611A65"/>
    <w:rsid w:val="66917E24"/>
    <w:rsid w:val="6AD411DC"/>
    <w:rsid w:val="6FA54153"/>
    <w:rsid w:val="708C1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Body Text Indent"/>
    <w:basedOn w:val="1"/>
    <w:next w:val="1"/>
    <w:qFormat/>
    <w:uiPriority w:val="0"/>
    <w:pPr>
      <w:spacing w:afterLines="50" w:line="360" w:lineRule="exact"/>
      <w:ind w:firstLine="480" w:firstLineChars="200"/>
    </w:pPr>
    <w:rPr>
      <w:rFonts w:ascii="宋体" w:hAnsi="宋体"/>
      <w:sz w:val="24"/>
    </w:rPr>
  </w:style>
  <w:style w:type="paragraph" w:styleId="5">
    <w:name w:val="footer"/>
    <w:basedOn w:val="1"/>
    <w:next w:val="6"/>
    <w:qFormat/>
    <w:uiPriority w:val="0"/>
    <w:pPr>
      <w:tabs>
        <w:tab w:val="center" w:pos="4153"/>
        <w:tab w:val="right" w:pos="8306"/>
      </w:tabs>
      <w:snapToGrid w:val="0"/>
      <w:jc w:val="left"/>
    </w:pPr>
    <w:rPr>
      <w:sz w:val="18"/>
      <w:szCs w:val="18"/>
    </w:rPr>
  </w:style>
  <w:style w:type="paragraph" w:customStyle="1" w:styleId="6">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7">
    <w:name w:val="Body Text First Indent 2"/>
    <w:basedOn w:val="4"/>
    <w:next w:val="1"/>
    <w:qFormat/>
    <w:uiPriority w:val="0"/>
    <w:pPr>
      <w:tabs>
        <w:tab w:val="left" w:pos="4900"/>
      </w:tabs>
      <w:ind w:firstLine="420"/>
    </w:pPr>
  </w:style>
  <w:style w:type="paragraph" w:customStyle="1" w:styleId="10">
    <w:name w:val="Char Char4 Char Char Char Char"/>
    <w:basedOn w:val="1"/>
    <w:autoRedefine/>
    <w:qFormat/>
    <w:uiPriority w:val="0"/>
    <w:pPr>
      <w:spacing w:line="440" w:lineRule="atLeast"/>
      <w:ind w:firstLine="482" w:firstLineChars="200"/>
    </w:pPr>
    <w:rPr>
      <w:rFonts w:ascii="宋体" w:hAnsi="宋体"/>
      <w:b/>
      <w:color w:val="000000"/>
      <w:sz w:val="24"/>
    </w:rPr>
  </w:style>
  <w:style w:type="paragraph" w:customStyle="1" w:styleId="11">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12">
    <w:name w:val="首行缩进"/>
    <w:basedOn w:val="1"/>
    <w:qFormat/>
    <w:uiPriority w:val="0"/>
    <w:pPr>
      <w:ind w:firstLine="480" w:firstLineChars="200"/>
    </w:pPr>
    <w:rPr>
      <w:rFonts w:ascii="Calibri" w:hAnsi="Calibri"/>
      <w:lang w:val="zh-CN"/>
    </w:rPr>
  </w:style>
  <w:style w:type="paragraph" w:customStyle="1" w:styleId="13">
    <w:name w:val="BodyText1I2"/>
    <w:basedOn w:val="14"/>
    <w:next w:val="1"/>
    <w:qFormat/>
    <w:uiPriority w:val="0"/>
    <w:pPr>
      <w:spacing w:after="120"/>
      <w:ind w:left="420" w:leftChars="200" w:firstLine="420" w:firstLineChars="200"/>
      <w:jc w:val="both"/>
      <w:textAlignment w:val="baseline"/>
    </w:pPr>
    <w:rPr>
      <w:rFonts w:ascii="Calibri" w:hAnsi="Calibri"/>
      <w:sz w:val="21"/>
      <w:szCs w:val="24"/>
    </w:rPr>
  </w:style>
  <w:style w:type="paragraph" w:customStyle="1" w:styleId="14">
    <w:name w:val="BodyTextIndent"/>
    <w:basedOn w:val="1"/>
    <w:qFormat/>
    <w:uiPriority w:val="0"/>
    <w:pPr>
      <w:spacing w:after="120"/>
      <w:ind w:left="200" w:leftChars="200"/>
      <w:jc w:val="both"/>
      <w:textAlignment w:val="baseline"/>
    </w:pPr>
  </w:style>
  <w:style w:type="paragraph" w:customStyle="1" w:styleId="15">
    <w:name w:val="正文1"/>
    <w:basedOn w:val="1"/>
    <w:qFormat/>
    <w:uiPriority w:val="0"/>
    <w:pPr>
      <w:ind w:firstLine="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5296</Words>
  <Characters>5389</Characters>
  <Lines>0</Lines>
  <Paragraphs>0</Paragraphs>
  <TotalTime>0</TotalTime>
  <ScaleCrop>false</ScaleCrop>
  <LinksUpToDate>false</LinksUpToDate>
  <CharactersWithSpaces>5527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2024-08-27T05:12:00Z</dcterms:created>
  <dc:creator>海若</dc:creator>
  <cp:lastModifiedBy>Sun</cp:lastModifiedBy>
  <dcterms:modified xsi:type="dcterms:W3CDTF">2025-08-14T04:41:10Z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7D2915F8F1B04347A8DECA08571703A4_11</vt:lpwstr>
  </property>
  <property fmtid="{D5CDD505-2E9C-101B-9397-08002B2CF9AE}" pid="4" name="KSOTemplateDocerSaveRecord">
    <vt:lpwstr>eyJoZGlkIjoiYzZkYjI3YWY3Y2EyYzFjYzc3Mjc1NjQ2MjIxMjE1MmUiLCJ1c2VySWQiOiI3NjExNDQyMDEifQ==</vt:lpwstr>
  </property>
</Properties>
</file>